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9D91" w14:textId="77777777" w:rsidR="008C43C0" w:rsidRDefault="006B7C07">
      <w:pPr>
        <w:pStyle w:val="Heading"/>
        <w:spacing w:after="424"/>
      </w:pPr>
      <w:r>
        <w:rPr>
          <w:noProof/>
        </w:rPr>
        <w:drawing>
          <wp:anchor distT="0" distB="0" distL="114300" distR="114300" simplePos="0" relativeHeight="251658240" behindDoc="0" locked="0" layoutInCell="1" allowOverlap="1" wp14:anchorId="1B80F650" wp14:editId="3D762577">
            <wp:simplePos x="0" y="0"/>
            <wp:positionH relativeFrom="column">
              <wp:posOffset>-522000</wp:posOffset>
            </wp:positionH>
            <wp:positionV relativeFrom="paragraph">
              <wp:posOffset>-504359</wp:posOffset>
            </wp:positionV>
            <wp:extent cx="819000" cy="285840"/>
            <wp:effectExtent l="0" t="0" r="0" b="626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819000" cy="285840"/>
                    </a:xfrm>
                    <a:prstGeom prst="rect">
                      <a:avLst/>
                    </a:prstGeom>
                  </pic:spPr>
                </pic:pic>
              </a:graphicData>
            </a:graphic>
          </wp:anchor>
        </w:drawing>
      </w:r>
      <w:r>
        <w:t xml:space="preserve">Synthèse n°1 : </w:t>
      </w:r>
      <w:r>
        <w:br/>
      </w:r>
      <w:r>
        <w:t>TIC et façon de penser</w:t>
      </w:r>
    </w:p>
    <w:p w14:paraId="6CDC866F" w14:textId="77777777" w:rsidR="008C43C0" w:rsidRDefault="006B7C07">
      <w:pPr>
        <w:pStyle w:val="ContentsHeading"/>
        <w:tabs>
          <w:tab w:val="right" w:leader="dot" w:pos="9360"/>
        </w:tabs>
      </w:pPr>
      <w:r>
        <w:rPr>
          <w:bCs w:val="0"/>
          <w:sz w:val="52"/>
          <w:szCs w:val="28"/>
        </w:rPr>
        <w:fldChar w:fldCharType="begin"/>
      </w:r>
      <w:r>
        <w:instrText xml:space="preserve"> TOC \o "1-9" \u \l 1-9 \h </w:instrText>
      </w:r>
      <w:r>
        <w:rPr>
          <w:bCs w:val="0"/>
          <w:sz w:val="52"/>
          <w:szCs w:val="28"/>
        </w:rPr>
        <w:fldChar w:fldCharType="separate"/>
      </w:r>
      <w:r>
        <w:t>SOMMAIRE</w:t>
      </w:r>
    </w:p>
    <w:p w14:paraId="631E4A75" w14:textId="77777777" w:rsidR="008C43C0" w:rsidRDefault="006B7C07">
      <w:pPr>
        <w:pStyle w:val="Contents1"/>
      </w:pPr>
      <w:hyperlink r:id="rId8" w:history="1">
        <w:r>
          <w:t>1 Une brève définition de la synthèse de documents</w:t>
        </w:r>
        <w:r>
          <w:tab/>
          <w:t>1</w:t>
        </w:r>
      </w:hyperlink>
    </w:p>
    <w:p w14:paraId="1C1B4758" w14:textId="77777777" w:rsidR="008C43C0" w:rsidRDefault="006B7C07">
      <w:pPr>
        <w:pStyle w:val="Contents1"/>
      </w:pPr>
      <w:hyperlink r:id="rId9" w:history="1">
        <w:r>
          <w:t>2 La problématique</w:t>
        </w:r>
        <w:r>
          <w:tab/>
          <w:t>2</w:t>
        </w:r>
      </w:hyperlink>
    </w:p>
    <w:p w14:paraId="5D8CB077" w14:textId="77777777" w:rsidR="008C43C0" w:rsidRDefault="006B7C07">
      <w:pPr>
        <w:pStyle w:val="Contents1"/>
      </w:pPr>
      <w:hyperlink r:id="rId10" w:history="1">
        <w:r>
          <w:t>3 Le corpus</w:t>
        </w:r>
        <w:r>
          <w:tab/>
          <w:t>3</w:t>
        </w:r>
      </w:hyperlink>
    </w:p>
    <w:p w14:paraId="795AB997" w14:textId="77777777" w:rsidR="008C43C0" w:rsidRDefault="006B7C07">
      <w:pPr>
        <w:pStyle w:val="Contents1"/>
      </w:pPr>
      <w:hyperlink r:id="rId11" w:history="1">
        <w:r>
          <w:t>4 L’introduction</w:t>
        </w:r>
        <w:r>
          <w:tab/>
          <w:t>4</w:t>
        </w:r>
      </w:hyperlink>
    </w:p>
    <w:p w14:paraId="288ED96E" w14:textId="77777777" w:rsidR="008C43C0" w:rsidRDefault="006B7C07">
      <w:pPr>
        <w:pStyle w:val="Contents1"/>
      </w:pPr>
      <w:hyperlink r:id="rId12" w:history="1">
        <w:r>
          <w:t>5 La conclusion</w:t>
        </w:r>
        <w:r>
          <w:tab/>
          <w:t>6</w:t>
        </w:r>
      </w:hyperlink>
    </w:p>
    <w:p w14:paraId="0B38294E" w14:textId="77777777" w:rsidR="008C43C0" w:rsidRDefault="006B7C07">
      <w:pPr>
        <w:pStyle w:val="Contents1"/>
      </w:pPr>
      <w:hyperlink r:id="rId13" w:history="1">
        <w:r>
          <w:t xml:space="preserve">6 </w:t>
        </w:r>
      </w:hyperlink>
      <w:hyperlink r:id="rId14" w:history="1">
        <w:r>
          <w:t>Le développement</w:t>
        </w:r>
      </w:hyperlink>
      <w:hyperlink r:id="rId15" w:history="1">
        <w:r>
          <w:tab/>
          <w:t>7</w:t>
        </w:r>
      </w:hyperlink>
    </w:p>
    <w:p w14:paraId="04954EBC" w14:textId="77777777" w:rsidR="008C43C0" w:rsidRDefault="006B7C07">
      <w:pPr>
        <w:pStyle w:val="Standard"/>
        <w:rPr>
          <w:sz w:val="12"/>
          <w:szCs w:val="12"/>
        </w:rPr>
      </w:pPr>
      <w:r>
        <w:rPr>
          <w:color w:val="006600"/>
          <w:sz w:val="22"/>
        </w:rPr>
        <w:fldChar w:fldCharType="end"/>
      </w:r>
    </w:p>
    <w:p w14:paraId="6EFA3B04" w14:textId="77777777" w:rsidR="008C43C0" w:rsidRDefault="006B7C07">
      <w:pPr>
        <w:pStyle w:val="Heading1"/>
      </w:pPr>
      <w:bookmarkStart w:id="0" w:name="__RefHeading___Toc61379_1477540417"/>
      <w:r>
        <w:t xml:space="preserve">Une brève définition de la </w:t>
      </w:r>
      <w:r>
        <w:t>synthèse de documents</w:t>
      </w:r>
      <w:bookmarkEnd w:id="0"/>
    </w:p>
    <w:p w14:paraId="10B6F58D" w14:textId="77777777" w:rsidR="008C43C0" w:rsidRDefault="006B7C07">
      <w:pPr>
        <w:pStyle w:val="Textbody"/>
      </w:pPr>
      <w:r>
        <w:rPr>
          <w:b/>
          <w:bCs/>
        </w:rPr>
        <w:t>La synthèse de documents est une production écrite structurée</w:t>
      </w:r>
      <w:r>
        <w:t xml:space="preserve"> (introduction, développement suivant un plan, conclusion) </w:t>
      </w:r>
      <w:r>
        <w:rPr>
          <w:b/>
          <w:bCs/>
        </w:rPr>
        <w:t>à partir d’une documentation composée de plusieurs documents</w:t>
      </w:r>
      <w:r>
        <w:rPr>
          <w:rStyle w:val="FootnoteReference"/>
        </w:rPr>
        <w:footnoteReference w:id="1"/>
      </w:r>
      <w:r>
        <w:t xml:space="preserve"> </w:t>
      </w:r>
      <w:r>
        <w:rPr>
          <w:b/>
          <w:bCs/>
        </w:rPr>
        <w:t>sur un thèm</w:t>
      </w:r>
      <w:r>
        <w:rPr>
          <w:b/>
          <w:bCs/>
        </w:rPr>
        <w:t>e précisé dans l’énoncé du sujet</w:t>
      </w:r>
      <w:r>
        <w:t>. Il est à souligner que le développement n’utilise que les données fournies par les documents-sources soumis à l’analyse.</w:t>
      </w:r>
    </w:p>
    <w:p w14:paraId="55F6E7AE" w14:textId="77777777" w:rsidR="008C43C0" w:rsidRDefault="006B7C07">
      <w:pPr>
        <w:pStyle w:val="Textbody"/>
      </w:pPr>
      <w:r>
        <w:t xml:space="preserve">En effet, la synthèse consiste à </w:t>
      </w:r>
      <w:r>
        <w:rPr>
          <w:b/>
          <w:bCs/>
        </w:rPr>
        <w:t>rendre compte de plusieurs documents de façon objective</w:t>
      </w:r>
      <w:r>
        <w:t xml:space="preserve"> (on n’a pas </w:t>
      </w:r>
      <w:r>
        <w:t xml:space="preserve">le droit de donner son avis dans l’introduction ni dans le développement), </w:t>
      </w:r>
      <w:r>
        <w:rPr>
          <w:b/>
          <w:bCs/>
        </w:rPr>
        <w:t>concise</w:t>
      </w:r>
      <w:r>
        <w:t xml:space="preserve"> (pour faire gagner du temps à</w:t>
      </w:r>
      <w:r>
        <w:t xml:space="preserve"> son destinataire et pour prouver qu’on sait aller à l’essentiel</w:t>
      </w:r>
      <w:r>
        <w:t xml:space="preserve">) </w:t>
      </w:r>
      <w:r>
        <w:rPr>
          <w:b/>
          <w:bCs/>
        </w:rPr>
        <w:t>et ordonnée</w:t>
      </w:r>
      <w:r>
        <w:t xml:space="preserve"> (un plan logique, bien construit, avec des connecteurs logiques no</w:t>
      </w:r>
      <w:r>
        <w:t>mbreux).</w:t>
      </w:r>
    </w:p>
    <w:p w14:paraId="7C22E6A8" w14:textId="77777777" w:rsidR="008C43C0" w:rsidRDefault="008C43C0">
      <w:pPr>
        <w:pStyle w:val="Textbody"/>
        <w:pageBreakBefore/>
      </w:pPr>
    </w:p>
    <w:p w14:paraId="61F7C32D" w14:textId="77777777" w:rsidR="008C43C0" w:rsidRDefault="006B7C07">
      <w:pPr>
        <w:pStyle w:val="Heading1"/>
      </w:pPr>
      <w:bookmarkStart w:id="1" w:name="__RefHeading___Toc7154_442912819"/>
      <w:r>
        <w:t>La problématique</w:t>
      </w:r>
      <w:bookmarkEnd w:id="1"/>
    </w:p>
    <w:p w14:paraId="790770D5" w14:textId="77777777" w:rsidR="008C43C0" w:rsidRDefault="006B7C07">
      <w:pPr>
        <w:pStyle w:val="Textbody"/>
        <w:rPr>
          <w:color w:val="C9211E"/>
          <w:shd w:val="clear" w:color="auto" w:fill="FFFF00"/>
        </w:rPr>
      </w:pPr>
      <w:r>
        <w:rPr>
          <w:color w:val="C9211E"/>
          <w:shd w:val="clear" w:color="auto" w:fill="FFFF00"/>
        </w:rPr>
        <w:t>Gardez</w:t>
      </w:r>
      <w:r>
        <w:rPr>
          <w:color w:val="C9211E"/>
          <w:shd w:val="clear" w:color="auto" w:fill="FFFF00"/>
        </w:rPr>
        <w:t xml:space="preserve"> en tête qu’</w:t>
      </w:r>
      <w:r>
        <w:rPr>
          <w:b/>
          <w:bCs/>
          <w:color w:val="C9211E"/>
          <w:shd w:val="clear" w:color="auto" w:fill="FFFF00"/>
        </w:rPr>
        <w:t>une synthèse est avant tout une démonstration</w:t>
      </w:r>
      <w:r>
        <w:rPr>
          <w:color w:val="C9211E"/>
          <w:shd w:val="clear" w:color="auto" w:fill="FFFF00"/>
        </w:rPr>
        <w:t> : il s’agit de répondre à la problématique et de prouver que celle-ci avance une idée complètement juste ou partiellement juste (plus rarement fausse).</w:t>
      </w:r>
    </w:p>
    <w:p w14:paraId="2D809344" w14:textId="77777777" w:rsidR="008C43C0" w:rsidRDefault="006B7C07">
      <w:pPr>
        <w:pStyle w:val="Standard"/>
      </w:pPr>
      <w:r>
        <w:rPr>
          <w:b/>
          <w:bCs/>
        </w:rPr>
        <w:t>Lisez le sujet concernant cette synthèse n°1</w:t>
      </w:r>
      <w:r>
        <w:t> :</w:t>
      </w:r>
    </w:p>
    <w:p w14:paraId="74FB4043" w14:textId="77777777" w:rsidR="00417CE8" w:rsidRDefault="007E5ECF" w:rsidP="00417CE8">
      <w:pPr>
        <w:pStyle w:val="Standard"/>
        <w:numPr>
          <w:ilvl w:val="0"/>
          <w:numId w:val="2"/>
        </w:numPr>
        <w:ind w:left="1474" w:hanging="340"/>
        <w:rPr>
          <w:rFonts w:eastAsia="Noto Serif CJK SC" w:cs="Lohit Devanagari"/>
        </w:rPr>
      </w:pPr>
      <w:r>
        <w:rPr>
          <w:rFonts w:eastAsia="Noto Serif CJK SC" w:cs="Lohit Devanagari"/>
        </w:rPr>
        <w:t>Q</w:t>
      </w:r>
      <w:r w:rsidR="006B7C07">
        <w:rPr>
          <w:rFonts w:eastAsia="Noto Serif CJK SC" w:cs="Lohit Devanagari"/>
        </w:rPr>
        <w:t>uels sont les mots à conserver pour trouver une problématique ?</w:t>
      </w:r>
    </w:p>
    <w:p w14:paraId="3FC9BA53" w14:textId="41CD1DC1" w:rsidR="004C49C4" w:rsidRPr="00417CE8" w:rsidRDefault="004C49C4" w:rsidP="00417CE8">
      <w:pPr>
        <w:pStyle w:val="Standard"/>
        <w:ind w:left="1854" w:firstLine="0"/>
        <w:rPr>
          <w:rFonts w:eastAsia="Noto Serif CJK SC" w:cs="Lohit Devanagari"/>
        </w:rPr>
      </w:pPr>
      <w:r w:rsidRPr="00417CE8">
        <w:rPr>
          <w:rFonts w:eastAsia="Noto Serif CJK SC" w:cs="Lohit Devanagari"/>
        </w:rPr>
        <w:t>Il faut conserver les mots indiquant le sujet (ICI TIC et façon de penser).</w:t>
      </w:r>
    </w:p>
    <w:p w14:paraId="5A6AE1D8" w14:textId="65DD51A9" w:rsidR="00417CE8" w:rsidRDefault="007E5ECF" w:rsidP="00417CE8">
      <w:pPr>
        <w:pStyle w:val="Standard"/>
        <w:numPr>
          <w:ilvl w:val="0"/>
          <w:numId w:val="2"/>
        </w:numPr>
        <w:ind w:left="1474" w:hanging="340"/>
        <w:rPr>
          <w:rFonts w:eastAsia="Noto Serif CJK SC" w:cs="Lohit Devanagari"/>
        </w:rPr>
      </w:pPr>
      <w:r>
        <w:rPr>
          <w:rFonts w:eastAsia="Noto Serif CJK SC" w:cs="Lohit Devanagari"/>
        </w:rPr>
        <w:t>Q</w:t>
      </w:r>
      <w:r w:rsidR="006B7C07">
        <w:rPr>
          <w:rFonts w:eastAsia="Noto Serif CJK SC" w:cs="Lohit Devanagari"/>
        </w:rPr>
        <w:t>uelle peut être la problématique de cette synthèse ?</w:t>
      </w:r>
    </w:p>
    <w:p w14:paraId="40FC6E9D" w14:textId="2D688669" w:rsidR="00934733" w:rsidRDefault="00016E0D" w:rsidP="00AF0FA7">
      <w:pPr>
        <w:pStyle w:val="Standard"/>
        <w:ind w:left="1854" w:firstLine="0"/>
        <w:rPr>
          <w:rFonts w:eastAsia="Noto Serif CJK SC" w:cs="Lohit Devanagari"/>
        </w:rPr>
      </w:pPr>
      <w:r>
        <w:rPr>
          <w:rFonts w:eastAsia="Noto Serif CJK SC" w:cs="Lohit Devanagari"/>
        </w:rPr>
        <w:t>« </w:t>
      </w:r>
      <w:r w:rsidR="00417CE8">
        <w:rPr>
          <w:rFonts w:eastAsia="Noto Serif CJK SC" w:cs="Lohit Devanagari"/>
        </w:rPr>
        <w:t xml:space="preserve">Les </w:t>
      </w:r>
      <w:r w:rsidR="00417CE8" w:rsidRPr="0062490A">
        <w:rPr>
          <w:rFonts w:eastAsia="Noto Serif CJK SC" w:cs="Lohit Devanagari"/>
          <w:color w:val="FF0000"/>
        </w:rPr>
        <w:t xml:space="preserve">TIC </w:t>
      </w:r>
      <w:r w:rsidR="00924E5F">
        <w:rPr>
          <w:rFonts w:eastAsia="Noto Serif CJK SC" w:cs="Lohit Devanagari"/>
        </w:rPr>
        <w:t>changent/</w:t>
      </w:r>
      <w:r w:rsidR="00417CE8">
        <w:rPr>
          <w:rFonts w:eastAsia="Noto Serif CJK SC" w:cs="Lohit Devanagari"/>
        </w:rPr>
        <w:t>influencent-</w:t>
      </w:r>
      <w:r w:rsidR="004F10A1">
        <w:rPr>
          <w:rFonts w:eastAsia="Noto Serif CJK SC" w:cs="Lohit Devanagari"/>
        </w:rPr>
        <w:t>elle</w:t>
      </w:r>
      <w:r w:rsidR="00417CE8">
        <w:rPr>
          <w:rFonts w:eastAsia="Noto Serif CJK SC" w:cs="Lohit Devanagari"/>
        </w:rPr>
        <w:t xml:space="preserve">s notre </w:t>
      </w:r>
      <w:r w:rsidR="00417CE8" w:rsidRPr="0062490A">
        <w:rPr>
          <w:rFonts w:eastAsia="Noto Serif CJK SC" w:cs="Lohit Devanagari"/>
          <w:color w:val="FF0000"/>
        </w:rPr>
        <w:t>façon de penser </w:t>
      </w:r>
      <w:r w:rsidR="00417CE8">
        <w:rPr>
          <w:rFonts w:eastAsia="Noto Serif CJK SC" w:cs="Lohit Devanagari"/>
        </w:rPr>
        <w:t>?</w:t>
      </w:r>
      <w:r w:rsidR="00814621">
        <w:rPr>
          <w:rFonts w:eastAsia="Noto Serif CJK SC" w:cs="Lohit Devanagari"/>
        </w:rPr>
        <w:t xml:space="preserve"> Si oui</w:t>
      </w:r>
      <w:r w:rsidR="000256D4">
        <w:rPr>
          <w:rFonts w:eastAsia="Noto Serif CJK SC" w:cs="Lohit Devanagari"/>
        </w:rPr>
        <w:t>,</w:t>
      </w:r>
      <w:r w:rsidR="00814621">
        <w:rPr>
          <w:rFonts w:eastAsia="Noto Serif CJK SC" w:cs="Lohit Devanagari"/>
        </w:rPr>
        <w:t xml:space="preserve"> comment ?</w:t>
      </w:r>
      <w:r>
        <w:rPr>
          <w:rFonts w:eastAsia="Noto Serif CJK SC" w:cs="Lohit Devanagari"/>
        </w:rPr>
        <w:t> »</w:t>
      </w:r>
      <w:r w:rsidR="00AF0FA7">
        <w:rPr>
          <w:rFonts w:eastAsia="Noto Serif CJK SC" w:cs="Lohit Devanagari"/>
        </w:rPr>
        <w:t xml:space="preserve"> </w:t>
      </w:r>
      <w:r w:rsidR="00934733">
        <w:rPr>
          <w:rFonts w:eastAsia="Noto Serif CJK SC" w:cs="Lohit Devanagari"/>
        </w:rPr>
        <w:t>(</w:t>
      </w:r>
      <w:proofErr w:type="gramStart"/>
      <w:r w:rsidR="00934733">
        <w:rPr>
          <w:rFonts w:eastAsia="Noto Serif CJK SC" w:cs="Lohit Devanagari"/>
        </w:rPr>
        <w:t>de</w:t>
      </w:r>
      <w:proofErr w:type="gramEnd"/>
      <w:r w:rsidR="00934733">
        <w:rPr>
          <w:rFonts w:eastAsia="Noto Serif CJK SC" w:cs="Lohit Devanagari"/>
        </w:rPr>
        <w:t xml:space="preserve"> quelle manière, de quelle façon…)</w:t>
      </w:r>
    </w:p>
    <w:p w14:paraId="07C7491A" w14:textId="6997F9B3" w:rsidR="008B10FB" w:rsidRDefault="008B10FB" w:rsidP="00AF0FA7">
      <w:pPr>
        <w:pStyle w:val="Standard"/>
        <w:ind w:left="1854" w:firstLine="0"/>
        <w:rPr>
          <w:rFonts w:eastAsia="Noto Serif CJK SC" w:cs="Lohit Devanagari"/>
        </w:rPr>
      </w:pPr>
      <w:r>
        <w:rPr>
          <w:rFonts w:eastAsia="Noto Serif CJK SC" w:cs="Lohit Devanagari"/>
        </w:rPr>
        <w:t xml:space="preserve">« Comment les </w:t>
      </w:r>
      <w:r w:rsidRPr="0062490A">
        <w:rPr>
          <w:rFonts w:eastAsia="Noto Serif CJK SC" w:cs="Lohit Devanagari"/>
          <w:color w:val="FF0000"/>
        </w:rPr>
        <w:t>TIC</w:t>
      </w:r>
      <w:r>
        <w:rPr>
          <w:rFonts w:eastAsia="Noto Serif CJK SC" w:cs="Lohit Devanagari"/>
        </w:rPr>
        <w:t xml:space="preserve"> peuvent-elles influencer</w:t>
      </w:r>
      <w:r w:rsidR="00B8379A">
        <w:rPr>
          <w:rFonts w:eastAsia="Noto Serif CJK SC" w:cs="Lohit Devanagari"/>
        </w:rPr>
        <w:t>/impacter</w:t>
      </w:r>
      <w:r>
        <w:rPr>
          <w:rFonts w:eastAsia="Noto Serif CJK SC" w:cs="Lohit Devanagari"/>
        </w:rPr>
        <w:t xml:space="preserve"> notre </w:t>
      </w:r>
      <w:r w:rsidRPr="0062490A">
        <w:rPr>
          <w:rFonts w:eastAsia="Noto Serif CJK SC" w:cs="Lohit Devanagari"/>
          <w:color w:val="FF0000"/>
        </w:rPr>
        <w:t>façon de penser</w:t>
      </w:r>
      <w:r>
        <w:rPr>
          <w:rFonts w:eastAsia="Noto Serif CJK SC" w:cs="Lohit Devanagari"/>
        </w:rPr>
        <w:t> ?</w:t>
      </w:r>
      <w:r w:rsidR="005D78C1">
        <w:rPr>
          <w:rFonts w:eastAsia="Noto Serif CJK SC" w:cs="Lohit Devanagari"/>
        </w:rPr>
        <w:t> »</w:t>
      </w:r>
    </w:p>
    <w:p w14:paraId="672B2A62" w14:textId="6C6A343F" w:rsidR="00E03FD6" w:rsidRDefault="00E03FD6" w:rsidP="00417CE8">
      <w:pPr>
        <w:pStyle w:val="Standard"/>
        <w:ind w:left="1854" w:firstLine="0"/>
        <w:rPr>
          <w:rFonts w:eastAsia="Noto Serif CJK SC" w:cs="Lohit Devanagari"/>
          <w:b/>
          <w:bCs/>
          <w:color w:val="FF0000"/>
        </w:rPr>
      </w:pPr>
      <w:r w:rsidRPr="002C2627">
        <w:rPr>
          <w:rFonts w:eastAsia="Noto Serif CJK SC" w:cs="Lohit Devanagari"/>
          <w:b/>
          <w:bCs/>
          <w:color w:val="FF0000"/>
        </w:rPr>
        <w:t>PAS DE QUESTION FERMÉ</w:t>
      </w:r>
      <w:r w:rsidR="00A84181" w:rsidRPr="002C2627">
        <w:rPr>
          <w:rFonts w:eastAsia="Noto Serif CJK SC" w:cs="Lohit Devanagari"/>
          <w:b/>
          <w:bCs/>
          <w:color w:val="FF0000"/>
        </w:rPr>
        <w:t>E</w:t>
      </w:r>
    </w:p>
    <w:p w14:paraId="41634F78" w14:textId="000779AB" w:rsidR="005C3935" w:rsidRDefault="00E4223E" w:rsidP="00417CE8">
      <w:pPr>
        <w:pStyle w:val="Standard"/>
        <w:ind w:left="1854" w:firstLine="0"/>
        <w:rPr>
          <w:rFonts w:eastAsia="Noto Serif CJK SC" w:cs="Lohit Devanagari"/>
          <w:b/>
          <w:bCs/>
          <w:color w:val="FF0000"/>
        </w:rPr>
      </w:pPr>
      <w:r>
        <w:rPr>
          <w:rFonts w:eastAsia="Noto Serif CJK SC" w:cs="Lohit Devanagari"/>
          <w:b/>
          <w:bCs/>
          <w:color w:val="FF0000"/>
        </w:rPr>
        <w:t>TIC ET FAÇON DE PENSER DOIVENT ÊTRE DANS LA PROBLÉMATIQUE</w:t>
      </w:r>
    </w:p>
    <w:p w14:paraId="4541953F" w14:textId="77777777" w:rsidR="00E4223E" w:rsidRPr="002C2627" w:rsidRDefault="005C3935" w:rsidP="00417CE8">
      <w:pPr>
        <w:pStyle w:val="Standard"/>
        <w:ind w:left="1854" w:firstLine="0"/>
        <w:rPr>
          <w:rFonts w:eastAsia="Noto Serif CJK SC" w:cs="Lohit Devanagari"/>
          <w:b/>
          <w:bCs/>
          <w:color w:val="FF0000"/>
        </w:rPr>
      </w:pPr>
      <w:r>
        <w:rPr>
          <w:rFonts w:eastAsia="Noto Serif CJK SC" w:cs="Lohit Devanagari"/>
          <w:b/>
          <w:bCs/>
          <w:color w:val="FF0000"/>
        </w:rPr>
        <w:br w:type="column"/>
      </w:r>
    </w:p>
    <w:p w14:paraId="25CD3614" w14:textId="1F8D6D17" w:rsidR="00417CE8" w:rsidRPr="00417CE8" w:rsidRDefault="006B7C07" w:rsidP="00417CE8">
      <w:pPr>
        <w:pStyle w:val="Heading1"/>
      </w:pPr>
      <w:bookmarkStart w:id="2" w:name="__RefHeading___Toc6288_154911201"/>
      <w:r>
        <w:t>Le corpus</w:t>
      </w:r>
      <w:bookmarkEnd w:id="2"/>
    </w:p>
    <w:p w14:paraId="5A4EE462" w14:textId="77777777" w:rsidR="008C43C0" w:rsidRDefault="006B7C07">
      <w:pPr>
        <w:pStyle w:val="Textbody"/>
      </w:pPr>
      <w:r>
        <w:t>L</w:t>
      </w:r>
      <w:r>
        <w:t>isez le corpus concernant « TIC et façon de penser ».</w:t>
      </w:r>
    </w:p>
    <w:p w14:paraId="1F9C6755" w14:textId="77777777" w:rsidR="008C43C0" w:rsidRDefault="006B7C07">
      <w:pPr>
        <w:pStyle w:val="Textbody"/>
      </w:pPr>
      <w:r>
        <w:rPr>
          <w:b/>
          <w:bCs/>
        </w:rPr>
        <w:t>Surlignez</w:t>
      </w:r>
      <w:r>
        <w:t xml:space="preserve"> les passages qui vous semblent importants pour répondre à cette problématique.</w:t>
      </w:r>
    </w:p>
    <w:p w14:paraId="4E34F8A7" w14:textId="77777777" w:rsidR="008C43C0" w:rsidRDefault="006B7C07">
      <w:pPr>
        <w:pStyle w:val="Heading1"/>
      </w:pPr>
      <w:bookmarkStart w:id="3" w:name="__RefHeading___Toc6290_154911201"/>
      <w:r>
        <w:t>L’introduction</w:t>
      </w:r>
      <w:bookmarkEnd w:id="3"/>
    </w:p>
    <w:p w14:paraId="6133F12A" w14:textId="77777777" w:rsidR="008C43C0" w:rsidRDefault="006B7C07">
      <w:pPr>
        <w:pStyle w:val="Standard"/>
      </w:pPr>
      <w:r>
        <w:rPr>
          <w:b/>
          <w:bCs/>
        </w:rPr>
        <w:t>En vous aidant du cours</w:t>
      </w:r>
      <w:r>
        <w:t xml:space="preserve">, analysez les trois introductions </w:t>
      </w:r>
      <w:r>
        <w:rPr>
          <w:color w:val="000000"/>
        </w:rPr>
        <w:t>suivantes. Pour ce faire :</w:t>
      </w:r>
    </w:p>
    <w:p w14:paraId="20B7B193" w14:textId="77777777" w:rsidR="008C43C0" w:rsidRDefault="006B7C07">
      <w:pPr>
        <w:pStyle w:val="Textbody"/>
        <w:numPr>
          <w:ilvl w:val="0"/>
          <w:numId w:val="3"/>
        </w:numPr>
      </w:pPr>
      <w:proofErr w:type="gramStart"/>
      <w:r>
        <w:t>surlignez</w:t>
      </w:r>
      <w:proofErr w:type="gramEnd"/>
      <w:r>
        <w:t xml:space="preserve"> dans chaque introduction (si c’est présent, bien sûr)</w:t>
      </w:r>
      <w:r>
        <w:br/>
      </w:r>
      <w:r>
        <w:tab/>
      </w:r>
      <w:r>
        <w:tab/>
        <w:t>- en</w:t>
      </w:r>
      <w:r>
        <w:t xml:space="preserve"> </w:t>
      </w:r>
      <w:r>
        <w:rPr>
          <w:shd w:val="clear" w:color="auto" w:fill="33FF99"/>
        </w:rPr>
        <w:t>vert</w:t>
      </w:r>
      <w:r>
        <w:t xml:space="preserve"> </w:t>
      </w:r>
      <w:r>
        <w:t xml:space="preserve">l’entrée en matière (c’est-à-dire la présentation du sujet), </w:t>
      </w:r>
      <w:r>
        <w:br/>
      </w:r>
      <w:r>
        <w:tab/>
      </w:r>
      <w:r>
        <w:tab/>
        <w:t xml:space="preserve">- en </w:t>
      </w:r>
      <w:r>
        <w:rPr>
          <w:shd w:val="clear" w:color="auto" w:fill="B2B2B2"/>
        </w:rPr>
        <w:t>gris</w:t>
      </w:r>
      <w:r>
        <w:t xml:space="preserve"> la présentation des documents, </w:t>
      </w:r>
      <w:r>
        <w:br/>
      </w:r>
      <w:r>
        <w:tab/>
      </w:r>
      <w:r>
        <w:tab/>
        <w:t xml:space="preserve">- en </w:t>
      </w:r>
      <w:r>
        <w:rPr>
          <w:shd w:val="clear" w:color="auto" w:fill="00CCFF"/>
        </w:rPr>
        <w:t>turquoise</w:t>
      </w:r>
      <w:r>
        <w:t xml:space="preserve"> la problématique, </w:t>
      </w:r>
      <w:r>
        <w:br/>
      </w:r>
      <w:r>
        <w:tab/>
      </w:r>
      <w:r>
        <w:tab/>
        <w:t xml:space="preserve">- en </w:t>
      </w:r>
      <w:r>
        <w:rPr>
          <w:shd w:val="clear" w:color="auto" w:fill="CC66FF"/>
        </w:rPr>
        <w:t>mauve</w:t>
      </w:r>
      <w:r>
        <w:t xml:space="preserve"> </w:t>
      </w:r>
      <w:r>
        <w:t>l’annonce du plan ;</w:t>
      </w:r>
    </w:p>
    <w:p w14:paraId="42241BA9" w14:textId="77777777" w:rsidR="008C43C0" w:rsidRDefault="006B7C07">
      <w:pPr>
        <w:pStyle w:val="Textbody"/>
        <w:numPr>
          <w:ilvl w:val="0"/>
          <w:numId w:val="3"/>
        </w:numPr>
      </w:pPr>
      <w:proofErr w:type="gramStart"/>
      <w:r>
        <w:t>surlignez</w:t>
      </w:r>
      <w:proofErr w:type="gramEnd"/>
      <w:r>
        <w:t xml:space="preserve"> dans chaque barème :</w:t>
      </w:r>
      <w:r>
        <w:br/>
      </w:r>
      <w:r>
        <w:tab/>
      </w:r>
      <w:r>
        <w:tab/>
        <w:t>- en</w:t>
      </w:r>
      <w:r>
        <w:t xml:space="preserve"> </w:t>
      </w:r>
      <w:r>
        <w:rPr>
          <w:shd w:val="clear" w:color="auto" w:fill="FF6600"/>
        </w:rPr>
        <w:t>orange</w:t>
      </w:r>
      <w:r>
        <w:t xml:space="preserve"> ce qui est absent,</w:t>
      </w:r>
      <w:r>
        <w:br/>
      </w:r>
      <w:r>
        <w:tab/>
      </w:r>
      <w:r>
        <w:tab/>
        <w:t xml:space="preserve">- en </w:t>
      </w:r>
      <w:r>
        <w:rPr>
          <w:shd w:val="clear" w:color="auto" w:fill="FFFF00"/>
        </w:rPr>
        <w:t>jaune</w:t>
      </w:r>
      <w:r>
        <w:rPr>
          <w:i/>
          <w:iCs/>
        </w:rPr>
        <w:t xml:space="preserve"> </w:t>
      </w:r>
      <w:r>
        <w:t>ce q</w:t>
      </w:r>
      <w:r>
        <w:t xml:space="preserve">ui est présent mais qui pose problème, que ce soit confus, erroné ou incomplet </w:t>
      </w:r>
      <w:r>
        <w:t>➨</w:t>
      </w:r>
      <w:r>
        <w:t xml:space="preserve"> </w:t>
      </w:r>
      <w:r>
        <w:rPr>
          <w:b/>
          <w:bCs/>
        </w:rPr>
        <w:t>commentez précisément</w:t>
      </w:r>
      <w:r>
        <w:t xml:space="preserve"> dans la case située à droite ce qui va </w:t>
      </w:r>
      <w:r>
        <w:rPr>
          <w:b/>
          <w:bCs/>
        </w:rPr>
        <w:t>ET</w:t>
      </w:r>
      <w:r>
        <w:t xml:space="preserve"> ce qui ne va pas.</w:t>
      </w:r>
    </w:p>
    <w:p w14:paraId="7E45F244" w14:textId="77777777" w:rsidR="008C43C0" w:rsidRDefault="006B7C07">
      <w:pPr>
        <w:pStyle w:val="Quotations"/>
        <w:numPr>
          <w:ilvl w:val="1"/>
          <w:numId w:val="4"/>
        </w:numPr>
      </w:pPr>
      <w:r>
        <w:t xml:space="preserve">Les technologies de l’information et de la communication (TIC) ont modifié nos comportements </w:t>
      </w:r>
      <w:r>
        <w:t xml:space="preserve">au sein de la société. Pour savoir en quoi elles ont </w:t>
      </w:r>
      <w:proofErr w:type="gramStart"/>
      <w:r>
        <w:t>modifiés</w:t>
      </w:r>
      <w:proofErr w:type="gramEnd"/>
      <w:r>
        <w:t xml:space="preserve"> ceux-ci, nous allons observer les changements survenus dans notre façon de lire. Ensuite nous étudierons l’impact qu’a le multitasking sur nos vies. S’ensuivra enfin une étude de la sérendipité </w:t>
      </w:r>
      <w:r>
        <w:t>liée à Internet.</w:t>
      </w:r>
    </w:p>
    <w:tbl>
      <w:tblPr>
        <w:tblW w:w="10613" w:type="dxa"/>
        <w:tblInd w:w="-175" w:type="dxa"/>
        <w:tblLayout w:type="fixed"/>
        <w:tblCellMar>
          <w:left w:w="10" w:type="dxa"/>
          <w:right w:w="10" w:type="dxa"/>
        </w:tblCellMar>
        <w:tblLook w:val="0000" w:firstRow="0" w:lastRow="0" w:firstColumn="0" w:lastColumn="0" w:noHBand="0" w:noVBand="0"/>
      </w:tblPr>
      <w:tblGrid>
        <w:gridCol w:w="5550"/>
        <w:gridCol w:w="5063"/>
      </w:tblGrid>
      <w:tr w:rsidR="008C43C0" w14:paraId="796B3DAC" w14:textId="77777777">
        <w:tblPrEx>
          <w:tblCellMar>
            <w:top w:w="0" w:type="dxa"/>
            <w:bottom w:w="0" w:type="dxa"/>
          </w:tblCellMar>
        </w:tblPrEx>
        <w:tc>
          <w:tcPr>
            <w:tcW w:w="5550" w:type="dxa"/>
            <w:tcBorders>
              <w:top w:val="single" w:sz="2" w:space="0" w:color="000000"/>
              <w:left w:val="single" w:sz="2" w:space="0" w:color="000000"/>
              <w:bottom w:val="single" w:sz="2" w:space="0" w:color="000000"/>
            </w:tcBorders>
            <w:tcMar>
              <w:top w:w="55" w:type="dxa"/>
              <w:left w:w="55" w:type="dxa"/>
              <w:bottom w:w="55" w:type="dxa"/>
              <w:right w:w="55" w:type="dxa"/>
            </w:tcMar>
          </w:tcPr>
          <w:p w14:paraId="5C6C0CAB" w14:textId="77777777" w:rsidR="008C43C0" w:rsidRDefault="006B7C07">
            <w:pPr>
              <w:pStyle w:val="TableContents"/>
            </w:pPr>
            <w:r>
              <w:rPr>
                <w:b/>
                <w:bCs/>
              </w:rPr>
              <w:t>Introduction </w:t>
            </w:r>
            <w:r>
              <w:t>: 1) entrée en matière ; 2) présentation des documents ; 3) problématique ; 4) plan</w:t>
            </w:r>
          </w:p>
        </w:tc>
        <w:tc>
          <w:tcPr>
            <w:tcW w:w="50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82EE09A" w14:textId="77777777" w:rsidR="008C43C0" w:rsidRDefault="006B7C07">
            <w:pPr>
              <w:pStyle w:val="TableContents"/>
              <w:jc w:val="right"/>
            </w:pPr>
            <w:r>
              <w:t>/1,5</w:t>
            </w:r>
          </w:p>
        </w:tc>
      </w:tr>
    </w:tbl>
    <w:p w14:paraId="2229E580" w14:textId="77777777" w:rsidR="008C43C0" w:rsidRDefault="006B7C07">
      <w:pPr>
        <w:pStyle w:val="Quotations"/>
        <w:numPr>
          <w:ilvl w:val="1"/>
          <w:numId w:val="4"/>
        </w:numPr>
      </w:pPr>
      <w:r>
        <w:t xml:space="preserve">L’utilisation des technologies de l’information et de la communication (TIC) a connu un développement phénoménal ces dernières </w:t>
      </w:r>
      <w:r>
        <w:t>décennies, au point que beaucoup de personnes ont du mal à se passer d’elles. Cette révolution technologique en cours permet un accès quasi permanent à une masse colossale d’informations. De ce fait, bouleverse-t-elle notre manière de penser ? Les articles</w:t>
      </w:r>
      <w:r>
        <w:t xml:space="preserve"> « Vers de nouvelles manières de lire » d’H. Guillaud (</w:t>
      </w:r>
      <w:r>
        <w:t xml:space="preserve">2009), « Je lis sur le web donc je pense autrement » de M. Agger (2010), « Pour en finir avec le multitasking, débranchez » d’É. </w:t>
      </w:r>
      <w:proofErr w:type="spellStart"/>
      <w:r>
        <w:t>Gless</w:t>
      </w:r>
      <w:proofErr w:type="spellEnd"/>
      <w:r>
        <w:t xml:space="preserve"> et H. Guillaud (2009 et 2013), « La sérendipité sur Internet : éga</w:t>
      </w:r>
      <w:r>
        <w:t xml:space="preserve">rement documentaire ou recherche créatrice ? » d’E. </w:t>
      </w:r>
      <w:proofErr w:type="spellStart"/>
      <w:r>
        <w:t>Sandri</w:t>
      </w:r>
      <w:proofErr w:type="spellEnd"/>
      <w:r>
        <w:t xml:space="preserve"> (2013), et « Wikipédia, dernier bastion de la sérendipité sur Internet » de M. Dejean (2014) permettent de répondre à cette question. Je parlerai dans un premier temps des nouveautés apportées par </w:t>
      </w:r>
      <w:r>
        <w:t>les TIC et dans un second temps de leur impact sur la pensée humaine.</w:t>
      </w:r>
    </w:p>
    <w:tbl>
      <w:tblPr>
        <w:tblW w:w="10613" w:type="dxa"/>
        <w:tblInd w:w="-175" w:type="dxa"/>
        <w:tblLayout w:type="fixed"/>
        <w:tblCellMar>
          <w:left w:w="10" w:type="dxa"/>
          <w:right w:w="10" w:type="dxa"/>
        </w:tblCellMar>
        <w:tblLook w:val="0000" w:firstRow="0" w:lastRow="0" w:firstColumn="0" w:lastColumn="0" w:noHBand="0" w:noVBand="0"/>
      </w:tblPr>
      <w:tblGrid>
        <w:gridCol w:w="5550"/>
        <w:gridCol w:w="5063"/>
      </w:tblGrid>
      <w:tr w:rsidR="008C43C0" w14:paraId="400C385A" w14:textId="77777777">
        <w:tblPrEx>
          <w:tblCellMar>
            <w:top w:w="0" w:type="dxa"/>
            <w:bottom w:w="0" w:type="dxa"/>
          </w:tblCellMar>
        </w:tblPrEx>
        <w:tc>
          <w:tcPr>
            <w:tcW w:w="5550" w:type="dxa"/>
            <w:tcBorders>
              <w:top w:val="single" w:sz="2" w:space="0" w:color="000000"/>
              <w:left w:val="single" w:sz="2" w:space="0" w:color="000000"/>
              <w:bottom w:val="single" w:sz="2" w:space="0" w:color="000000"/>
            </w:tcBorders>
            <w:tcMar>
              <w:top w:w="55" w:type="dxa"/>
              <w:left w:w="55" w:type="dxa"/>
              <w:bottom w:w="55" w:type="dxa"/>
              <w:right w:w="55" w:type="dxa"/>
            </w:tcMar>
          </w:tcPr>
          <w:p w14:paraId="3C561646" w14:textId="77777777" w:rsidR="008C43C0" w:rsidRDefault="006B7C07">
            <w:pPr>
              <w:pStyle w:val="TableContents"/>
            </w:pPr>
            <w:r>
              <w:rPr>
                <w:b/>
                <w:bCs/>
              </w:rPr>
              <w:lastRenderedPageBreak/>
              <w:t>Introduction </w:t>
            </w:r>
            <w:r>
              <w:t>: 1) entrée en matière ; 2) présentation des documents ; 3) problématique ; 4) plan</w:t>
            </w:r>
          </w:p>
        </w:tc>
        <w:tc>
          <w:tcPr>
            <w:tcW w:w="50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A14CCD" w14:textId="77777777" w:rsidR="008C43C0" w:rsidRDefault="006B7C07">
            <w:pPr>
              <w:pStyle w:val="TableContents"/>
              <w:jc w:val="right"/>
            </w:pPr>
            <w:r>
              <w:t>/1,5</w:t>
            </w:r>
          </w:p>
        </w:tc>
      </w:tr>
    </w:tbl>
    <w:p w14:paraId="2FDAB368" w14:textId="77777777" w:rsidR="008C43C0" w:rsidRDefault="006B7C07">
      <w:pPr>
        <w:pStyle w:val="Quotations"/>
        <w:numPr>
          <w:ilvl w:val="1"/>
          <w:numId w:val="4"/>
        </w:numPr>
      </w:pPr>
      <w:r>
        <w:t>Les nouvelles technologies sont de plus en plus présentes dans nos vies pour commun</w:t>
      </w:r>
      <w:r>
        <w:t xml:space="preserve">iquer, apprendre, consommer, travailler, etc. Changent-elles la façon et la capacité d’apprentissage ? Les cinq textes suivants répondent en grande partie à cette question : « Vers de nouvelles manières de lire » d’Hubert Guillaud pour </w:t>
      </w:r>
      <w:r>
        <w:rPr>
          <w:i/>
          <w:iCs/>
        </w:rPr>
        <w:t xml:space="preserve">Internet actu </w:t>
      </w:r>
      <w:r>
        <w:t>(2009)</w:t>
      </w:r>
      <w:r>
        <w:t xml:space="preserve">, « Je lis sur le web donc je pense autrement » de Mickael Agger pour </w:t>
      </w:r>
      <w:r>
        <w:rPr>
          <w:i/>
          <w:iCs/>
        </w:rPr>
        <w:t xml:space="preserve">Slate </w:t>
      </w:r>
      <w:r>
        <w:t xml:space="preserve">(2010), « Pour en finir avec le multitasking, débranchez » d’Étienne </w:t>
      </w:r>
      <w:proofErr w:type="spellStart"/>
      <w:r>
        <w:t>Gless</w:t>
      </w:r>
      <w:proofErr w:type="spellEnd"/>
      <w:r>
        <w:t xml:space="preserve"> pour </w:t>
      </w:r>
      <w:r>
        <w:rPr>
          <w:i/>
          <w:iCs/>
        </w:rPr>
        <w:t xml:space="preserve">L’Entreprise </w:t>
      </w:r>
      <w:r>
        <w:t xml:space="preserve">et Hubert Guillaud pour </w:t>
      </w:r>
      <w:r>
        <w:rPr>
          <w:i/>
          <w:iCs/>
        </w:rPr>
        <w:t xml:space="preserve">Internet actu </w:t>
      </w:r>
      <w:r>
        <w:t>(2009 et 2013), « La sérendipité sur Internet : é</w:t>
      </w:r>
      <w:r>
        <w:t xml:space="preserve">garement documentaire ou recherche créatrice ? » d’Eva </w:t>
      </w:r>
      <w:proofErr w:type="spellStart"/>
      <w:r>
        <w:t>Sandri</w:t>
      </w:r>
      <w:proofErr w:type="spellEnd"/>
      <w:r>
        <w:t xml:space="preserve"> (2013) et « Wikipédia, dernier bastion de la sérendipité sur Internet » de Mathieu Dejean pour </w:t>
      </w:r>
      <w:r>
        <w:rPr>
          <w:i/>
          <w:iCs/>
        </w:rPr>
        <w:t>Slate</w:t>
      </w:r>
      <w:r>
        <w:t xml:space="preserve"> (2014). Tout d’abord nous verrons que l’apprentissage du savoir est en train de changer, puis</w:t>
      </w:r>
      <w:r>
        <w:t xml:space="preserve"> nous aborderons deux aspects du </w:t>
      </w:r>
      <w:r>
        <w:rPr>
          <w:i/>
          <w:iCs/>
        </w:rPr>
        <w:t>surf</w:t>
      </w:r>
      <w:r>
        <w:t xml:space="preserve"> sur Internet : la sérendipité et l’uniformisation, enfin nous essayerons d’expliquer en quoi les nouvelles habitudes de consommation de l’information peuvent parfois être dangereuses pour le développement de l’Homme.</w:t>
      </w:r>
    </w:p>
    <w:tbl>
      <w:tblPr>
        <w:tblW w:w="10613" w:type="dxa"/>
        <w:tblInd w:w="-175" w:type="dxa"/>
        <w:tblLayout w:type="fixed"/>
        <w:tblCellMar>
          <w:left w:w="10" w:type="dxa"/>
          <w:right w:w="10" w:type="dxa"/>
        </w:tblCellMar>
        <w:tblLook w:val="0000" w:firstRow="0" w:lastRow="0" w:firstColumn="0" w:lastColumn="0" w:noHBand="0" w:noVBand="0"/>
      </w:tblPr>
      <w:tblGrid>
        <w:gridCol w:w="5550"/>
        <w:gridCol w:w="5063"/>
      </w:tblGrid>
      <w:tr w:rsidR="008C43C0" w14:paraId="3B19099B" w14:textId="77777777">
        <w:tblPrEx>
          <w:tblCellMar>
            <w:top w:w="0" w:type="dxa"/>
            <w:bottom w:w="0" w:type="dxa"/>
          </w:tblCellMar>
        </w:tblPrEx>
        <w:tc>
          <w:tcPr>
            <w:tcW w:w="5550" w:type="dxa"/>
            <w:tcBorders>
              <w:top w:val="single" w:sz="2" w:space="0" w:color="000000"/>
              <w:left w:val="single" w:sz="2" w:space="0" w:color="000000"/>
              <w:bottom w:val="single" w:sz="2" w:space="0" w:color="000000"/>
            </w:tcBorders>
            <w:tcMar>
              <w:top w:w="55" w:type="dxa"/>
              <w:left w:w="55" w:type="dxa"/>
              <w:bottom w:w="55" w:type="dxa"/>
              <w:right w:w="55" w:type="dxa"/>
            </w:tcMar>
          </w:tcPr>
          <w:p w14:paraId="74216708" w14:textId="77777777" w:rsidR="008C43C0" w:rsidRDefault="006B7C07">
            <w:pPr>
              <w:pStyle w:val="TableContents"/>
            </w:pPr>
            <w:r>
              <w:rPr>
                <w:b/>
                <w:bCs/>
              </w:rPr>
              <w:t>I</w:t>
            </w:r>
            <w:r>
              <w:rPr>
                <w:b/>
                <w:bCs/>
              </w:rPr>
              <w:t>ntroduction </w:t>
            </w:r>
            <w:r>
              <w:t>: 1) entrée en matière ; 2) présentation des documents ; 3) problématique ; 4) plan</w:t>
            </w:r>
          </w:p>
        </w:tc>
        <w:tc>
          <w:tcPr>
            <w:tcW w:w="506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7A9E55" w14:textId="77777777" w:rsidR="008C43C0" w:rsidRDefault="006B7C07">
            <w:pPr>
              <w:pStyle w:val="TableContents"/>
              <w:jc w:val="right"/>
            </w:pPr>
            <w:r>
              <w:t>/1,5</w:t>
            </w:r>
          </w:p>
        </w:tc>
      </w:tr>
    </w:tbl>
    <w:p w14:paraId="4A925A45" w14:textId="77777777" w:rsidR="008C43C0" w:rsidRDefault="008C43C0">
      <w:pPr>
        <w:pStyle w:val="Heading1"/>
      </w:pPr>
    </w:p>
    <w:p w14:paraId="6B9DF689" w14:textId="77777777" w:rsidR="008C43C0" w:rsidRDefault="006B7C07">
      <w:pPr>
        <w:pStyle w:val="Heading1"/>
      </w:pPr>
      <w:bookmarkStart w:id="4" w:name="__RefHeading___Toc6292_154911201"/>
      <w:r>
        <w:t>La conclusion</w:t>
      </w:r>
      <w:bookmarkEnd w:id="4"/>
    </w:p>
    <w:p w14:paraId="2607CE12" w14:textId="77777777" w:rsidR="008C43C0" w:rsidRDefault="006B7C07">
      <w:pPr>
        <w:pStyle w:val="Standard"/>
      </w:pPr>
      <w:r>
        <w:rPr>
          <w:b/>
          <w:bCs/>
        </w:rPr>
        <w:t>En vous aidant du cours</w:t>
      </w:r>
      <w:r>
        <w:t xml:space="preserve">, analysez les trois conclusions </w:t>
      </w:r>
      <w:r>
        <w:rPr>
          <w:color w:val="000000"/>
        </w:rPr>
        <w:t>suivantes. Pour ce faire :</w:t>
      </w:r>
    </w:p>
    <w:p w14:paraId="14795C63" w14:textId="77777777" w:rsidR="008C43C0" w:rsidRDefault="006B7C07">
      <w:pPr>
        <w:pStyle w:val="Textbody"/>
        <w:numPr>
          <w:ilvl w:val="0"/>
          <w:numId w:val="3"/>
        </w:numPr>
      </w:pPr>
      <w:proofErr w:type="gramStart"/>
      <w:r>
        <w:t>surlignez</w:t>
      </w:r>
      <w:proofErr w:type="gramEnd"/>
      <w:r>
        <w:t xml:space="preserve"> dans chaque conclusion (si c’est présent, bien</w:t>
      </w:r>
      <w:r>
        <w:t xml:space="preserve"> sûr)</w:t>
      </w:r>
      <w:r>
        <w:br/>
      </w:r>
      <w:r>
        <w:t xml:space="preserve"> – en </w:t>
      </w:r>
      <w:r>
        <w:rPr>
          <w:shd w:val="clear" w:color="auto" w:fill="33FF99"/>
        </w:rPr>
        <w:t>vert</w:t>
      </w:r>
      <w:r>
        <w:t xml:space="preserve"> le bilan de l’analyse, </w:t>
      </w:r>
      <w:r>
        <w:br/>
      </w:r>
      <w:r>
        <w:t xml:space="preserve"> – en </w:t>
      </w:r>
      <w:r>
        <w:rPr>
          <w:shd w:val="clear" w:color="auto" w:fill="B2B2B2"/>
        </w:rPr>
        <w:t>gris</w:t>
      </w:r>
      <w:r>
        <w:t xml:space="preserve"> la réponse personnelle à la problématique, </w:t>
      </w:r>
      <w:r>
        <w:br/>
      </w:r>
      <w:r>
        <w:t xml:space="preserve"> – en </w:t>
      </w:r>
      <w:r>
        <w:rPr>
          <w:shd w:val="clear" w:color="auto" w:fill="00CCFF"/>
        </w:rPr>
        <w:t>turquoise</w:t>
      </w:r>
      <w:r>
        <w:t xml:space="preserve"> l’ouverture ;</w:t>
      </w:r>
    </w:p>
    <w:p w14:paraId="0ED9FF42" w14:textId="77777777" w:rsidR="008C43C0" w:rsidRDefault="006B7C07">
      <w:pPr>
        <w:pStyle w:val="Textbody"/>
        <w:numPr>
          <w:ilvl w:val="0"/>
          <w:numId w:val="3"/>
        </w:numPr>
      </w:pPr>
      <w:proofErr w:type="gramStart"/>
      <w:r>
        <w:t>s</w:t>
      </w:r>
      <w:r>
        <w:rPr>
          <w:color w:val="000000"/>
        </w:rPr>
        <w:t>urlignez</w:t>
      </w:r>
      <w:proofErr w:type="gramEnd"/>
      <w:r>
        <w:rPr>
          <w:color w:val="000000"/>
        </w:rPr>
        <w:t xml:space="preserve"> dans chaque barème :</w:t>
      </w:r>
      <w:r>
        <w:br/>
      </w:r>
      <w:r>
        <w:tab/>
        <w:t xml:space="preserve">- en </w:t>
      </w:r>
      <w:r>
        <w:rPr>
          <w:shd w:val="clear" w:color="auto" w:fill="FF6600"/>
        </w:rPr>
        <w:t>orange</w:t>
      </w:r>
      <w:r>
        <w:t xml:space="preserve"> ce qui est absent ;</w:t>
      </w:r>
      <w:r>
        <w:br/>
      </w:r>
      <w:r>
        <w:tab/>
        <w:t xml:space="preserve">- en </w:t>
      </w:r>
      <w:r>
        <w:rPr>
          <w:shd w:val="clear" w:color="auto" w:fill="FFFF00"/>
        </w:rPr>
        <w:t>jaune</w:t>
      </w:r>
      <w:r>
        <w:t xml:space="preserve"> ce qui est présent mais qui pose problème, que ce soit</w:t>
      </w:r>
      <w:r>
        <w:t xml:space="preserve"> confus, erroné ou incomplet </w:t>
      </w:r>
      <w:r>
        <w:t>➨</w:t>
      </w:r>
      <w:r>
        <w:t xml:space="preserve"> </w:t>
      </w:r>
      <w:r>
        <w:rPr>
          <w:b/>
          <w:bCs/>
        </w:rPr>
        <w:t>commentez précisément</w:t>
      </w:r>
      <w:r>
        <w:t xml:space="preserve"> dans la case située à droite ce qui va </w:t>
      </w:r>
      <w:r>
        <w:rPr>
          <w:b/>
          <w:bCs/>
        </w:rPr>
        <w:t>ET</w:t>
      </w:r>
      <w:r>
        <w:t xml:space="preserve"> ce qui ne va pas.</w:t>
      </w:r>
    </w:p>
    <w:p w14:paraId="5C2250C8" w14:textId="77777777" w:rsidR="008C43C0" w:rsidRDefault="006B7C07">
      <w:pPr>
        <w:pStyle w:val="Quotations"/>
        <w:numPr>
          <w:ilvl w:val="0"/>
          <w:numId w:val="5"/>
        </w:numPr>
      </w:pPr>
      <w:r>
        <w:t xml:space="preserve">Il semble donc que les technologies aient modifié notre façon de penser, mais sans doute est-il trop tôt pour en être sûr. Ce qui est certain c’est que l’évolution technologique ne peut être freinée. D’ailleurs, dans un monde où </w:t>
      </w:r>
      <w:r>
        <w:t>chacun a accès à Google, apprendre ne servira peut-être plus à rien : tout le monde ayant un smartphone, la mémoire devient inutile. En revanche cela nous rend extrêmement dépendants de ces technologies.</w:t>
      </w:r>
    </w:p>
    <w:tbl>
      <w:tblPr>
        <w:tblW w:w="10200" w:type="dxa"/>
        <w:tblLayout w:type="fixed"/>
        <w:tblCellMar>
          <w:left w:w="10" w:type="dxa"/>
          <w:right w:w="10" w:type="dxa"/>
        </w:tblCellMar>
        <w:tblLook w:val="0000" w:firstRow="0" w:lastRow="0" w:firstColumn="0" w:lastColumn="0" w:noHBand="0" w:noVBand="0"/>
      </w:tblPr>
      <w:tblGrid>
        <w:gridCol w:w="5910"/>
        <w:gridCol w:w="4290"/>
      </w:tblGrid>
      <w:tr w:rsidR="008C43C0" w14:paraId="54F45C4A" w14:textId="77777777">
        <w:tblPrEx>
          <w:tblCellMar>
            <w:top w:w="0" w:type="dxa"/>
            <w:bottom w:w="0" w:type="dxa"/>
          </w:tblCellMar>
        </w:tblPrEx>
        <w:tc>
          <w:tcPr>
            <w:tcW w:w="5910" w:type="dxa"/>
            <w:tcBorders>
              <w:top w:val="single" w:sz="2" w:space="0" w:color="000000"/>
              <w:left w:val="single" w:sz="2" w:space="0" w:color="000000"/>
              <w:bottom w:val="single" w:sz="2" w:space="0" w:color="000000"/>
            </w:tcBorders>
            <w:tcMar>
              <w:top w:w="55" w:type="dxa"/>
              <w:left w:w="55" w:type="dxa"/>
              <w:bottom w:w="55" w:type="dxa"/>
              <w:right w:w="55" w:type="dxa"/>
            </w:tcMar>
          </w:tcPr>
          <w:p w14:paraId="2B81DF46" w14:textId="77777777" w:rsidR="008C43C0" w:rsidRDefault="006B7C07">
            <w:pPr>
              <w:pStyle w:val="TableContents"/>
            </w:pPr>
            <w:r>
              <w:rPr>
                <w:b/>
                <w:bCs/>
              </w:rPr>
              <w:lastRenderedPageBreak/>
              <w:t>Conclusion </w:t>
            </w:r>
            <w:r>
              <w:t>: 1) bilan de l’analyse ; 2) réponse pers</w:t>
            </w:r>
            <w:r>
              <w:t>onnelle à la problématique ; 3) ouverture si possible</w:t>
            </w:r>
          </w:p>
        </w:tc>
        <w:tc>
          <w:tcPr>
            <w:tcW w:w="42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5F595F" w14:textId="77777777" w:rsidR="008C43C0" w:rsidRDefault="006B7C07">
            <w:pPr>
              <w:pStyle w:val="TableContents"/>
              <w:jc w:val="right"/>
            </w:pPr>
            <w:r>
              <w:t>/1,5</w:t>
            </w:r>
          </w:p>
        </w:tc>
      </w:tr>
    </w:tbl>
    <w:p w14:paraId="3D85675D" w14:textId="77777777" w:rsidR="008C43C0" w:rsidRDefault="006B7C07">
      <w:pPr>
        <w:pStyle w:val="Quotations"/>
        <w:numPr>
          <w:ilvl w:val="0"/>
          <w:numId w:val="6"/>
        </w:numPr>
      </w:pPr>
      <w:r>
        <w:t>Les TIC ont donc un impact très important sur les humains et leur vie de tous les jours. Cependant elles apportent énormément. Pour ma part, je trouve qu’elles sont essentielles et que nous devons</w:t>
      </w:r>
      <w:r>
        <w:t xml:space="preserve"> continuer à les développer, mais qu’elles doivent être utilisées avec précaution.</w:t>
      </w:r>
    </w:p>
    <w:tbl>
      <w:tblPr>
        <w:tblW w:w="10200" w:type="dxa"/>
        <w:tblLayout w:type="fixed"/>
        <w:tblCellMar>
          <w:left w:w="10" w:type="dxa"/>
          <w:right w:w="10" w:type="dxa"/>
        </w:tblCellMar>
        <w:tblLook w:val="0000" w:firstRow="0" w:lastRow="0" w:firstColumn="0" w:lastColumn="0" w:noHBand="0" w:noVBand="0"/>
      </w:tblPr>
      <w:tblGrid>
        <w:gridCol w:w="5910"/>
        <w:gridCol w:w="4290"/>
      </w:tblGrid>
      <w:tr w:rsidR="008C43C0" w14:paraId="27081002" w14:textId="77777777">
        <w:tblPrEx>
          <w:tblCellMar>
            <w:top w:w="0" w:type="dxa"/>
            <w:bottom w:w="0" w:type="dxa"/>
          </w:tblCellMar>
        </w:tblPrEx>
        <w:tc>
          <w:tcPr>
            <w:tcW w:w="5910" w:type="dxa"/>
            <w:tcBorders>
              <w:top w:val="single" w:sz="2" w:space="0" w:color="000000"/>
              <w:left w:val="single" w:sz="2" w:space="0" w:color="000000"/>
              <w:bottom w:val="single" w:sz="2" w:space="0" w:color="000000"/>
            </w:tcBorders>
            <w:tcMar>
              <w:top w:w="55" w:type="dxa"/>
              <w:left w:w="55" w:type="dxa"/>
              <w:bottom w:w="55" w:type="dxa"/>
              <w:right w:w="55" w:type="dxa"/>
            </w:tcMar>
          </w:tcPr>
          <w:p w14:paraId="41DB2484" w14:textId="77777777" w:rsidR="008C43C0" w:rsidRDefault="006B7C07">
            <w:pPr>
              <w:pStyle w:val="TableContents"/>
            </w:pPr>
            <w:r>
              <w:rPr>
                <w:b/>
                <w:bCs/>
              </w:rPr>
              <w:t>Conclusion </w:t>
            </w:r>
            <w:r>
              <w:t>: 1) bilan de l’analyse ; 2) réponse personnelle à la problématique ; 3) ouverture si possible</w:t>
            </w:r>
          </w:p>
        </w:tc>
        <w:tc>
          <w:tcPr>
            <w:tcW w:w="42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F14AB9B" w14:textId="77777777" w:rsidR="008C43C0" w:rsidRDefault="006B7C07">
            <w:pPr>
              <w:pStyle w:val="TableContents"/>
              <w:jc w:val="right"/>
            </w:pPr>
            <w:r>
              <w:t>/1,5</w:t>
            </w:r>
          </w:p>
        </w:tc>
      </w:tr>
    </w:tbl>
    <w:p w14:paraId="7B5AE721" w14:textId="77777777" w:rsidR="008C43C0" w:rsidRDefault="006B7C07">
      <w:pPr>
        <w:pStyle w:val="Quotations"/>
        <w:numPr>
          <w:ilvl w:val="0"/>
          <w:numId w:val="6"/>
        </w:numPr>
      </w:pPr>
      <w:r>
        <w:t>Ainsi, nous avons vu qu’Internet et les nouvelles technologie</w:t>
      </w:r>
      <w:r>
        <w:t>s ont changé l’Homme, que ce soit au niveau de la lecture, des recherches ou même d’un point de vue cérébral. Cependant, ce n’est pas une raison pour considérer Internet comme une chose dangereuse en soi : seul ce que l’Homme en fait peut inquiéter. Il fau</w:t>
      </w:r>
      <w:r>
        <w:t>t oser, pour un temps, débrancher les outils numériques qui clignotent et/ou vibrent et nous déconcentrent, réapprendre à ne faire qu’une tâche à la fois et à se concentrer de façon à éviter</w:t>
      </w:r>
      <w:r>
        <w:t xml:space="preserve"> « </w:t>
      </w:r>
      <w:r>
        <w:rPr>
          <w:i/>
          <w:iCs/>
        </w:rPr>
        <w:t>u</w:t>
      </w:r>
      <w:r>
        <w:rPr>
          <w:rStyle w:val="Emphasis"/>
        </w:rPr>
        <w:t xml:space="preserve">ne pensée pressée et distraite et </w:t>
      </w:r>
      <w:r>
        <w:rPr>
          <w:rStyle w:val="Emphasis"/>
          <w:i w:val="0"/>
          <w:iCs w:val="0"/>
        </w:rPr>
        <w:t>[…]</w:t>
      </w:r>
      <w:r>
        <w:rPr>
          <w:rStyle w:val="Emphasis"/>
        </w:rPr>
        <w:t xml:space="preserve"> un apprentissage superfi</w:t>
      </w:r>
      <w:r>
        <w:rPr>
          <w:rStyle w:val="Emphasis"/>
        </w:rPr>
        <w:t>ciel </w:t>
      </w:r>
      <w:r>
        <w:rPr>
          <w:rStyle w:val="Emphasis"/>
          <w:i w:val="0"/>
          <w:iCs w:val="0"/>
        </w:rPr>
        <w:t>» (N. Carr). Par ailleurs, après la course au progrès technique et technologique de ces dernières décennies, la question n’est plus de savoir si nous pouvons faire telle ou telle chose, mais si nous pouvons en contrôler les paramètres et les conséquen</w:t>
      </w:r>
      <w:r>
        <w:rPr>
          <w:rStyle w:val="Emphasis"/>
          <w:i w:val="0"/>
          <w:iCs w:val="0"/>
        </w:rPr>
        <w:t>ces et, surtout, pourquoi nous les faisons.</w:t>
      </w:r>
    </w:p>
    <w:tbl>
      <w:tblPr>
        <w:tblW w:w="10200" w:type="dxa"/>
        <w:tblLayout w:type="fixed"/>
        <w:tblCellMar>
          <w:left w:w="10" w:type="dxa"/>
          <w:right w:w="10" w:type="dxa"/>
        </w:tblCellMar>
        <w:tblLook w:val="0000" w:firstRow="0" w:lastRow="0" w:firstColumn="0" w:lastColumn="0" w:noHBand="0" w:noVBand="0"/>
      </w:tblPr>
      <w:tblGrid>
        <w:gridCol w:w="5910"/>
        <w:gridCol w:w="4290"/>
      </w:tblGrid>
      <w:tr w:rsidR="008C43C0" w14:paraId="2DAFCAAA" w14:textId="77777777">
        <w:tblPrEx>
          <w:tblCellMar>
            <w:top w:w="0" w:type="dxa"/>
            <w:bottom w:w="0" w:type="dxa"/>
          </w:tblCellMar>
        </w:tblPrEx>
        <w:tc>
          <w:tcPr>
            <w:tcW w:w="5910" w:type="dxa"/>
            <w:tcBorders>
              <w:top w:val="single" w:sz="2" w:space="0" w:color="000000"/>
              <w:left w:val="single" w:sz="2" w:space="0" w:color="000000"/>
              <w:bottom w:val="single" w:sz="2" w:space="0" w:color="000000"/>
            </w:tcBorders>
            <w:tcMar>
              <w:top w:w="55" w:type="dxa"/>
              <w:left w:w="55" w:type="dxa"/>
              <w:bottom w:w="55" w:type="dxa"/>
              <w:right w:w="55" w:type="dxa"/>
            </w:tcMar>
          </w:tcPr>
          <w:p w14:paraId="6961C4FD" w14:textId="77777777" w:rsidR="008C43C0" w:rsidRDefault="006B7C07">
            <w:pPr>
              <w:pStyle w:val="TableContents"/>
            </w:pPr>
            <w:r>
              <w:rPr>
                <w:b/>
                <w:bCs/>
              </w:rPr>
              <w:t>Conclusion </w:t>
            </w:r>
            <w:r>
              <w:t>: 1) bilan de l’analyse ; 2) réponse personnelle à la problématique ; 3) ouverture si possible</w:t>
            </w:r>
          </w:p>
        </w:tc>
        <w:tc>
          <w:tcPr>
            <w:tcW w:w="42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6CEFC3E" w14:textId="77777777" w:rsidR="008C43C0" w:rsidRDefault="006B7C07">
            <w:pPr>
              <w:pStyle w:val="TableContents"/>
              <w:jc w:val="right"/>
            </w:pPr>
            <w:r>
              <w:t>/1,5</w:t>
            </w:r>
          </w:p>
        </w:tc>
      </w:tr>
    </w:tbl>
    <w:p w14:paraId="4BFEA410" w14:textId="77777777" w:rsidR="008C43C0" w:rsidRDefault="008C43C0">
      <w:pPr>
        <w:pStyle w:val="Heading1"/>
      </w:pPr>
    </w:p>
    <w:p w14:paraId="02E8DE85" w14:textId="77777777" w:rsidR="008C43C0" w:rsidRDefault="006B7C07">
      <w:pPr>
        <w:pStyle w:val="Heading1"/>
      </w:pPr>
      <w:bookmarkStart w:id="5" w:name="__RefHeading___Toc6310_154911201"/>
      <w:r>
        <w:rPr>
          <w:rStyle w:val="Emphasis"/>
          <w:i w:val="0"/>
          <w:iCs w:val="0"/>
        </w:rPr>
        <w:t>Le développement</w:t>
      </w:r>
      <w:bookmarkEnd w:id="5"/>
    </w:p>
    <w:p w14:paraId="3AAD4C97" w14:textId="77777777" w:rsidR="008C43C0" w:rsidRDefault="006B7C07">
      <w:pPr>
        <w:pStyle w:val="Textbody"/>
      </w:pPr>
      <w:r>
        <w:rPr>
          <w:rStyle w:val="Emphasis"/>
          <w:b/>
          <w:bCs/>
          <w:i w:val="0"/>
          <w:iCs w:val="0"/>
          <w:color w:val="009900"/>
          <w:sz w:val="28"/>
          <w:szCs w:val="28"/>
        </w:rPr>
        <w:t>5.1</w:t>
      </w:r>
      <w:r>
        <w:rPr>
          <w:rStyle w:val="Emphasis"/>
          <w:b/>
          <w:bCs/>
          <w:i w:val="0"/>
          <w:iCs w:val="0"/>
          <w:color w:val="0000CC"/>
        </w:rPr>
        <w:t xml:space="preserve"> </w:t>
      </w:r>
      <w:r>
        <w:rPr>
          <w:rStyle w:val="Emphasis"/>
          <w:i w:val="0"/>
          <w:iCs w:val="0"/>
        </w:rPr>
        <w:t>Comparez les deux sous-parties suivantes et dites laquelle est meilleure et po</w:t>
      </w:r>
      <w:r>
        <w:rPr>
          <w:rStyle w:val="Emphasis"/>
          <w:i w:val="0"/>
          <w:iCs w:val="0"/>
        </w:rPr>
        <w:t>ur quelle(s) raison(s) – pensez à citer les textes pour justifier votre avis.</w:t>
      </w:r>
      <w:r>
        <w:rPr>
          <w:rStyle w:val="Emphasis"/>
          <w:i w:val="0"/>
          <w:iCs w:val="0"/>
        </w:rPr>
        <w:br/>
      </w:r>
      <w:r>
        <w:rPr>
          <w:rStyle w:val="Emphasis"/>
          <w:i w:val="0"/>
          <w:iCs w:val="0"/>
        </w:rPr>
        <w:tab/>
        <w:t>Par ailleurs, si l’un des deux textes est nettement meilleur (une copie a eu 9/20, l’autre 14/20), il contient cependant une imprécision à la fin de l’avant-dernier paragraphe :</w:t>
      </w:r>
      <w:r>
        <w:rPr>
          <w:rStyle w:val="Emphasis"/>
          <w:i w:val="0"/>
          <w:iCs w:val="0"/>
        </w:rPr>
        <w:t xml:space="preserve"> trouvez-la (pour ce faire, relisez « Dans la réaction aux infos plutôt que dans l’analyse »</w:t>
      </w:r>
      <w:r>
        <w:rPr>
          <w:rStyle w:val="Emphasis"/>
          <w:rFonts w:ascii="Liberation Sans" w:hAnsi="Liberation Sans"/>
          <w:i w:val="0"/>
          <w:iCs w:val="0"/>
        </w:rPr>
        <w:t xml:space="preserve"> du</w:t>
      </w:r>
      <w:r>
        <w:rPr>
          <w:rStyle w:val="Emphasis"/>
          <w:i w:val="0"/>
          <w:iCs w:val="0"/>
        </w:rPr>
        <w:t xml:space="preserve"> texte 3 du corpus initial).</w:t>
      </w:r>
    </w:p>
    <w:p w14:paraId="25600025" w14:textId="77777777" w:rsidR="008C43C0" w:rsidRDefault="006B7C07">
      <w:pPr>
        <w:pStyle w:val="Textbody"/>
      </w:pPr>
      <w:r>
        <w:rPr>
          <w:rStyle w:val="Emphasis"/>
          <w:i w:val="0"/>
          <w:iCs w:val="0"/>
          <w:sz w:val="21"/>
          <w:szCs w:val="21"/>
        </w:rPr>
        <w:t>Répondez dans les cases prévues à cet effet. Vous pouvez aussi commenter</w:t>
      </w:r>
      <w:r>
        <w:rPr>
          <w:rStyle w:val="Emphasis"/>
          <w:i w:val="0"/>
          <w:iCs w:val="0"/>
          <w:sz w:val="21"/>
          <w:szCs w:val="21"/>
        </w:rPr>
        <w:t xml:space="preserve"> directement un passage en le sélectionnant puis en ouvrant une fenêtre de commentaire (Ctrl-Alt-C).</w:t>
      </w:r>
    </w:p>
    <w:tbl>
      <w:tblPr>
        <w:tblW w:w="11675" w:type="dxa"/>
        <w:tblInd w:w="-750" w:type="dxa"/>
        <w:tblLayout w:type="fixed"/>
        <w:tblCellMar>
          <w:left w:w="10" w:type="dxa"/>
          <w:right w:w="10" w:type="dxa"/>
        </w:tblCellMar>
        <w:tblLook w:val="0000" w:firstRow="0" w:lastRow="0" w:firstColumn="0" w:lastColumn="0" w:noHBand="0" w:noVBand="0"/>
      </w:tblPr>
      <w:tblGrid>
        <w:gridCol w:w="855"/>
        <w:gridCol w:w="6345"/>
        <w:gridCol w:w="3000"/>
        <w:gridCol w:w="1475"/>
      </w:tblGrid>
      <w:tr w:rsidR="008C43C0" w14:paraId="67E3B520" w14:textId="77777777">
        <w:tblPrEx>
          <w:tblCellMar>
            <w:top w:w="0" w:type="dxa"/>
            <w:bottom w:w="0" w:type="dxa"/>
          </w:tblCellMar>
        </w:tblPrEx>
        <w:tc>
          <w:tcPr>
            <w:tcW w:w="855" w:type="dxa"/>
            <w:tcBorders>
              <w:top w:val="single" w:sz="2" w:space="0" w:color="000000"/>
              <w:left w:val="single" w:sz="2" w:space="0" w:color="000000"/>
              <w:bottom w:val="single" w:sz="2" w:space="0" w:color="000000"/>
            </w:tcBorders>
            <w:tcMar>
              <w:top w:w="55" w:type="dxa"/>
              <w:left w:w="55" w:type="dxa"/>
              <w:bottom w:w="55" w:type="dxa"/>
              <w:right w:w="55" w:type="dxa"/>
            </w:tcMar>
          </w:tcPr>
          <w:p w14:paraId="6EF25A43" w14:textId="77777777" w:rsidR="008C43C0" w:rsidRDefault="008C43C0">
            <w:pPr>
              <w:pStyle w:val="TableContents"/>
              <w:jc w:val="center"/>
              <w:rPr>
                <w:b/>
                <w:bCs/>
              </w:rPr>
            </w:pPr>
          </w:p>
        </w:tc>
        <w:tc>
          <w:tcPr>
            <w:tcW w:w="6345" w:type="dxa"/>
            <w:tcBorders>
              <w:top w:val="single" w:sz="2" w:space="0" w:color="000000"/>
              <w:left w:val="single" w:sz="2" w:space="0" w:color="000000"/>
              <w:bottom w:val="single" w:sz="2" w:space="0" w:color="000000"/>
            </w:tcBorders>
            <w:tcMar>
              <w:top w:w="55" w:type="dxa"/>
              <w:left w:w="55" w:type="dxa"/>
              <w:bottom w:w="55" w:type="dxa"/>
              <w:right w:w="55" w:type="dxa"/>
            </w:tcMar>
          </w:tcPr>
          <w:p w14:paraId="627DBFD6" w14:textId="77777777" w:rsidR="008C43C0" w:rsidRDefault="006B7C07">
            <w:pPr>
              <w:pStyle w:val="TableContents"/>
              <w:jc w:val="center"/>
              <w:rPr>
                <w:b/>
                <w:bCs/>
              </w:rPr>
            </w:pPr>
            <w:r>
              <w:rPr>
                <w:b/>
                <w:bCs/>
              </w:rPr>
              <w:t>Textes</w:t>
            </w:r>
          </w:p>
        </w:tc>
        <w:tc>
          <w:tcPr>
            <w:tcW w:w="3000" w:type="dxa"/>
            <w:tcBorders>
              <w:top w:val="single" w:sz="2" w:space="0" w:color="000000"/>
              <w:left w:val="single" w:sz="2" w:space="0" w:color="000000"/>
              <w:bottom w:val="single" w:sz="2" w:space="0" w:color="000000"/>
            </w:tcBorders>
            <w:tcMar>
              <w:top w:w="55" w:type="dxa"/>
              <w:left w:w="55" w:type="dxa"/>
              <w:bottom w:w="55" w:type="dxa"/>
              <w:right w:w="55" w:type="dxa"/>
            </w:tcMar>
          </w:tcPr>
          <w:p w14:paraId="0D356C8E" w14:textId="77777777" w:rsidR="008C43C0" w:rsidRDefault="006B7C07">
            <w:pPr>
              <w:pStyle w:val="TableContents"/>
              <w:jc w:val="center"/>
              <w:rPr>
                <w:b/>
                <w:bCs/>
              </w:rPr>
            </w:pPr>
            <w:r>
              <w:rPr>
                <w:b/>
                <w:bCs/>
              </w:rPr>
              <w:t>Commentaire général pour chacun des deux textes</w:t>
            </w:r>
          </w:p>
        </w:tc>
        <w:tc>
          <w:tcPr>
            <w:tcW w:w="14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924812" w14:textId="77777777" w:rsidR="008C43C0" w:rsidRDefault="006B7C07">
            <w:pPr>
              <w:pStyle w:val="TableContents"/>
              <w:jc w:val="center"/>
              <w:rPr>
                <w:b/>
                <w:bCs/>
              </w:rPr>
            </w:pPr>
            <w:r>
              <w:rPr>
                <w:b/>
                <w:bCs/>
              </w:rPr>
              <w:t>Quel est le meilleur texte ?</w:t>
            </w:r>
          </w:p>
        </w:tc>
      </w:tr>
      <w:tr w:rsidR="008C43C0" w14:paraId="23E7FCCC" w14:textId="77777777">
        <w:tblPrEx>
          <w:tblCellMar>
            <w:top w:w="0" w:type="dxa"/>
            <w:bottom w:w="0" w:type="dxa"/>
          </w:tblCellMar>
        </w:tblPrEx>
        <w:tc>
          <w:tcPr>
            <w:tcW w:w="855" w:type="dxa"/>
            <w:tcBorders>
              <w:left w:val="single" w:sz="2" w:space="0" w:color="000000"/>
              <w:bottom w:val="single" w:sz="2" w:space="0" w:color="000000"/>
            </w:tcBorders>
            <w:tcMar>
              <w:top w:w="55" w:type="dxa"/>
              <w:left w:w="55" w:type="dxa"/>
              <w:bottom w:w="55" w:type="dxa"/>
              <w:right w:w="55" w:type="dxa"/>
            </w:tcMar>
          </w:tcPr>
          <w:p w14:paraId="25A87D9E" w14:textId="77777777" w:rsidR="008C43C0" w:rsidRDefault="006B7C07">
            <w:pPr>
              <w:pStyle w:val="TableContents"/>
              <w:jc w:val="center"/>
              <w:rPr>
                <w:b/>
                <w:bCs/>
              </w:rPr>
            </w:pPr>
            <w:r>
              <w:rPr>
                <w:b/>
                <w:bCs/>
              </w:rPr>
              <w:t>Texte 1</w:t>
            </w:r>
          </w:p>
        </w:tc>
        <w:tc>
          <w:tcPr>
            <w:tcW w:w="6345" w:type="dxa"/>
            <w:tcBorders>
              <w:left w:val="single" w:sz="2" w:space="0" w:color="000000"/>
              <w:bottom w:val="single" w:sz="2" w:space="0" w:color="000000"/>
            </w:tcBorders>
            <w:tcMar>
              <w:top w:w="55" w:type="dxa"/>
              <w:left w:w="55" w:type="dxa"/>
              <w:bottom w:w="55" w:type="dxa"/>
              <w:right w:w="55" w:type="dxa"/>
            </w:tcMar>
          </w:tcPr>
          <w:p w14:paraId="4BE7ECF1" w14:textId="77777777" w:rsidR="008C43C0" w:rsidRDefault="006B7C07">
            <w:pPr>
              <w:pStyle w:val="TableContents"/>
              <w:rPr>
                <w:b/>
                <w:bCs/>
                <w:sz w:val="28"/>
                <w:szCs w:val="28"/>
              </w:rPr>
            </w:pPr>
            <w:r>
              <w:rPr>
                <w:b/>
                <w:bCs/>
                <w:color w:val="0000FF"/>
                <w:sz w:val="28"/>
                <w:szCs w:val="28"/>
              </w:rPr>
              <w:t>3. L’attention au cœur du problème</w:t>
            </w:r>
          </w:p>
          <w:p w14:paraId="1B79AB86" w14:textId="77777777" w:rsidR="008C43C0" w:rsidRDefault="006B7C07">
            <w:pPr>
              <w:pStyle w:val="TableContents"/>
              <w:rPr>
                <w:color w:val="0000FF"/>
              </w:rPr>
            </w:pPr>
            <w:r>
              <w:rPr>
                <w:b/>
                <w:bCs/>
                <w:color w:val="0000FF"/>
              </w:rPr>
              <w:lastRenderedPageBreak/>
              <w:t xml:space="preserve">3.1. Les effets du </w:t>
            </w:r>
            <w:r>
              <w:rPr>
                <w:b/>
                <w:bCs/>
                <w:color w:val="0000FF"/>
              </w:rPr>
              <w:t>« survol » constant d’informations</w:t>
            </w:r>
          </w:p>
          <w:p w14:paraId="25B60295" w14:textId="77777777" w:rsidR="008C43C0" w:rsidRDefault="006B7C07">
            <w:pPr>
              <w:pStyle w:val="TableContents"/>
              <w:rPr>
                <w:color w:val="0000FF"/>
              </w:rPr>
            </w:pPr>
            <w:r>
              <w:rPr>
                <w:color w:val="0000FF"/>
              </w:rPr>
              <w:t>Contrairement à la lecture d’un livre physique, l’environnement du lecteur sur un ordinateur, une tablette ou un smartphone n’est pas passif et est inondé de distractions. Il en résulte une consommation de l’information e</w:t>
            </w:r>
            <w:r>
              <w:rPr>
                <w:color w:val="0000FF"/>
              </w:rPr>
              <w:t>ssentiellement distraite. Or ces distractions ont un effet néfaste sur notre capacité à enregistrer l’information. En effet, c’est l’attention que nous portons à ce que nous lisons qui détermine si nous nous en rappellerons ou non.</w:t>
            </w:r>
          </w:p>
          <w:p w14:paraId="528DCBDE" w14:textId="77777777" w:rsidR="008C43C0" w:rsidRDefault="006B7C07">
            <w:pPr>
              <w:pStyle w:val="TableContents"/>
              <w:rPr>
                <w:color w:val="0000FF"/>
              </w:rPr>
            </w:pPr>
            <w:r>
              <w:rPr>
                <w:color w:val="0000FF"/>
              </w:rPr>
              <w:t>En outre, Internet rédui</w:t>
            </w:r>
            <w:r>
              <w:rPr>
                <w:color w:val="0000FF"/>
              </w:rPr>
              <w:t>t notre capacité de concentration, simplement à cause du fait que nous sommes maintenant habitués au multitasking. En effet, l’homme est aujourd’hui à la recherche de facilité, d’instantanéité ce qui le conduit à accomplir plusieurs tâches en même temps. O</w:t>
            </w:r>
            <w:r>
              <w:rPr>
                <w:color w:val="0000FF"/>
              </w:rPr>
              <w:t>r notre cerveau ne sait faire qu’une chose à la fois. De ce fait, en cas de multitasking, il doit ordonner les multiples petites tâches à faire pour les réaliser une par une. Cela prend plus de temps que de les réaliser l’une après l’autre</w:t>
            </w:r>
            <w:r>
              <w:rPr>
                <w:color w:val="0000FF"/>
              </w:rPr>
              <w:t>.</w:t>
            </w:r>
            <w:r>
              <w:rPr>
                <w:color w:val="0000FF"/>
              </w:rPr>
              <w:t xml:space="preserve"> Cela tend égale</w:t>
            </w:r>
            <w:r>
              <w:rPr>
                <w:color w:val="0000FF"/>
              </w:rPr>
              <w:t>ment à faire grimper le taux d’erreur.</w:t>
            </w:r>
          </w:p>
          <w:p w14:paraId="24D2F744" w14:textId="77777777" w:rsidR="008C43C0" w:rsidRDefault="006B7C07">
            <w:pPr>
              <w:pStyle w:val="TableContents"/>
              <w:rPr>
                <w:color w:val="0000FF"/>
              </w:rPr>
            </w:pPr>
            <w:r>
              <w:rPr>
                <w:color w:val="0000FF"/>
              </w:rPr>
              <w:t>En résulte un réflexe inquiétant : l’habitude du multitasking que nous développons nous pousse à remettre à plus tard les tâches longues. Cette tendance à la procrastination peut aussi être due au caractère distrayant</w:t>
            </w:r>
            <w:r>
              <w:rPr>
                <w:color w:val="0000FF"/>
              </w:rPr>
              <w:t xml:space="preserve"> des stimulus que nous procurent </w:t>
            </w:r>
            <w:proofErr w:type="gramStart"/>
            <w:r>
              <w:rPr>
                <w:color w:val="0000FF"/>
              </w:rPr>
              <w:t>nos objets high-tech</w:t>
            </w:r>
            <w:proofErr w:type="gramEnd"/>
            <w:r>
              <w:rPr>
                <w:color w:val="0000FF"/>
              </w:rPr>
              <w:t>.</w:t>
            </w:r>
          </w:p>
        </w:tc>
        <w:tc>
          <w:tcPr>
            <w:tcW w:w="3000" w:type="dxa"/>
            <w:tcBorders>
              <w:left w:val="single" w:sz="2" w:space="0" w:color="000000"/>
              <w:bottom w:val="single" w:sz="2" w:space="0" w:color="000000"/>
            </w:tcBorders>
            <w:tcMar>
              <w:top w:w="55" w:type="dxa"/>
              <w:left w:w="55" w:type="dxa"/>
              <w:bottom w:w="55" w:type="dxa"/>
              <w:right w:w="55" w:type="dxa"/>
            </w:tcMar>
          </w:tcPr>
          <w:p w14:paraId="4C64A998" w14:textId="77777777" w:rsidR="008C43C0" w:rsidRDefault="008C43C0">
            <w:pPr>
              <w:pStyle w:val="TableContents"/>
            </w:pPr>
          </w:p>
        </w:tc>
        <w:tc>
          <w:tcPr>
            <w:tcW w:w="1475"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14:paraId="4CCB0768" w14:textId="77777777" w:rsidR="008C43C0" w:rsidRDefault="008C43C0">
            <w:pPr>
              <w:pStyle w:val="TableContents"/>
            </w:pPr>
          </w:p>
        </w:tc>
      </w:tr>
      <w:tr w:rsidR="008C43C0" w14:paraId="25B9CBDB" w14:textId="77777777">
        <w:tblPrEx>
          <w:tblCellMar>
            <w:top w:w="0" w:type="dxa"/>
            <w:bottom w:w="0" w:type="dxa"/>
          </w:tblCellMar>
        </w:tblPrEx>
        <w:tc>
          <w:tcPr>
            <w:tcW w:w="855" w:type="dxa"/>
            <w:tcBorders>
              <w:left w:val="single" w:sz="2" w:space="0" w:color="000000"/>
              <w:bottom w:val="single" w:sz="2" w:space="0" w:color="000000"/>
            </w:tcBorders>
            <w:tcMar>
              <w:top w:w="55" w:type="dxa"/>
              <w:left w:w="55" w:type="dxa"/>
              <w:bottom w:w="55" w:type="dxa"/>
              <w:right w:w="55" w:type="dxa"/>
            </w:tcMar>
          </w:tcPr>
          <w:p w14:paraId="15D9D3B0" w14:textId="77777777" w:rsidR="008C43C0" w:rsidRDefault="006B7C07">
            <w:pPr>
              <w:pStyle w:val="TableContents"/>
              <w:jc w:val="center"/>
              <w:rPr>
                <w:b/>
                <w:bCs/>
              </w:rPr>
            </w:pPr>
            <w:r>
              <w:rPr>
                <w:b/>
                <w:bCs/>
              </w:rPr>
              <w:t>Texte 2</w:t>
            </w:r>
          </w:p>
        </w:tc>
        <w:tc>
          <w:tcPr>
            <w:tcW w:w="6345" w:type="dxa"/>
            <w:tcBorders>
              <w:left w:val="single" w:sz="2" w:space="0" w:color="000000"/>
              <w:bottom w:val="single" w:sz="2" w:space="0" w:color="000000"/>
            </w:tcBorders>
            <w:tcMar>
              <w:top w:w="55" w:type="dxa"/>
              <w:left w:w="55" w:type="dxa"/>
              <w:bottom w:w="55" w:type="dxa"/>
              <w:right w:w="55" w:type="dxa"/>
            </w:tcMar>
          </w:tcPr>
          <w:p w14:paraId="609AB58B" w14:textId="77777777" w:rsidR="008C43C0" w:rsidRDefault="006B7C07">
            <w:pPr>
              <w:pStyle w:val="TableContents"/>
              <w:rPr>
                <w:b/>
                <w:bCs/>
                <w:color w:val="0000FF"/>
                <w:sz w:val="28"/>
                <w:szCs w:val="28"/>
              </w:rPr>
            </w:pPr>
            <w:r>
              <w:rPr>
                <w:b/>
                <w:bCs/>
                <w:color w:val="0000FF"/>
                <w:sz w:val="28"/>
                <w:szCs w:val="28"/>
              </w:rPr>
              <w:t>1. Apprentissage d’une nouvelle façon de lire</w:t>
            </w:r>
          </w:p>
          <w:p w14:paraId="2A336E96" w14:textId="77777777" w:rsidR="008C43C0" w:rsidRDefault="006B7C07">
            <w:pPr>
              <w:pStyle w:val="TableContents"/>
              <w:rPr>
                <w:color w:val="0000FF"/>
              </w:rPr>
            </w:pPr>
            <w:r>
              <w:rPr>
                <w:color w:val="0000FF"/>
              </w:rPr>
              <w:t>À force de lire sur le Web, Nicholas Carr a distingué des changements dans sa capacité à lire un livre.</w:t>
            </w:r>
          </w:p>
          <w:p w14:paraId="12264936" w14:textId="77777777" w:rsidR="008C43C0" w:rsidRDefault="006B7C07">
            <w:pPr>
              <w:pStyle w:val="TableContents"/>
              <w:rPr>
                <w:b/>
                <w:bCs/>
                <w:color w:val="0000FF"/>
              </w:rPr>
            </w:pPr>
            <w:r>
              <w:rPr>
                <w:b/>
                <w:bCs/>
                <w:color w:val="0000FF"/>
              </w:rPr>
              <w:t>1.1. Une manière moins linéaire</w:t>
            </w:r>
          </w:p>
          <w:p w14:paraId="61D3527D" w14:textId="77777777" w:rsidR="008C43C0" w:rsidRDefault="006B7C07">
            <w:pPr>
              <w:pStyle w:val="TableContents"/>
              <w:rPr>
                <w:color w:val="0000FF"/>
              </w:rPr>
            </w:pPr>
            <w:r>
              <w:rPr>
                <w:color w:val="0000FF"/>
              </w:rPr>
              <w:t>Contrairement à un livre, l’environnement numérique nous pousse à piocher des passages ou des chapitres intéressants au lieu de nous inciter à lire un texte en entier. Il nous pousse à la lecture en diagonale, à une pensée pressée et distraite.</w:t>
            </w:r>
          </w:p>
          <w:p w14:paraId="03107642" w14:textId="77777777" w:rsidR="008C43C0" w:rsidRDefault="006B7C07">
            <w:pPr>
              <w:pStyle w:val="TableContents"/>
              <w:rPr>
                <w:b/>
                <w:bCs/>
                <w:color w:val="0000FF"/>
              </w:rPr>
            </w:pPr>
            <w:r>
              <w:rPr>
                <w:b/>
                <w:bCs/>
                <w:color w:val="0000FF"/>
              </w:rPr>
              <w:t>1.2. Une le</w:t>
            </w:r>
            <w:r>
              <w:rPr>
                <w:b/>
                <w:bCs/>
                <w:color w:val="0000FF"/>
              </w:rPr>
              <w:t>cture distraite</w:t>
            </w:r>
          </w:p>
          <w:p w14:paraId="29956438" w14:textId="77777777" w:rsidR="008C43C0" w:rsidRDefault="006B7C07">
            <w:pPr>
              <w:pStyle w:val="TableContents"/>
              <w:rPr>
                <w:color w:val="0000FF"/>
              </w:rPr>
            </w:pPr>
            <w:r>
              <w:rPr>
                <w:color w:val="0000FF"/>
              </w:rPr>
              <w:t>Le réseau et les outils numériques favorisent des micro-interactions constantes et des mises à jour continues. Lorsqu’on lit un livre, il y a moyen de s’isoler alors que sur Internet, il y a toujours des notifications ou des mises à jour.</w:t>
            </w:r>
          </w:p>
          <w:p w14:paraId="6332928F" w14:textId="77777777" w:rsidR="008C43C0" w:rsidRDefault="006B7C07">
            <w:pPr>
              <w:pStyle w:val="TableContents"/>
              <w:rPr>
                <w:b/>
                <w:bCs/>
                <w:color w:val="0000FF"/>
              </w:rPr>
            </w:pPr>
            <w:r>
              <w:rPr>
                <w:b/>
                <w:bCs/>
                <w:color w:val="0000FF"/>
              </w:rPr>
              <w:lastRenderedPageBreak/>
              <w:t>1</w:t>
            </w:r>
            <w:r>
              <w:rPr>
                <w:b/>
                <w:bCs/>
                <w:color w:val="0000FF"/>
              </w:rPr>
              <w:t>.3. Un changement de culture</w:t>
            </w:r>
          </w:p>
          <w:p w14:paraId="262D5D1B" w14:textId="77777777" w:rsidR="008C43C0" w:rsidRDefault="006B7C07">
            <w:pPr>
              <w:pStyle w:val="TableContents"/>
              <w:rPr>
                <w:color w:val="0000FF"/>
              </w:rPr>
            </w:pPr>
            <w:r>
              <w:rPr>
                <w:color w:val="0000FF"/>
              </w:rPr>
              <w:t>Le passage à l’électronique augmente le livre, c’est un développement, pas une régression. Le Web nous change définitivement. Ce changement, comme ceux qui ont eu lieu avant dans l’histoire de l’humanité, nous finirons par l’ac</w:t>
            </w:r>
            <w:r>
              <w:rPr>
                <w:color w:val="0000FF"/>
              </w:rPr>
              <w:t>cepter. Du fait que nos cerveaux sont plastiques, nous nous adapterons et évoluerons. Carr est réaliste sur le fait qu’Internet pourrait étouffer la pensée écrite jusqu’à la faire disparaître, ce qui serait regrettable.</w:t>
            </w:r>
          </w:p>
          <w:p w14:paraId="35599087" w14:textId="77777777" w:rsidR="008C43C0" w:rsidRDefault="006B7C07">
            <w:pPr>
              <w:pStyle w:val="TableContents"/>
              <w:rPr>
                <w:b/>
                <w:bCs/>
                <w:color w:val="0000FF"/>
                <w:sz w:val="28"/>
                <w:szCs w:val="28"/>
              </w:rPr>
            </w:pPr>
            <w:r>
              <w:rPr>
                <w:b/>
                <w:bCs/>
                <w:color w:val="0000FF"/>
                <w:sz w:val="28"/>
                <w:szCs w:val="28"/>
              </w:rPr>
              <w:t>2. TIC et multitasking</w:t>
            </w:r>
          </w:p>
          <w:p w14:paraId="480A5BF7" w14:textId="77777777" w:rsidR="008C43C0" w:rsidRDefault="006B7C07">
            <w:pPr>
              <w:pStyle w:val="TableContents"/>
              <w:rPr>
                <w:color w:val="0000FF"/>
              </w:rPr>
            </w:pPr>
            <w:r>
              <w:rPr>
                <w:color w:val="0000FF"/>
              </w:rPr>
              <w:t>À cause des d</w:t>
            </w:r>
            <w:r>
              <w:rPr>
                <w:color w:val="0000FF"/>
              </w:rPr>
              <w:t>istractions évoquées plus haut, nous avons tendance à faire deux choses en même temps. Selon plusieurs spécialistes, il s’agit d’une habitude nocive.</w:t>
            </w:r>
          </w:p>
          <w:p w14:paraId="5076F32A" w14:textId="77777777" w:rsidR="008C43C0" w:rsidRDefault="006B7C07">
            <w:pPr>
              <w:pStyle w:val="TableContents"/>
              <w:rPr>
                <w:b/>
                <w:bCs/>
                <w:color w:val="0000FF"/>
              </w:rPr>
            </w:pPr>
            <w:r>
              <w:rPr>
                <w:b/>
                <w:bCs/>
                <w:color w:val="0000FF"/>
              </w:rPr>
              <w:t>2.1 Baisse de l’attention et de la concentration</w:t>
            </w:r>
          </w:p>
          <w:p w14:paraId="7E5B6354" w14:textId="77777777" w:rsidR="008C43C0" w:rsidRDefault="006B7C07">
            <w:pPr>
              <w:pStyle w:val="TableContents"/>
              <w:rPr>
                <w:color w:val="0000FF"/>
              </w:rPr>
            </w:pPr>
            <w:r>
              <w:rPr>
                <w:color w:val="0000FF"/>
              </w:rPr>
              <w:t>Lorsque nous essayons de faire deux choses en même temps,</w:t>
            </w:r>
            <w:r>
              <w:rPr>
                <w:color w:val="0000FF"/>
              </w:rPr>
              <w:t xml:space="preserve"> notre attention portée à chacune des deux diminue et nous négligeons les deux activités. De plus, notre cerveau ne peut véritablement faire qu’une seule chose à la fois et se déconcentre à cause du multitasking.</w:t>
            </w:r>
          </w:p>
          <w:p w14:paraId="12FE7BE3" w14:textId="77777777" w:rsidR="008C43C0" w:rsidRDefault="006B7C07">
            <w:pPr>
              <w:pStyle w:val="TableContents"/>
              <w:rPr>
                <w:b/>
                <w:bCs/>
                <w:color w:val="0000FF"/>
              </w:rPr>
            </w:pPr>
            <w:r>
              <w:rPr>
                <w:b/>
                <w:bCs/>
                <w:color w:val="0000FF"/>
              </w:rPr>
              <w:t>2.2 Perte d’efficacité et baisse de la qual</w:t>
            </w:r>
            <w:r>
              <w:rPr>
                <w:b/>
                <w:bCs/>
                <w:color w:val="0000FF"/>
              </w:rPr>
              <w:t>ité du travail</w:t>
            </w:r>
          </w:p>
          <w:p w14:paraId="47E37C5F" w14:textId="77777777" w:rsidR="008C43C0" w:rsidRDefault="006B7C07">
            <w:pPr>
              <w:pStyle w:val="TableContents"/>
              <w:rPr>
                <w:color w:val="0000FF"/>
              </w:rPr>
            </w:pPr>
            <w:r>
              <w:rPr>
                <w:color w:val="0000FF"/>
              </w:rPr>
              <w:t>Lorsque les gens tentent d’être multitâches, il est démontré que le taux d’erreur grimpe et que les travaux effectués nous prennent plus de temps au final.</w:t>
            </w:r>
          </w:p>
          <w:p w14:paraId="7D27183B" w14:textId="77777777" w:rsidR="008C43C0" w:rsidRDefault="006B7C07">
            <w:pPr>
              <w:pStyle w:val="TableContents"/>
              <w:rPr>
                <w:color w:val="0000FF"/>
              </w:rPr>
            </w:pPr>
            <w:r>
              <w:rPr>
                <w:color w:val="0000FF"/>
              </w:rPr>
              <w:t xml:space="preserve">Le travail est de plus bâclé. Faire du multitasking ne nous rend pas plus doués </w:t>
            </w:r>
            <w:r>
              <w:rPr>
                <w:color w:val="0000FF"/>
              </w:rPr>
              <w:t>pour le multitâche : cela signifie faire plusieurs choses moins bien.</w:t>
            </w:r>
          </w:p>
        </w:tc>
        <w:tc>
          <w:tcPr>
            <w:tcW w:w="3000" w:type="dxa"/>
            <w:tcBorders>
              <w:left w:val="single" w:sz="2" w:space="0" w:color="000000"/>
              <w:bottom w:val="single" w:sz="2" w:space="0" w:color="000000"/>
            </w:tcBorders>
            <w:tcMar>
              <w:top w:w="55" w:type="dxa"/>
              <w:left w:w="55" w:type="dxa"/>
              <w:bottom w:w="55" w:type="dxa"/>
              <w:right w:w="55" w:type="dxa"/>
            </w:tcMar>
          </w:tcPr>
          <w:p w14:paraId="5FD999D3" w14:textId="77777777" w:rsidR="008C43C0" w:rsidRDefault="008C43C0">
            <w:pPr>
              <w:pStyle w:val="TableContents"/>
            </w:pPr>
          </w:p>
        </w:tc>
        <w:tc>
          <w:tcPr>
            <w:tcW w:w="1475" w:type="dxa"/>
            <w:vMerge/>
            <w:tcBorders>
              <w:left w:val="single" w:sz="2" w:space="0" w:color="000000"/>
              <w:bottom w:val="single" w:sz="2" w:space="0" w:color="000000"/>
              <w:right w:val="single" w:sz="2" w:space="0" w:color="000000"/>
            </w:tcBorders>
            <w:tcMar>
              <w:top w:w="55" w:type="dxa"/>
              <w:left w:w="55" w:type="dxa"/>
              <w:bottom w:w="55" w:type="dxa"/>
              <w:right w:w="55" w:type="dxa"/>
            </w:tcMar>
          </w:tcPr>
          <w:p w14:paraId="39EF2060" w14:textId="77777777" w:rsidR="00000000" w:rsidRDefault="006B7C07"/>
        </w:tc>
      </w:tr>
    </w:tbl>
    <w:p w14:paraId="63CE6740" w14:textId="77777777" w:rsidR="008C43C0" w:rsidRDefault="008C43C0">
      <w:pPr>
        <w:pStyle w:val="Textbody"/>
      </w:pPr>
    </w:p>
    <w:p w14:paraId="005BE22A" w14:textId="77777777" w:rsidR="008C43C0" w:rsidRDefault="006B7C07">
      <w:pPr>
        <w:pStyle w:val="Textbody"/>
      </w:pPr>
      <w:r>
        <w:rPr>
          <w:rStyle w:val="Emphasis"/>
          <w:b/>
          <w:bCs/>
          <w:i w:val="0"/>
          <w:iCs w:val="0"/>
          <w:color w:val="009900"/>
          <w:sz w:val="28"/>
          <w:szCs w:val="28"/>
        </w:rPr>
        <w:t>5.2</w:t>
      </w:r>
      <w:r>
        <w:rPr>
          <w:rStyle w:val="Emphasis"/>
          <w:b/>
          <w:bCs/>
          <w:i w:val="0"/>
          <w:iCs w:val="0"/>
          <w:color w:val="0000CC"/>
        </w:rPr>
        <w:t xml:space="preserve"> </w:t>
      </w:r>
      <w:r>
        <w:rPr>
          <w:rStyle w:val="Emphasis"/>
          <w:i w:val="0"/>
          <w:iCs w:val="0"/>
        </w:rPr>
        <w:t>Analysez la</w:t>
      </w:r>
      <w:r>
        <w:rPr>
          <w:rStyle w:val="Emphasis"/>
          <w:i w:val="0"/>
          <w:iCs w:val="0"/>
        </w:rPr>
        <w:t xml:space="preserve"> sous-partie suivante (extraite d’une copie qui a obtenu 7/20) : expliquez ce qui ne va pas en général – deux problèmes. De plus, </w:t>
      </w:r>
      <w:r>
        <w:rPr>
          <w:rStyle w:val="Emphasis"/>
          <w:i w:val="0"/>
          <w:iCs w:val="0"/>
        </w:rPr>
        <w:t>dites à quelle critique précise correspond chaque couleur de surlignement.</w:t>
      </w:r>
    </w:p>
    <w:p w14:paraId="6000058D" w14:textId="77777777" w:rsidR="008C43C0" w:rsidRDefault="006B7C07">
      <w:pPr>
        <w:pStyle w:val="Textbody"/>
      </w:pPr>
      <w:r>
        <w:rPr>
          <w:rStyle w:val="Emphasis"/>
          <w:i w:val="0"/>
          <w:iCs w:val="0"/>
          <w:sz w:val="21"/>
          <w:szCs w:val="21"/>
        </w:rPr>
        <w:t>Répondez dans les cases prévues à cet effet. Vous p</w:t>
      </w:r>
      <w:r>
        <w:rPr>
          <w:rStyle w:val="Emphasis"/>
          <w:i w:val="0"/>
          <w:iCs w:val="0"/>
          <w:sz w:val="21"/>
          <w:szCs w:val="21"/>
        </w:rPr>
        <w:t>ouvez aussi commenter directement un passage en le sélectionnant puis en ouvrant une fenêtre de commentaire (Ctrl-Alt-C).</w:t>
      </w:r>
    </w:p>
    <w:tbl>
      <w:tblPr>
        <w:tblW w:w="11738" w:type="dxa"/>
        <w:tblInd w:w="-762" w:type="dxa"/>
        <w:tblLayout w:type="fixed"/>
        <w:tblCellMar>
          <w:left w:w="10" w:type="dxa"/>
          <w:right w:w="10" w:type="dxa"/>
        </w:tblCellMar>
        <w:tblLook w:val="0000" w:firstRow="0" w:lastRow="0" w:firstColumn="0" w:lastColumn="0" w:noHBand="0" w:noVBand="0"/>
      </w:tblPr>
      <w:tblGrid>
        <w:gridCol w:w="900"/>
        <w:gridCol w:w="6300"/>
        <w:gridCol w:w="4538"/>
      </w:tblGrid>
      <w:tr w:rsidR="008C43C0" w14:paraId="33D71099" w14:textId="77777777">
        <w:tblPrEx>
          <w:tblCellMar>
            <w:top w:w="0" w:type="dxa"/>
            <w:bottom w:w="0" w:type="dxa"/>
          </w:tblCellMar>
        </w:tblPrEx>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BE1D713" w14:textId="77777777" w:rsidR="008C43C0" w:rsidRDefault="008C43C0">
            <w:pPr>
              <w:pStyle w:val="TableContents"/>
              <w:jc w:val="center"/>
              <w:rPr>
                <w:b/>
                <w:bCs/>
              </w:rPr>
            </w:pPr>
          </w:p>
        </w:tc>
        <w:tc>
          <w:tcPr>
            <w:tcW w:w="6300" w:type="dxa"/>
            <w:tcBorders>
              <w:top w:val="single" w:sz="2" w:space="0" w:color="000000"/>
              <w:left w:val="single" w:sz="2" w:space="0" w:color="000000"/>
              <w:bottom w:val="single" w:sz="2" w:space="0" w:color="000000"/>
            </w:tcBorders>
            <w:tcMar>
              <w:top w:w="55" w:type="dxa"/>
              <w:left w:w="55" w:type="dxa"/>
              <w:bottom w:w="55" w:type="dxa"/>
              <w:right w:w="55" w:type="dxa"/>
            </w:tcMar>
          </w:tcPr>
          <w:p w14:paraId="2204EEDD" w14:textId="77777777" w:rsidR="008C43C0" w:rsidRDefault="006B7C07">
            <w:pPr>
              <w:pStyle w:val="TableContents"/>
              <w:jc w:val="center"/>
              <w:rPr>
                <w:b/>
                <w:bCs/>
              </w:rPr>
            </w:pPr>
            <w:r>
              <w:rPr>
                <w:b/>
                <w:bCs/>
              </w:rPr>
              <w:t>Textes</w:t>
            </w:r>
          </w:p>
        </w:tc>
        <w:tc>
          <w:tcPr>
            <w:tcW w:w="45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4C4A9C" w14:textId="77777777" w:rsidR="008C43C0" w:rsidRDefault="006B7C07">
            <w:pPr>
              <w:pStyle w:val="TableContents"/>
              <w:jc w:val="center"/>
              <w:rPr>
                <w:b/>
                <w:bCs/>
              </w:rPr>
            </w:pPr>
            <w:r>
              <w:rPr>
                <w:b/>
                <w:bCs/>
              </w:rPr>
              <w:t>Commentaire général pour ce texte</w:t>
            </w:r>
          </w:p>
        </w:tc>
      </w:tr>
      <w:tr w:rsidR="008C43C0" w14:paraId="452AE88E" w14:textId="77777777">
        <w:tblPrEx>
          <w:tblCellMar>
            <w:top w:w="0" w:type="dxa"/>
            <w:bottom w:w="0" w:type="dxa"/>
          </w:tblCellMar>
        </w:tblPrEx>
        <w:tc>
          <w:tcPr>
            <w:tcW w:w="900" w:type="dxa"/>
            <w:tcBorders>
              <w:left w:val="single" w:sz="2" w:space="0" w:color="000000"/>
              <w:bottom w:val="single" w:sz="2" w:space="0" w:color="000000"/>
            </w:tcBorders>
            <w:tcMar>
              <w:top w:w="55" w:type="dxa"/>
              <w:left w:w="55" w:type="dxa"/>
              <w:bottom w:w="55" w:type="dxa"/>
              <w:right w:w="55" w:type="dxa"/>
            </w:tcMar>
          </w:tcPr>
          <w:p w14:paraId="5CA493D3" w14:textId="77777777" w:rsidR="008C43C0" w:rsidRDefault="006B7C07">
            <w:pPr>
              <w:pStyle w:val="TableContents"/>
              <w:jc w:val="center"/>
              <w:rPr>
                <w:b/>
                <w:bCs/>
              </w:rPr>
            </w:pPr>
            <w:r>
              <w:rPr>
                <w:b/>
                <w:bCs/>
              </w:rPr>
              <w:t>Texte 3</w:t>
            </w:r>
          </w:p>
        </w:tc>
        <w:tc>
          <w:tcPr>
            <w:tcW w:w="6300" w:type="dxa"/>
            <w:tcBorders>
              <w:left w:val="single" w:sz="2" w:space="0" w:color="000000"/>
              <w:bottom w:val="single" w:sz="2" w:space="0" w:color="000000"/>
            </w:tcBorders>
            <w:tcMar>
              <w:top w:w="55" w:type="dxa"/>
              <w:left w:w="55" w:type="dxa"/>
              <w:bottom w:w="55" w:type="dxa"/>
              <w:right w:w="55" w:type="dxa"/>
            </w:tcMar>
          </w:tcPr>
          <w:p w14:paraId="30C7E21D" w14:textId="77777777" w:rsidR="008C43C0" w:rsidRDefault="006B7C07">
            <w:pPr>
              <w:pStyle w:val="TableContents"/>
              <w:rPr>
                <w:rFonts w:ascii="Lato" w:hAnsi="Lato"/>
                <w:color w:val="000000"/>
              </w:rPr>
            </w:pPr>
            <w:r>
              <w:rPr>
                <w:rFonts w:ascii="Lato" w:hAnsi="Lato"/>
                <w:color w:val="000000"/>
                <w:shd w:val="clear" w:color="auto" w:fill="CCFF00"/>
              </w:rPr>
              <w:t xml:space="preserve">L’Internet change notre culture et il n’est ni possible ni souhaitable de </w:t>
            </w:r>
            <w:r>
              <w:rPr>
                <w:rFonts w:ascii="Lato" w:hAnsi="Lato"/>
                <w:color w:val="000000"/>
                <w:shd w:val="clear" w:color="auto" w:fill="CCFF00"/>
              </w:rPr>
              <w:t>faire reculer une technologi</w:t>
            </w:r>
            <w:r>
              <w:rPr>
                <w:rFonts w:ascii="Lato" w:hAnsi="Lato"/>
                <w:color w:val="000000"/>
                <w:shd w:val="clear" w:color="auto" w:fill="66FFFF"/>
              </w:rPr>
              <w:t>e. Le</w:t>
            </w:r>
            <w:r>
              <w:rPr>
                <w:rFonts w:ascii="Lato" w:hAnsi="Lato"/>
                <w:color w:val="000000"/>
              </w:rPr>
              <w:t xml:space="preserve"> passage à l’électronique « augmente » le livre. Cela signifie qu’il favorise des accès partiels à celui-ci. Ce n’est pas une régression, c’est une nouvelle manière de lire qui va dans le sens du multitasking. On ne consult</w:t>
            </w:r>
            <w:r>
              <w:rPr>
                <w:rFonts w:ascii="Lato" w:hAnsi="Lato"/>
                <w:color w:val="000000"/>
              </w:rPr>
              <w:t xml:space="preserve">e pas les livres </w:t>
            </w:r>
            <w:r>
              <w:rPr>
                <w:rFonts w:ascii="Lato" w:hAnsi="Lato"/>
                <w:color w:val="000000"/>
              </w:rPr>
              <w:lastRenderedPageBreak/>
              <w:t>électroniques de la même façon que les livres traditionnels : on pioche plus facilement des passages au lieu d’avoir une lecture</w:t>
            </w:r>
            <w:r>
              <w:rPr>
                <w:rFonts w:ascii="Lato" w:hAnsi="Lato"/>
                <w:color w:val="000000"/>
                <w:shd w:val="clear" w:color="auto" w:fill="666633"/>
              </w:rPr>
              <w:t xml:space="preserve"> linéaire.</w:t>
            </w:r>
            <w:r>
              <w:rPr>
                <w:rFonts w:ascii="Lato" w:hAnsi="Lato"/>
                <w:color w:val="000000"/>
                <w:shd w:val="clear" w:color="auto" w:fill="666633"/>
              </w:rPr>
              <w:tab/>
            </w:r>
            <w:r>
              <w:rPr>
                <w:rFonts w:ascii="Lato" w:hAnsi="Lato"/>
                <w:color w:val="000000"/>
                <w:shd w:val="clear" w:color="auto" w:fill="666633"/>
              </w:rPr>
              <w:tab/>
            </w:r>
          </w:p>
          <w:p w14:paraId="7F3A51EA" w14:textId="77777777" w:rsidR="008C43C0" w:rsidRDefault="006B7C07">
            <w:pPr>
              <w:pStyle w:val="TableContents"/>
              <w:rPr>
                <w:rFonts w:ascii="Lato" w:hAnsi="Lato"/>
                <w:color w:val="000000"/>
              </w:rPr>
            </w:pPr>
            <w:r>
              <w:rPr>
                <w:rFonts w:ascii="Lato" w:hAnsi="Lato"/>
                <w:color w:val="000000"/>
                <w:shd w:val="clear" w:color="auto" w:fill="666633"/>
              </w:rPr>
              <w:t>L’internet,</w:t>
            </w:r>
            <w:r>
              <w:rPr>
                <w:rFonts w:ascii="Lato" w:hAnsi="Lato"/>
                <w:color w:val="000000"/>
              </w:rPr>
              <w:t xml:space="preserve"> bien que récent, est comparable à d’autres technologies intellectuelles qui ont façonn</w:t>
            </w:r>
            <w:r>
              <w:rPr>
                <w:rFonts w:ascii="Lato" w:hAnsi="Lato"/>
                <w:color w:val="000000"/>
              </w:rPr>
              <w:t>é notre cultur</w:t>
            </w:r>
            <w:r>
              <w:rPr>
                <w:rFonts w:ascii="Lato" w:hAnsi="Lato"/>
                <w:color w:val="000000"/>
                <w:shd w:val="clear" w:color="auto" w:fill="66FFFF"/>
              </w:rPr>
              <w:t>e. Le</w:t>
            </w:r>
            <w:r>
              <w:rPr>
                <w:rFonts w:ascii="Lato" w:hAnsi="Lato"/>
                <w:color w:val="000000"/>
              </w:rPr>
              <w:t xml:space="preserve">s inquiétudes que nous avons aujourd’hui, les Grecs anciens les avaient face à l’écriture. Il en a été de même pour l’imprimerie : </w:t>
            </w:r>
            <w:r>
              <w:rPr>
                <w:rFonts w:ascii="Lato" w:hAnsi="Lato"/>
                <w:color w:val="000000"/>
                <w:shd w:val="clear" w:color="auto" w:fill="FF9999"/>
              </w:rPr>
              <w:t>elle a permis d’alphabétiser les gens grâce à l’augmentation du nombre de livres, à l’enrichissement de le</w:t>
            </w:r>
            <w:r>
              <w:rPr>
                <w:rFonts w:ascii="Lato" w:hAnsi="Lato"/>
                <w:color w:val="000000"/>
                <w:shd w:val="clear" w:color="auto" w:fill="FF9999"/>
              </w:rPr>
              <w:t>ur contenu et elle a développé la capacité des lecteurs à se concentrer.</w:t>
            </w:r>
          </w:p>
          <w:p w14:paraId="7B6586F9" w14:textId="77777777" w:rsidR="008C43C0" w:rsidRDefault="006B7C07">
            <w:pPr>
              <w:pStyle w:val="TableContents"/>
              <w:rPr>
                <w:rFonts w:ascii="Lato" w:hAnsi="Lato"/>
                <w:color w:val="000000"/>
              </w:rPr>
            </w:pPr>
            <w:r>
              <w:rPr>
                <w:rFonts w:ascii="Lato" w:hAnsi="Lato"/>
                <w:color w:val="000000"/>
              </w:rPr>
              <w:t>Toutes les technologies apportent et retirent quelque chose. Peut-être Internet aide-t-il à développer de nouveaux esprits pouvant traiter et évaluer l’information.</w:t>
            </w:r>
          </w:p>
        </w:tc>
        <w:tc>
          <w:tcPr>
            <w:tcW w:w="45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F80029" w14:textId="77777777" w:rsidR="008C43C0" w:rsidRDefault="008C43C0">
            <w:pPr>
              <w:pStyle w:val="TableContents"/>
            </w:pPr>
          </w:p>
        </w:tc>
      </w:tr>
    </w:tbl>
    <w:p w14:paraId="1A286A41" w14:textId="77777777" w:rsidR="008C43C0" w:rsidRDefault="008C43C0">
      <w:pPr>
        <w:pStyle w:val="Textbody"/>
      </w:pPr>
    </w:p>
    <w:sectPr w:rsidR="008C43C0">
      <w:footerReference w:type="default" r:id="rId16"/>
      <w:pgSz w:w="11906" w:h="16838"/>
      <w:pgMar w:top="794" w:right="850" w:bottom="908" w:left="850" w:header="72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2606" w14:textId="77777777" w:rsidR="00000000" w:rsidRDefault="006B7C07">
      <w:r>
        <w:separator/>
      </w:r>
    </w:p>
  </w:endnote>
  <w:endnote w:type="continuationSeparator" w:id="0">
    <w:p w14:paraId="71797E90" w14:textId="77777777" w:rsidR="00000000" w:rsidRDefault="006B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Liberation Serif">
    <w:altName w:val="Times New Roman"/>
    <w:panose1 w:val="020B0604020202020204"/>
    <w:charset w:val="01"/>
    <w:family w:val="roman"/>
    <w:pitch w:val="variable"/>
  </w:font>
  <w:font w:name="WenQuanYi Zen Hei">
    <w:panose1 w:val="020B0604020202020204"/>
    <w:charset w:val="00"/>
    <w:family w:val="auto"/>
    <w:pitch w:val="variable"/>
  </w:font>
  <w:font w:name="FreeSans">
    <w:altName w:val="Calibri"/>
    <w:panose1 w:val="020B0604020202020204"/>
    <w:charset w:val="00"/>
    <w:family w:val="auto"/>
    <w:pitch w:val="variable"/>
  </w:font>
  <w:font w:name="DejaVu Sans">
    <w:altName w:val="Verdana"/>
    <w:panose1 w:val="020B0604020202020204"/>
    <w:charset w:val="01"/>
    <w:family w:val="swiss"/>
    <w:pitch w:val="default"/>
  </w:font>
  <w:font w:name="Noto Serif CJK SC">
    <w:panose1 w:val="020B0604020202020204"/>
    <w:charset w:val="00"/>
    <w:family w:val="auto"/>
    <w:pitch w:val="variable"/>
  </w:font>
  <w:font w:name="Lohit Devanagari">
    <w:panose1 w:val="020B0604020202020204"/>
    <w:charset w:val="00"/>
    <w:family w:val="auto"/>
    <w:pitch w:val="variable"/>
  </w:font>
  <w:font w:name="Liberation Sans">
    <w:altName w:val="Arial"/>
    <w:panose1 w:val="020B0604020202020204"/>
    <w:charset w:val="01"/>
    <w:family w:val="swiss"/>
    <w:pitch w:val="variable"/>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87D6" w14:textId="77777777" w:rsidR="00E5310C" w:rsidRDefault="006B7C07">
    <w:pPr>
      <w:pStyle w:val="Footer"/>
      <w:ind w:firstLine="0"/>
      <w:jc w:val="center"/>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9</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Pr>
        <w:sz w:val="20"/>
        <w:szCs w:val="20"/>
      </w:rPr>
      <w:t>9</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82E3A" w14:textId="77777777" w:rsidR="00000000" w:rsidRDefault="006B7C07">
      <w:r>
        <w:rPr>
          <w:color w:val="000000"/>
        </w:rPr>
        <w:separator/>
      </w:r>
    </w:p>
  </w:footnote>
  <w:footnote w:type="continuationSeparator" w:id="0">
    <w:p w14:paraId="29CD326B" w14:textId="77777777" w:rsidR="00000000" w:rsidRDefault="006B7C07">
      <w:r>
        <w:continuationSeparator/>
      </w:r>
    </w:p>
  </w:footnote>
  <w:footnote w:id="1">
    <w:p w14:paraId="361461CC" w14:textId="77777777" w:rsidR="008C43C0" w:rsidRDefault="006B7C07">
      <w:pPr>
        <w:pStyle w:val="Footnote"/>
      </w:pPr>
      <w:r>
        <w:rPr>
          <w:rStyle w:val="FootnoteReference"/>
        </w:rPr>
        <w:footnoteRef/>
      </w:r>
      <w:r>
        <w:t>Pour les synthèses que je donnerai, il y aura quat</w:t>
      </w:r>
      <w:r>
        <w:t>re à six textes, le plus souvent journalistiques.</w:t>
      </w:r>
      <w:r>
        <w:br/>
      </w:r>
      <w:r>
        <w:t>Dans un concours, ces documents peuvent être soit des textes (littéraires, journalistiques, etc.) soit des représentations (photographies, dessins humoristiques, tableaux de statistiques,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384"/>
    <w:multiLevelType w:val="multilevel"/>
    <w:tmpl w:val="1310C98A"/>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415A49F8"/>
    <w:multiLevelType w:val="multilevel"/>
    <w:tmpl w:val="E02443FA"/>
    <w:lvl w:ilvl="0">
      <w:numFmt w:val="bullet"/>
      <w:lvlText w:val="•"/>
      <w:lvlJc w:val="left"/>
      <w:pPr>
        <w:ind w:left="1854" w:hanging="360"/>
      </w:pPr>
      <w:rPr>
        <w:rFonts w:ascii="OpenSymbol" w:eastAsia="OpenSymbol" w:hAnsi="OpenSymbol" w:cs="OpenSymbol"/>
      </w:rPr>
    </w:lvl>
    <w:lvl w:ilvl="1">
      <w:numFmt w:val="bullet"/>
      <w:lvlText w:val="◦"/>
      <w:lvlJc w:val="left"/>
      <w:pPr>
        <w:ind w:left="2214" w:hanging="360"/>
      </w:pPr>
      <w:rPr>
        <w:rFonts w:ascii="OpenSymbol" w:eastAsia="OpenSymbol" w:hAnsi="OpenSymbol" w:cs="OpenSymbol"/>
      </w:rPr>
    </w:lvl>
    <w:lvl w:ilvl="2">
      <w:numFmt w:val="bullet"/>
      <w:lvlText w:val="▪"/>
      <w:lvlJc w:val="left"/>
      <w:pPr>
        <w:ind w:left="2574" w:hanging="360"/>
      </w:pPr>
      <w:rPr>
        <w:rFonts w:ascii="OpenSymbol" w:eastAsia="OpenSymbol" w:hAnsi="OpenSymbol" w:cs="OpenSymbol"/>
      </w:rPr>
    </w:lvl>
    <w:lvl w:ilvl="3">
      <w:numFmt w:val="bullet"/>
      <w:lvlText w:val="•"/>
      <w:lvlJc w:val="left"/>
      <w:pPr>
        <w:ind w:left="2934" w:hanging="360"/>
      </w:pPr>
      <w:rPr>
        <w:rFonts w:ascii="OpenSymbol" w:eastAsia="OpenSymbol" w:hAnsi="OpenSymbol" w:cs="OpenSymbol"/>
      </w:rPr>
    </w:lvl>
    <w:lvl w:ilvl="4">
      <w:numFmt w:val="bullet"/>
      <w:lvlText w:val="◦"/>
      <w:lvlJc w:val="left"/>
      <w:pPr>
        <w:ind w:left="3294" w:hanging="360"/>
      </w:pPr>
      <w:rPr>
        <w:rFonts w:ascii="OpenSymbol" w:eastAsia="OpenSymbol" w:hAnsi="OpenSymbol" w:cs="OpenSymbol"/>
      </w:rPr>
    </w:lvl>
    <w:lvl w:ilvl="5">
      <w:numFmt w:val="bullet"/>
      <w:lvlText w:val="▪"/>
      <w:lvlJc w:val="left"/>
      <w:pPr>
        <w:ind w:left="3654" w:hanging="360"/>
      </w:pPr>
      <w:rPr>
        <w:rFonts w:ascii="OpenSymbol" w:eastAsia="OpenSymbol" w:hAnsi="OpenSymbol" w:cs="OpenSymbol"/>
      </w:rPr>
    </w:lvl>
    <w:lvl w:ilvl="6">
      <w:numFmt w:val="bullet"/>
      <w:lvlText w:val="•"/>
      <w:lvlJc w:val="left"/>
      <w:pPr>
        <w:ind w:left="4014" w:hanging="360"/>
      </w:pPr>
      <w:rPr>
        <w:rFonts w:ascii="OpenSymbol" w:eastAsia="OpenSymbol" w:hAnsi="OpenSymbol" w:cs="OpenSymbol"/>
      </w:rPr>
    </w:lvl>
    <w:lvl w:ilvl="7">
      <w:numFmt w:val="bullet"/>
      <w:lvlText w:val="◦"/>
      <w:lvlJc w:val="left"/>
      <w:pPr>
        <w:ind w:left="4374" w:hanging="360"/>
      </w:pPr>
      <w:rPr>
        <w:rFonts w:ascii="OpenSymbol" w:eastAsia="OpenSymbol" w:hAnsi="OpenSymbol" w:cs="OpenSymbol"/>
      </w:rPr>
    </w:lvl>
    <w:lvl w:ilvl="8">
      <w:numFmt w:val="bullet"/>
      <w:lvlText w:val="▪"/>
      <w:lvlJc w:val="left"/>
      <w:pPr>
        <w:ind w:left="4734" w:hanging="360"/>
      </w:pPr>
      <w:rPr>
        <w:rFonts w:ascii="OpenSymbol" w:eastAsia="OpenSymbol" w:hAnsi="OpenSymbol" w:cs="OpenSymbol"/>
      </w:rPr>
    </w:lvl>
  </w:abstractNum>
  <w:abstractNum w:abstractNumId="2" w15:restartNumberingAfterBreak="0">
    <w:nsid w:val="5C2B1F49"/>
    <w:multiLevelType w:val="multilevel"/>
    <w:tmpl w:val="DBD635E0"/>
    <w:lvl w:ilvl="0">
      <w:numFmt w:val="bullet"/>
      <w:lvlText w:val="•"/>
      <w:lvlJc w:val="left"/>
      <w:pPr>
        <w:ind w:left="1589" w:hanging="360"/>
      </w:pPr>
      <w:rPr>
        <w:rFonts w:ascii="OpenSymbol" w:eastAsia="OpenSymbol" w:hAnsi="OpenSymbol" w:cs="OpenSymbol"/>
      </w:rPr>
    </w:lvl>
    <w:lvl w:ilvl="1">
      <w:numFmt w:val="bullet"/>
      <w:lvlText w:val="◦"/>
      <w:lvlJc w:val="left"/>
      <w:pPr>
        <w:ind w:left="1949" w:hanging="360"/>
      </w:pPr>
      <w:rPr>
        <w:rFonts w:ascii="OpenSymbol" w:eastAsia="OpenSymbol" w:hAnsi="OpenSymbol" w:cs="OpenSymbol"/>
      </w:rPr>
    </w:lvl>
    <w:lvl w:ilvl="2">
      <w:numFmt w:val="bullet"/>
      <w:lvlText w:val="▪"/>
      <w:lvlJc w:val="left"/>
      <w:pPr>
        <w:ind w:left="2309" w:hanging="360"/>
      </w:pPr>
      <w:rPr>
        <w:rFonts w:ascii="OpenSymbol" w:eastAsia="OpenSymbol" w:hAnsi="OpenSymbol" w:cs="OpenSymbol"/>
      </w:rPr>
    </w:lvl>
    <w:lvl w:ilvl="3">
      <w:numFmt w:val="bullet"/>
      <w:lvlText w:val="•"/>
      <w:lvlJc w:val="left"/>
      <w:pPr>
        <w:ind w:left="2669" w:hanging="360"/>
      </w:pPr>
      <w:rPr>
        <w:rFonts w:ascii="OpenSymbol" w:eastAsia="OpenSymbol" w:hAnsi="OpenSymbol" w:cs="OpenSymbol"/>
      </w:rPr>
    </w:lvl>
    <w:lvl w:ilvl="4">
      <w:numFmt w:val="bullet"/>
      <w:lvlText w:val="◦"/>
      <w:lvlJc w:val="left"/>
      <w:pPr>
        <w:ind w:left="3029" w:hanging="360"/>
      </w:pPr>
      <w:rPr>
        <w:rFonts w:ascii="OpenSymbol" w:eastAsia="OpenSymbol" w:hAnsi="OpenSymbol" w:cs="OpenSymbol"/>
      </w:rPr>
    </w:lvl>
    <w:lvl w:ilvl="5">
      <w:numFmt w:val="bullet"/>
      <w:lvlText w:val="▪"/>
      <w:lvlJc w:val="left"/>
      <w:pPr>
        <w:ind w:left="3389" w:hanging="360"/>
      </w:pPr>
      <w:rPr>
        <w:rFonts w:ascii="OpenSymbol" w:eastAsia="OpenSymbol" w:hAnsi="OpenSymbol" w:cs="OpenSymbol"/>
      </w:rPr>
    </w:lvl>
    <w:lvl w:ilvl="6">
      <w:numFmt w:val="bullet"/>
      <w:lvlText w:val="•"/>
      <w:lvlJc w:val="left"/>
      <w:pPr>
        <w:ind w:left="3749" w:hanging="360"/>
      </w:pPr>
      <w:rPr>
        <w:rFonts w:ascii="OpenSymbol" w:eastAsia="OpenSymbol" w:hAnsi="OpenSymbol" w:cs="OpenSymbol"/>
      </w:rPr>
    </w:lvl>
    <w:lvl w:ilvl="7">
      <w:numFmt w:val="bullet"/>
      <w:lvlText w:val="◦"/>
      <w:lvlJc w:val="left"/>
      <w:pPr>
        <w:ind w:left="4109" w:hanging="360"/>
      </w:pPr>
      <w:rPr>
        <w:rFonts w:ascii="OpenSymbol" w:eastAsia="OpenSymbol" w:hAnsi="OpenSymbol" w:cs="OpenSymbol"/>
      </w:rPr>
    </w:lvl>
    <w:lvl w:ilvl="8">
      <w:numFmt w:val="bullet"/>
      <w:lvlText w:val="▪"/>
      <w:lvlJc w:val="left"/>
      <w:pPr>
        <w:ind w:left="4469" w:hanging="360"/>
      </w:pPr>
      <w:rPr>
        <w:rFonts w:ascii="OpenSymbol" w:eastAsia="OpenSymbol" w:hAnsi="OpenSymbol" w:cs="OpenSymbol"/>
      </w:rPr>
    </w:lvl>
  </w:abstractNum>
  <w:abstractNum w:abstractNumId="3" w15:restartNumberingAfterBreak="0">
    <w:nsid w:val="6752746C"/>
    <w:multiLevelType w:val="multilevel"/>
    <w:tmpl w:val="3AC874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A77225D"/>
    <w:multiLevelType w:val="multilevel"/>
    <w:tmpl w:val="1AE4205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5" w15:restartNumberingAfterBreak="0">
    <w:nsid w:val="6F241324"/>
    <w:multiLevelType w:val="multilevel"/>
    <w:tmpl w:val="2140EFA6"/>
    <w:styleLink w:val="Outline"/>
    <w:lvl w:ilvl="0">
      <w:start w:val="1"/>
      <w:numFmt w:val="decimal"/>
      <w:pStyle w:val="Heading1"/>
      <w:lvlText w:val="%1"/>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470445974">
    <w:abstractNumId w:val="5"/>
  </w:num>
  <w:num w:numId="2" w16cid:durableId="539168540">
    <w:abstractNumId w:val="1"/>
  </w:num>
  <w:num w:numId="3" w16cid:durableId="384916868">
    <w:abstractNumId w:val="2"/>
  </w:num>
  <w:num w:numId="4" w16cid:durableId="1110080737">
    <w:abstractNumId w:val="3"/>
  </w:num>
  <w:num w:numId="5" w16cid:durableId="496116410">
    <w:abstractNumId w:val="0"/>
  </w:num>
  <w:num w:numId="6" w16cid:durableId="18730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864"/>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C43C0"/>
    <w:rsid w:val="00016E0D"/>
    <w:rsid w:val="000256D4"/>
    <w:rsid w:val="002868F8"/>
    <w:rsid w:val="002C2627"/>
    <w:rsid w:val="003D4CBC"/>
    <w:rsid w:val="00417CE8"/>
    <w:rsid w:val="004C49C4"/>
    <w:rsid w:val="004F10A1"/>
    <w:rsid w:val="005C3935"/>
    <w:rsid w:val="005D78C1"/>
    <w:rsid w:val="0062490A"/>
    <w:rsid w:val="0065046A"/>
    <w:rsid w:val="006B7C07"/>
    <w:rsid w:val="006F2AEB"/>
    <w:rsid w:val="007E5ECF"/>
    <w:rsid w:val="00814621"/>
    <w:rsid w:val="008B10FB"/>
    <w:rsid w:val="008B3BF5"/>
    <w:rsid w:val="008C43C0"/>
    <w:rsid w:val="00923697"/>
    <w:rsid w:val="00924E5F"/>
    <w:rsid w:val="00934733"/>
    <w:rsid w:val="00A84181"/>
    <w:rsid w:val="00AA4088"/>
    <w:rsid w:val="00AF0FA7"/>
    <w:rsid w:val="00B664FA"/>
    <w:rsid w:val="00B8379A"/>
    <w:rsid w:val="00D43C23"/>
    <w:rsid w:val="00DB1346"/>
    <w:rsid w:val="00E03FD6"/>
    <w:rsid w:val="00E4223E"/>
    <w:rsid w:val="00E6145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933423B"/>
  <w15:docId w15:val="{354D75C2-B3A6-D74E-97C4-B74389CD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spacing w:before="283" w:after="62"/>
      <w:jc w:val="both"/>
      <w:outlineLvl w:val="0"/>
    </w:pPr>
    <w:rPr>
      <w:rFonts w:eastAsia="DejaVu Sans" w:cs="DejaVu Sans"/>
      <w:bCs/>
      <w:color w:val="006600"/>
      <w:sz w:val="32"/>
    </w:rPr>
  </w:style>
  <w:style w:type="paragraph" w:styleId="Heading2">
    <w:name w:val="heading 2"/>
    <w:basedOn w:val="Heading"/>
    <w:next w:val="Textbody"/>
    <w:uiPriority w:val="9"/>
    <w:semiHidden/>
    <w:unhideWhenUsed/>
    <w:qFormat/>
    <w:pPr>
      <w:numPr>
        <w:ilvl w:val="1"/>
        <w:numId w:val="1"/>
      </w:numPr>
      <w:spacing w:before="227" w:after="62"/>
      <w:jc w:val="both"/>
      <w:outlineLvl w:val="1"/>
    </w:pPr>
    <w:rPr>
      <w:i/>
      <w:iCs/>
      <w:color w:val="0000CC"/>
      <w:sz w:val="32"/>
    </w:rPr>
  </w:style>
  <w:style w:type="paragraph" w:styleId="Heading3">
    <w:name w:val="heading 3"/>
    <w:basedOn w:val="Heading"/>
    <w:next w:val="Textbody"/>
    <w:uiPriority w:val="9"/>
    <w:semiHidden/>
    <w:unhideWhenUsed/>
    <w:qFormat/>
    <w:pPr>
      <w:numPr>
        <w:ilvl w:val="2"/>
        <w:numId w:val="1"/>
      </w:numPr>
      <w:spacing w:before="170" w:after="62"/>
      <w:jc w:val="both"/>
      <w:outlineLvl w:val="2"/>
    </w:pPr>
    <w:rPr>
      <w:bCs/>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ind w:firstLine="794"/>
      <w:jc w:val="both"/>
    </w:pPr>
    <w:rPr>
      <w:rFonts w:ascii="DejaVu Sans" w:eastAsia="DejaVu Sans" w:hAnsi="DejaVu Sans" w:cs="DejaVu Sans"/>
    </w:rPr>
  </w:style>
  <w:style w:type="paragraph" w:customStyle="1" w:styleId="Heading">
    <w:name w:val="Heading"/>
    <w:basedOn w:val="Standard"/>
    <w:next w:val="Textbody"/>
    <w:pPr>
      <w:keepNext/>
      <w:spacing w:after="113"/>
      <w:ind w:firstLine="0"/>
      <w:jc w:val="center"/>
    </w:pPr>
    <w:rPr>
      <w:rFonts w:eastAsia="WenQuanYi Zen Hei" w:cs="FreeSans"/>
      <w:b/>
      <w:color w:val="003300"/>
      <w:sz w:val="52"/>
      <w:szCs w:val="28"/>
    </w:rPr>
  </w:style>
  <w:style w:type="paragraph" w:customStyle="1" w:styleId="Textbody">
    <w:name w:val="Text body"/>
    <w:basedOn w:val="Standard"/>
    <w:pPr>
      <w:spacing w:after="113"/>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Quotations">
    <w:name w:val="Quotations"/>
    <w:basedOn w:val="Standard"/>
    <w:pPr>
      <w:spacing w:before="227" w:after="113"/>
    </w:pPr>
    <w:rPr>
      <w:color w:val="0000CC"/>
    </w:rPr>
  </w:style>
  <w:style w:type="paragraph" w:styleId="Title">
    <w:name w:val="Title"/>
    <w:basedOn w:val="Heading"/>
    <w:next w:val="Textbody"/>
    <w:uiPriority w:val="10"/>
    <w:qFormat/>
    <w:rPr>
      <w:bCs/>
      <w:sz w:val="56"/>
      <w:szCs w:val="56"/>
    </w:rPr>
  </w:style>
  <w:style w:type="paragraph" w:styleId="Subtitle">
    <w:name w:val="Subtitle"/>
    <w:basedOn w:val="Heading"/>
    <w:next w:val="Textbody"/>
    <w:uiPriority w:val="11"/>
    <w:qFormat/>
    <w:pPr>
      <w:spacing w:before="60" w:after="120"/>
    </w:pPr>
    <w:rPr>
      <w:sz w:val="36"/>
      <w:szCs w:val="36"/>
    </w:rPr>
  </w:style>
  <w:style w:type="paragraph" w:customStyle="1" w:styleId="HeaderandFooter">
    <w:name w:val="Header and Footer"/>
    <w:basedOn w:val="Standard"/>
  </w:style>
  <w:style w:type="paragraph" w:styleId="Footer">
    <w:name w:val="footer"/>
    <w:basedOn w:val="Standard"/>
    <w:pPr>
      <w:suppressLineNumbers/>
      <w:tabs>
        <w:tab w:val="center" w:pos="4819"/>
        <w:tab w:val="right" w:pos="9638"/>
      </w:tabs>
      <w:jc w:val="right"/>
    </w:pPr>
    <w:rPr>
      <w:sz w:val="21"/>
    </w:rPr>
  </w:style>
  <w:style w:type="paragraph" w:customStyle="1" w:styleId="Footnote">
    <w:name w:val="Footnote"/>
    <w:basedOn w:val="Standard"/>
    <w:pPr>
      <w:suppressLineNumbers/>
      <w:spacing w:after="57"/>
      <w:ind w:left="339" w:hanging="339"/>
    </w:pPr>
    <w:rPr>
      <w:sz w:val="20"/>
      <w:szCs w:val="20"/>
    </w:rPr>
  </w:style>
  <w:style w:type="paragraph" w:customStyle="1" w:styleId="TableContents">
    <w:name w:val="Table Contents"/>
    <w:basedOn w:val="Standard"/>
    <w:pPr>
      <w:suppressLineNumbers/>
      <w:spacing w:after="113"/>
      <w:ind w:firstLine="0"/>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5103"/>
        <w:tab w:val="right" w:pos="10206"/>
      </w:tabs>
    </w:pPr>
  </w:style>
  <w:style w:type="paragraph" w:customStyle="1" w:styleId="Framecontents">
    <w:name w:val="Frame contents"/>
    <w:basedOn w:val="Standard"/>
    <w:pPr>
      <w:spacing w:before="283"/>
      <w:ind w:firstLine="709"/>
    </w:pPr>
    <w:rPr>
      <w:color w:val="0000FF"/>
      <w:sz w:val="21"/>
    </w:rPr>
  </w:style>
  <w:style w:type="paragraph" w:styleId="IndexHeading">
    <w:name w:val="index heading"/>
    <w:basedOn w:val="Heading"/>
  </w:style>
  <w:style w:type="paragraph" w:customStyle="1" w:styleId="ContentsHeading">
    <w:name w:val="Contents Heading"/>
    <w:basedOn w:val="Heading"/>
    <w:pPr>
      <w:suppressLineNumbers/>
      <w:spacing w:before="113"/>
    </w:pPr>
    <w:rPr>
      <w:bCs/>
      <w:sz w:val="32"/>
      <w:szCs w:val="32"/>
    </w:rPr>
  </w:style>
  <w:style w:type="paragraph" w:customStyle="1" w:styleId="Contents1">
    <w:name w:val="Contents 1"/>
    <w:basedOn w:val="Index"/>
    <w:pPr>
      <w:tabs>
        <w:tab w:val="right" w:leader="dot" w:pos="10206"/>
      </w:tabs>
      <w:ind w:firstLine="0"/>
    </w:pPr>
    <w:rPr>
      <w:color w:val="006600"/>
      <w:sz w:val="22"/>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Internetlink">
    <w:name w:val="Internet link"/>
    <w:rPr>
      <w:color w:val="000080"/>
      <w:u w:val="single"/>
      <w:lang/>
    </w:rPr>
  </w:style>
  <w:style w:type="character" w:customStyle="1" w:styleId="IndexLink">
    <w:name w:val="Index Link"/>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_RefHeading___Toc61379_1477540417" TargetMode="External"/><Relationship Id="rId13" Type="http://schemas.openxmlformats.org/officeDocument/2006/relationships/hyperlink" Target="#__RefHeading___Toc6310_1549112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__RefHeading___Toc6292_1549112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6290_154911201" TargetMode="External"/><Relationship Id="rId5" Type="http://schemas.openxmlformats.org/officeDocument/2006/relationships/footnotes" Target="footnotes.xml"/><Relationship Id="rId15" Type="http://schemas.openxmlformats.org/officeDocument/2006/relationships/hyperlink" Target="#__RefHeading___Toc6310_154911201" TargetMode="External"/><Relationship Id="rId10" Type="http://schemas.openxmlformats.org/officeDocument/2006/relationships/hyperlink" Target="#__RefHeading___Toc6288_154911201" TargetMode="External"/><Relationship Id="rId4" Type="http://schemas.openxmlformats.org/officeDocument/2006/relationships/webSettings" Target="webSettings.xml"/><Relationship Id="rId9" Type="http://schemas.openxmlformats.org/officeDocument/2006/relationships/hyperlink" Target="#__RefHeading___Toc7154_442912819" TargetMode="External"/><Relationship Id="rId14" Type="http://schemas.openxmlformats.org/officeDocument/2006/relationships/hyperlink" Target="#__RefHeading___Toc6310_1549112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tmp/mozilla_cpaterli0/.config/libreoffice/4/user/template/cours1.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cours1.ott</Template>
  <TotalTime>0</TotalTime>
  <Pages>8</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cours</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dc:title>
  <cp:lastModifiedBy>Microsoft Office User</cp:lastModifiedBy>
  <cp:revision>2</cp:revision>
  <dcterms:created xsi:type="dcterms:W3CDTF">2023-01-04T13:26:00Z</dcterms:created>
  <dcterms:modified xsi:type="dcterms:W3CDTF">2023-01-04T13:26:00Z</dcterms:modified>
</cp:coreProperties>
</file>