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0"/>
      </w:pPr>
      <w:r>
        <w:rPr/>
        <w:pict>
          <v:group style="width:511.25pt;height:57.55pt;mso-position-horizontal-relative:char;mso-position-vertical-relative:line" coordorigin="0,0" coordsize="10225,1151">
            <v:line style="position:absolute" from="0,263" to="10205,263" stroked="true" strokeweight="0pt" strokecolor="#000000">
              <v:stroke dashstyle="solid"/>
            </v:line>
            <v:rect style="position:absolute;left:6113;top:242;width:2598;height:678" filled="false" stroked="true" strokeweight="1pt" strokecolor="#000000">
              <v:stroke dashstyle="solid"/>
            </v:rect>
            <v:rect style="position:absolute;left:6113;top:202;width:2598;height:678" filled="false" stroked="true" strokeweight="1pt" strokecolor="#55acfc">
              <v:stroke dashstyle="solid"/>
            </v:rect>
            <v:shapetype id="_x0000_t202" o:spt="202" coordsize="21600,21600" path="m,l,21600r21600,l21600,xe">
              <v:stroke joinstyle="miter"/>
              <v:path gradientshapeok="t" o:connecttype="rect"/>
            </v:shapetype>
            <v:shape style="position:absolute;left:0;top:0;width:1404;height:240" type="#_x0000_t202" filled="false" stroked="false">
              <v:textbox inset="0,0,0,0">
                <w:txbxContent>
                  <w:p>
                    <w:pPr>
                      <w:spacing w:line="223" w:lineRule="exact" w:before="0"/>
                      <w:ind w:left="0" w:right="0" w:firstLine="0"/>
                      <w:jc w:val="left"/>
                      <w:rPr>
                        <w:sz w:val="20"/>
                      </w:rPr>
                    </w:pPr>
                    <w:r>
                      <w:rPr>
                        <w:sz w:val="20"/>
                      </w:rPr>
                      <w:t>CHSH inequality</w:t>
                    </w:r>
                  </w:p>
                </w:txbxContent>
              </v:textbox>
              <w10:wrap type="none"/>
            </v:shape>
            <v:shape style="position:absolute;left:10104;top:26;width:120;height:240" type="#_x0000_t202" filled="false" stroked="false">
              <v:textbox inset="0,0,0,0">
                <w:txbxContent>
                  <w:p>
                    <w:pPr>
                      <w:spacing w:line="223" w:lineRule="exact" w:before="0"/>
                      <w:ind w:left="0" w:right="0" w:firstLine="0"/>
                      <w:jc w:val="left"/>
                      <w:rPr>
                        <w:sz w:val="20"/>
                      </w:rPr>
                    </w:pPr>
                    <w:r>
                      <w:rPr>
                        <w:sz w:val="20"/>
                      </w:rPr>
                      <w:t>1</w:t>
                    </w:r>
                  </w:p>
                </w:txbxContent>
              </v:textbox>
              <w10:wrap type="none"/>
            </v:shape>
            <v:shape style="position:absolute;left:403;top:622;width:3257;height:528" type="#_x0000_t202" filled="false" stroked="false">
              <v:textbox inset="0,0,0,0">
                <w:txbxContent>
                  <w:p>
                    <w:pPr>
                      <w:spacing w:line="491" w:lineRule="exact" w:before="0"/>
                      <w:ind w:left="0" w:right="0" w:firstLine="0"/>
                      <w:jc w:val="left"/>
                      <w:rPr>
                        <w:b/>
                        <w:sz w:val="44"/>
                      </w:rPr>
                    </w:pPr>
                    <w:r>
                      <w:rPr>
                        <w:b/>
                        <w:sz w:val="44"/>
                      </w:rPr>
                      <w:t>CHSH </w:t>
                    </w:r>
                    <w:bookmarkStart w:name="CHSH inequality" w:id="1"/>
                    <w:bookmarkEnd w:id="1"/>
                    <w:r>
                      <w:rPr>
                        <w:b/>
                        <w:sz w:val="44"/>
                      </w:rPr>
                      <w:t>inequality</w:t>
                    </w:r>
                  </w:p>
                </w:txbxContent>
              </v:textbox>
              <w10:wrap type="none"/>
            </v:shape>
          </v:group>
        </w:pict>
      </w:r>
      <w:r>
        <w:rPr/>
      </w:r>
    </w:p>
    <w:p>
      <w:pPr>
        <w:pStyle w:val="BodyText"/>
        <w:spacing w:before="7"/>
        <w:rPr>
          <w:sz w:val="6"/>
        </w:rPr>
      </w:pPr>
    </w:p>
    <w:p>
      <w:pPr>
        <w:pStyle w:val="BodyText"/>
        <w:spacing w:line="20" w:lineRule="exact"/>
        <w:ind w:left="503"/>
        <w:rPr>
          <w:sz w:val="2"/>
        </w:rPr>
      </w:pPr>
      <w:r>
        <w:rPr>
          <w:sz w:val="2"/>
        </w:rPr>
        <w:pict>
          <v:group style="width:469.9pt;height:1pt;mso-position-horizontal-relative:char;mso-position-vertical-relative:line" coordorigin="0,0" coordsize="9398,20">
            <v:line style="position:absolute" from="0,10" to="9398,10" stroked="true" strokeweight="1pt" strokecolor="#000000">
              <v:stroke dashstyle="solid"/>
            </v:line>
          </v:group>
        </w:pict>
      </w:r>
      <w:r>
        <w:rPr>
          <w:sz w:val="2"/>
        </w:rPr>
      </w:r>
    </w:p>
    <w:p>
      <w:pPr>
        <w:pStyle w:val="BodyText"/>
        <w:spacing w:before="1"/>
        <w:rPr>
          <w:sz w:val="6"/>
        </w:rPr>
      </w:pPr>
    </w:p>
    <w:p>
      <w:pPr>
        <w:pStyle w:val="BodyText"/>
        <w:spacing w:line="312" w:lineRule="auto" w:before="93"/>
        <w:ind w:left="513" w:right="531"/>
        <w:jc w:val="both"/>
      </w:pPr>
      <w:r>
        <w:rPr/>
        <w:pict>
          <v:shape style="position:absolute;margin-left:356.840393pt;margin-top:-50.647545pt;width:110.6pt;height:27.6pt;mso-position-horizontal-relative:page;mso-position-vertical-relative:paragraph;z-index:15731200" type="#_x0000_t202" filled="true" fillcolor="#0000ff" stroked="false">
            <v:textbox inset="0,0,0,0">
              <w:txbxContent>
                <w:p>
                  <w:pPr>
                    <w:spacing w:before="44"/>
                    <w:ind w:left="0" w:right="0" w:firstLine="0"/>
                    <w:jc w:val="left"/>
                    <w:rPr>
                      <w:b/>
                      <w:sz w:val="36"/>
                    </w:rPr>
                  </w:pPr>
                  <w:r>
                    <w:rPr>
                      <w:b/>
                      <w:color w:val="0433FF"/>
                      <w:sz w:val="36"/>
                    </w:rPr>
                    <w:t>Wikipedia.org</w:t>
                  </w:r>
                </w:p>
              </w:txbxContent>
            </v:textbox>
            <v:fill type="solid"/>
            <w10:wrap type="none"/>
          </v:shape>
        </w:pict>
      </w:r>
      <w:r>
        <w:rPr/>
        <w:t>In </w:t>
      </w:r>
      <w:hyperlink r:id="rId6">
        <w:r>
          <w:rPr/>
          <w:t>physics</w:t>
        </w:r>
      </w:hyperlink>
      <w:r>
        <w:rPr/>
        <w:t>, the CHSH inequality can be used in the proof of </w:t>
      </w:r>
      <w:hyperlink r:id="rId7">
        <w:r>
          <w:rPr/>
          <w:t>Bell's theorem</w:t>
        </w:r>
      </w:hyperlink>
      <w:r>
        <w:rPr/>
        <w:t>, which states that certain consequences of </w:t>
      </w:r>
      <w:hyperlink r:id="rId8">
        <w:r>
          <w:rPr/>
          <w:t>entanglement</w:t>
        </w:r>
      </w:hyperlink>
      <w:r>
        <w:rPr/>
        <w:t> in </w:t>
      </w:r>
      <w:hyperlink r:id="rId9">
        <w:r>
          <w:rPr/>
          <w:t>quantum mechanics</w:t>
        </w:r>
      </w:hyperlink>
      <w:r>
        <w:rPr/>
        <w:t> cannot be reproduced by </w:t>
      </w:r>
      <w:hyperlink r:id="rId10">
        <w:r>
          <w:rPr/>
          <w:t>local hidden variable theories</w:t>
        </w:r>
      </w:hyperlink>
      <w:r>
        <w:rPr/>
        <w:t>. Experimental verification of violation of the inequalities is seen as experimental confirmation that nature cannot be described by local hidden variables theories. CHSH stands for </w:t>
      </w:r>
      <w:hyperlink r:id="rId11">
        <w:r>
          <w:rPr/>
          <w:t>John </w:t>
        </w:r>
        <w:r>
          <w:rPr>
            <w:b/>
          </w:rPr>
          <w:t>C</w:t>
        </w:r>
        <w:r>
          <w:rPr/>
          <w:t>lauser</w:t>
        </w:r>
      </w:hyperlink>
      <w:r>
        <w:rPr/>
        <w:t>, </w:t>
      </w:r>
      <w:hyperlink r:id="rId12">
        <w:r>
          <w:rPr/>
          <w:t>Michael </w:t>
        </w:r>
        <w:r>
          <w:rPr>
            <w:b/>
          </w:rPr>
          <w:t>H</w:t>
        </w:r>
        <w:r>
          <w:rPr/>
          <w:t>orne</w:t>
        </w:r>
      </w:hyperlink>
      <w:r>
        <w:rPr/>
        <w:t>, </w:t>
      </w:r>
      <w:hyperlink r:id="rId13">
        <w:r>
          <w:rPr/>
          <w:t>Abner </w:t>
        </w:r>
        <w:r>
          <w:rPr>
            <w:b/>
          </w:rPr>
          <w:t>S</w:t>
        </w:r>
        <w:r>
          <w:rPr/>
          <w:t>himony </w:t>
        </w:r>
      </w:hyperlink>
      <w:r>
        <w:rPr/>
        <w:t>and </w:t>
      </w:r>
      <w:hyperlink r:id="rId14">
        <w:r>
          <w:rPr/>
          <w:t>Richard </w:t>
        </w:r>
        <w:r>
          <w:rPr>
            <w:b/>
          </w:rPr>
          <w:t>H</w:t>
        </w:r>
        <w:r>
          <w:rPr/>
          <w:t>olt</w:t>
        </w:r>
      </w:hyperlink>
      <w:r>
        <w:rPr/>
        <w:t>, who described it in a much-cited paper published in 1969 (Clauser </w:t>
      </w:r>
      <w:r>
        <w:rPr>
          <w:i/>
        </w:rPr>
        <w:t>et al.</w:t>
      </w:r>
      <w:r>
        <w:rPr/>
        <w:t>, 1969). They derived the </w:t>
      </w:r>
      <w:r>
        <w:rPr>
          <w:b/>
        </w:rPr>
        <w:t>CHSH inequality</w:t>
      </w:r>
      <w:r>
        <w:rPr/>
        <w:t>, which, as with </w:t>
      </w:r>
      <w:hyperlink r:id="rId15">
        <w:r>
          <w:rPr/>
          <w:t>John Bell's </w:t>
        </w:r>
      </w:hyperlink>
      <w:r>
        <w:rPr/>
        <w:t>original inequality (Bell, 1964), is a constraint on the statistics of "coincidences" in a </w:t>
      </w:r>
      <w:hyperlink r:id="rId16">
        <w:r>
          <w:rPr/>
          <w:t>Bell</w:t>
        </w:r>
      </w:hyperlink>
      <w:r>
        <w:rPr/>
        <w:t> </w:t>
      </w:r>
      <w:hyperlink r:id="rId16">
        <w:r>
          <w:rPr/>
          <w:t>test experiment</w:t>
        </w:r>
      </w:hyperlink>
      <w:r>
        <w:rPr/>
        <w:t> which is necessarily true if there exist underlying local hidden variables (</w:t>
      </w:r>
      <w:hyperlink r:id="rId17">
        <w:r>
          <w:rPr/>
          <w:t>local realism</w:t>
        </w:r>
      </w:hyperlink>
      <w:r>
        <w:rPr/>
        <w:t>). This constraint can, on the other hand, be infringed by quantum mechanics.</w:t>
      </w:r>
    </w:p>
    <w:p>
      <w:pPr>
        <w:pStyle w:val="BodyText"/>
        <w:spacing w:before="7"/>
        <w:rPr>
          <w:sz w:val="27"/>
        </w:rPr>
      </w:pPr>
    </w:p>
    <w:p>
      <w:pPr>
        <w:pStyle w:val="Heading2"/>
        <w:jc w:val="both"/>
      </w:pPr>
      <w:r>
        <w:rPr/>
        <w:t>Statement of the </w:t>
      </w:r>
      <w:bookmarkStart w:name="Statement of the inequality" w:id="2"/>
      <w:bookmarkEnd w:id="2"/>
      <w:r>
        <w:rPr/>
        <w:t>inequality</w:t>
      </w:r>
    </w:p>
    <w:p>
      <w:pPr>
        <w:pStyle w:val="BodyText"/>
        <w:spacing w:before="129"/>
        <w:ind w:left="513"/>
      </w:pPr>
      <w:r>
        <w:rPr/>
        <w:t>The usual form of the CHSH inequality is:</w:t>
      </w:r>
    </w:p>
    <w:p>
      <w:pPr>
        <w:pStyle w:val="BodyText"/>
        <w:tabs>
          <w:tab w:pos="1096" w:val="left" w:leader="none"/>
        </w:tabs>
        <w:spacing w:before="96"/>
        <w:ind w:left="513"/>
      </w:pPr>
      <w:r>
        <w:rPr/>
        <w:t>(1)</w:t>
        <w:tab/>
      </w:r>
      <w:r>
        <w:rPr>
          <w:rFonts w:ascii="Arial Black" w:hAnsi="Arial Black"/>
        </w:rPr>
        <w:t>− </w:t>
      </w:r>
      <w:r>
        <w:rPr/>
        <w:t>2 </w:t>
      </w:r>
      <w:r>
        <w:rPr>
          <w:rFonts w:ascii="Arial Black" w:hAnsi="Arial Black"/>
        </w:rPr>
        <w:t>≤ </w:t>
      </w:r>
      <w:r>
        <w:rPr/>
        <w:t>S </w:t>
      </w:r>
      <w:r>
        <w:rPr>
          <w:rFonts w:ascii="Arial Black" w:hAnsi="Arial Black"/>
        </w:rPr>
        <w:t>≤</w:t>
      </w:r>
      <w:r>
        <w:rPr>
          <w:rFonts w:ascii="Arial Black" w:hAnsi="Arial Black"/>
          <w:spacing w:val="-38"/>
        </w:rPr>
        <w:t> </w:t>
      </w:r>
      <w:r>
        <w:rPr/>
        <w:t>2,</w:t>
      </w:r>
    </w:p>
    <w:p>
      <w:pPr>
        <w:pStyle w:val="BodyText"/>
        <w:spacing w:before="112"/>
        <w:ind w:left="1013"/>
      </w:pPr>
      <w:r>
        <w:rPr/>
        <w:t>where</w:t>
      </w:r>
    </w:p>
    <w:p>
      <w:pPr>
        <w:spacing w:before="96"/>
        <w:ind w:left="513" w:right="0" w:firstLine="0"/>
        <w:jc w:val="both"/>
        <w:rPr>
          <w:sz w:val="20"/>
        </w:rPr>
      </w:pPr>
      <w:r>
        <w:rPr>
          <w:sz w:val="20"/>
        </w:rPr>
        <w:t>(2) </w:t>
      </w:r>
      <w:r>
        <w:rPr>
          <w:i/>
          <w:sz w:val="20"/>
        </w:rPr>
        <w:t>S </w:t>
      </w:r>
      <w:r>
        <w:rPr>
          <w:sz w:val="20"/>
        </w:rPr>
        <w:t>= </w:t>
      </w:r>
      <w:r>
        <w:rPr>
          <w:i/>
          <w:sz w:val="20"/>
        </w:rPr>
        <w:t>E</w:t>
      </w:r>
      <w:r>
        <w:rPr>
          <w:sz w:val="20"/>
        </w:rPr>
        <w:t>(</w:t>
      </w:r>
      <w:r>
        <w:rPr>
          <w:i/>
          <w:sz w:val="20"/>
        </w:rPr>
        <w:t>a</w:t>
      </w:r>
      <w:r>
        <w:rPr>
          <w:sz w:val="20"/>
        </w:rPr>
        <w:t>, </w:t>
      </w:r>
      <w:r>
        <w:rPr>
          <w:i/>
          <w:sz w:val="20"/>
        </w:rPr>
        <w:t>b</w:t>
      </w:r>
      <w:r>
        <w:rPr>
          <w:sz w:val="20"/>
        </w:rPr>
        <w:t>) </w:t>
      </w:r>
      <w:r>
        <w:rPr>
          <w:rFonts w:ascii="Arial Black" w:hAnsi="Arial Black"/>
          <w:sz w:val="20"/>
        </w:rPr>
        <w:t>− </w:t>
      </w:r>
      <w:r>
        <w:rPr>
          <w:i/>
          <w:sz w:val="20"/>
        </w:rPr>
        <w:t>E</w:t>
      </w:r>
      <w:r>
        <w:rPr>
          <w:sz w:val="20"/>
        </w:rPr>
        <w:t>(</w:t>
      </w:r>
      <w:r>
        <w:rPr>
          <w:i/>
          <w:sz w:val="20"/>
        </w:rPr>
        <w:t>a</w:t>
      </w:r>
      <w:r>
        <w:rPr>
          <w:sz w:val="20"/>
        </w:rPr>
        <w:t>, </w:t>
      </w:r>
      <w:r>
        <w:rPr>
          <w:i/>
          <w:sz w:val="20"/>
        </w:rPr>
        <w:t>b</w:t>
      </w:r>
      <w:r>
        <w:rPr>
          <w:rFonts w:ascii="Arial Black" w:hAnsi="Arial Black"/>
          <w:sz w:val="20"/>
        </w:rPr>
        <w:t>′</w:t>
      </w:r>
      <w:r>
        <w:rPr>
          <w:sz w:val="20"/>
        </w:rPr>
        <w:t>) + </w:t>
      </w:r>
      <w:r>
        <w:rPr>
          <w:i/>
          <w:sz w:val="20"/>
        </w:rPr>
        <w:t>E</w:t>
      </w:r>
      <w:r>
        <w:rPr>
          <w:sz w:val="20"/>
        </w:rPr>
        <w:t>(</w:t>
      </w:r>
      <w:r>
        <w:rPr>
          <w:i/>
          <w:sz w:val="20"/>
        </w:rPr>
        <w:t>a</w:t>
      </w:r>
      <w:r>
        <w:rPr>
          <w:rFonts w:ascii="Arial Black" w:hAnsi="Arial Black"/>
          <w:sz w:val="20"/>
        </w:rPr>
        <w:t>′</w:t>
      </w:r>
      <w:r>
        <w:rPr>
          <w:sz w:val="20"/>
        </w:rPr>
        <w:t>, b) + </w:t>
      </w:r>
      <w:r>
        <w:rPr>
          <w:i/>
          <w:sz w:val="20"/>
        </w:rPr>
        <w:t>E</w:t>
      </w:r>
      <w:r>
        <w:rPr>
          <w:sz w:val="20"/>
        </w:rPr>
        <w:t>(</w:t>
      </w:r>
      <w:r>
        <w:rPr>
          <w:i/>
          <w:sz w:val="20"/>
        </w:rPr>
        <w:t>a</w:t>
      </w:r>
      <w:r>
        <w:rPr>
          <w:rFonts w:ascii="Arial Black" w:hAnsi="Arial Black"/>
          <w:sz w:val="20"/>
        </w:rPr>
        <w:t>′ </w:t>
      </w:r>
      <w:r>
        <w:rPr>
          <w:i/>
          <w:sz w:val="20"/>
        </w:rPr>
        <w:t>b</w:t>
      </w:r>
      <w:r>
        <w:rPr>
          <w:rFonts w:ascii="Arial Black" w:hAnsi="Arial Black"/>
          <w:sz w:val="20"/>
        </w:rPr>
        <w:t>′</w:t>
      </w:r>
      <w:r>
        <w:rPr>
          <w:sz w:val="20"/>
        </w:rPr>
        <w:t>).</w:t>
      </w:r>
    </w:p>
    <w:p>
      <w:pPr>
        <w:pStyle w:val="BodyText"/>
        <w:spacing w:line="302" w:lineRule="auto" w:before="78"/>
        <w:ind w:left="513" w:right="531"/>
        <w:jc w:val="both"/>
      </w:pPr>
      <w:r>
        <w:rPr>
          <w:i/>
        </w:rPr>
        <w:t>a </w:t>
      </w:r>
      <w:r>
        <w:rPr/>
        <w:t>and </w:t>
      </w:r>
      <w:r>
        <w:rPr>
          <w:i/>
        </w:rPr>
        <w:t>a</w:t>
      </w:r>
      <w:r>
        <w:rPr>
          <w:rFonts w:ascii="Arial Black" w:hAnsi="Arial Black"/>
        </w:rPr>
        <w:t>′ </w:t>
      </w:r>
      <w:r>
        <w:rPr/>
        <w:t>are detector settings on side A, </w:t>
      </w:r>
      <w:r>
        <w:rPr>
          <w:i/>
        </w:rPr>
        <w:t>b </w:t>
      </w:r>
      <w:r>
        <w:rPr/>
        <w:t>and </w:t>
      </w:r>
      <w:r>
        <w:rPr>
          <w:i/>
        </w:rPr>
        <w:t>b</w:t>
      </w:r>
      <w:r>
        <w:rPr>
          <w:rFonts w:ascii="Arial Black" w:hAnsi="Arial Black"/>
        </w:rPr>
        <w:t>′ </w:t>
      </w:r>
      <w:r>
        <w:rPr/>
        <w:t>on side B, the four combinations being tested in separate subexperiments. The terms </w:t>
      </w:r>
      <w:r>
        <w:rPr>
          <w:i/>
        </w:rPr>
        <w:t>E</w:t>
      </w:r>
      <w:r>
        <w:rPr/>
        <w:t>(</w:t>
      </w:r>
      <w:r>
        <w:rPr>
          <w:i/>
        </w:rPr>
        <w:t>a</w:t>
      </w:r>
      <w:r>
        <w:rPr/>
        <w:t>, </w:t>
      </w:r>
      <w:r>
        <w:rPr>
          <w:i/>
        </w:rPr>
        <w:t>b</w:t>
      </w:r>
      <w:r>
        <w:rPr/>
        <w:t>) etc. are the </w:t>
      </w:r>
      <w:hyperlink r:id="rId18">
        <w:r>
          <w:rPr/>
          <w:t>quantum correlation</w:t>
        </w:r>
      </w:hyperlink>
      <w:r>
        <w:rPr/>
        <w:t>s of the particle pairs, where the quantum correlation is defined to be the expectation value of the product of the "outcomes" of the experiment, i.e. </w:t>
      </w:r>
      <w:r>
        <w:rPr>
          <w:spacing w:val="-5"/>
        </w:rPr>
        <w:t>the </w:t>
      </w:r>
      <w:r>
        <w:rPr/>
        <w:t>statistical average of </w:t>
      </w:r>
      <w:r>
        <w:rPr>
          <w:i/>
        </w:rPr>
        <w:t>A</w:t>
      </w:r>
      <w:r>
        <w:rPr/>
        <w:t>(</w:t>
      </w:r>
      <w:r>
        <w:rPr>
          <w:i/>
        </w:rPr>
        <w:t>a</w:t>
      </w:r>
      <w:r>
        <w:rPr/>
        <w:t>)·</w:t>
      </w:r>
      <w:r>
        <w:rPr>
          <w:i/>
        </w:rPr>
        <w:t>B</w:t>
      </w:r>
      <w:r>
        <w:rPr/>
        <w:t>(</w:t>
      </w:r>
      <w:r>
        <w:rPr>
          <w:i/>
        </w:rPr>
        <w:t>b</w:t>
      </w:r>
      <w:r>
        <w:rPr/>
        <w:t>), where </w:t>
      </w:r>
      <w:r>
        <w:rPr>
          <w:i/>
        </w:rPr>
        <w:t>A </w:t>
      </w:r>
      <w:r>
        <w:rPr/>
        <w:t>and </w:t>
      </w:r>
      <w:r>
        <w:rPr>
          <w:i/>
        </w:rPr>
        <w:t>B </w:t>
      </w:r>
      <w:r>
        <w:rPr/>
        <w:t>are the separate outcomes, using the coding +1 for the '+' channel</w:t>
      </w:r>
      <w:r>
        <w:rPr>
          <w:spacing w:val="24"/>
        </w:rPr>
        <w:t> </w:t>
      </w:r>
      <w:r>
        <w:rPr/>
        <w:t>and</w:t>
      </w:r>
    </w:p>
    <w:p>
      <w:pPr>
        <w:pStyle w:val="BodyText"/>
        <w:spacing w:line="257" w:lineRule="exact"/>
        <w:ind w:left="513"/>
        <w:jc w:val="both"/>
      </w:pPr>
      <w:r>
        <w:rPr>
          <w:rFonts w:ascii="Arial Black" w:hAnsi="Arial Black"/>
        </w:rPr>
        <w:t>−</w:t>
      </w:r>
      <w:r>
        <w:rPr/>
        <w:t>1</w:t>
      </w:r>
      <w:r>
        <w:rPr>
          <w:spacing w:val="7"/>
        </w:rPr>
        <w:t> </w:t>
      </w:r>
      <w:r>
        <w:rPr/>
        <w:t>for</w:t>
      </w:r>
      <w:r>
        <w:rPr>
          <w:spacing w:val="7"/>
        </w:rPr>
        <w:t> </w:t>
      </w:r>
      <w:r>
        <w:rPr/>
        <w:t>the</w:t>
      </w:r>
      <w:r>
        <w:rPr>
          <w:spacing w:val="8"/>
        </w:rPr>
        <w:t> </w:t>
      </w:r>
      <w:r>
        <w:rPr/>
        <w:t>'</w:t>
      </w:r>
      <w:r>
        <w:rPr>
          <w:rFonts w:ascii="Arial Black" w:hAnsi="Arial Black"/>
        </w:rPr>
        <w:t>−</w:t>
      </w:r>
      <w:r>
        <w:rPr/>
        <w:t>'</w:t>
      </w:r>
      <w:r>
        <w:rPr>
          <w:spacing w:val="7"/>
        </w:rPr>
        <w:t> </w:t>
      </w:r>
      <w:r>
        <w:rPr/>
        <w:t>channel.</w:t>
      </w:r>
      <w:r>
        <w:rPr>
          <w:spacing w:val="7"/>
        </w:rPr>
        <w:t> </w:t>
      </w:r>
      <w:r>
        <w:rPr/>
        <w:t>Clauser</w:t>
      </w:r>
      <w:r>
        <w:rPr>
          <w:spacing w:val="8"/>
        </w:rPr>
        <w:t> </w:t>
      </w:r>
      <w:r>
        <w:rPr/>
        <w:t>et</w:t>
      </w:r>
      <w:r>
        <w:rPr>
          <w:spacing w:val="7"/>
        </w:rPr>
        <w:t> </w:t>
      </w:r>
      <w:r>
        <w:rPr/>
        <w:t>al.'s</w:t>
      </w:r>
      <w:r>
        <w:rPr>
          <w:spacing w:val="7"/>
        </w:rPr>
        <w:t> </w:t>
      </w:r>
      <w:r>
        <w:rPr/>
        <w:t>1969</w:t>
      </w:r>
      <w:r>
        <w:rPr>
          <w:spacing w:val="8"/>
        </w:rPr>
        <w:t> </w:t>
      </w:r>
      <w:r>
        <w:rPr/>
        <w:t>derivation</w:t>
      </w:r>
      <w:r>
        <w:rPr>
          <w:spacing w:val="7"/>
        </w:rPr>
        <w:t> </w:t>
      </w:r>
      <w:r>
        <w:rPr/>
        <w:t>was</w:t>
      </w:r>
      <w:r>
        <w:rPr>
          <w:spacing w:val="7"/>
        </w:rPr>
        <w:t> </w:t>
      </w:r>
      <w:r>
        <w:rPr/>
        <w:t>oriented</w:t>
      </w:r>
      <w:r>
        <w:rPr>
          <w:spacing w:val="8"/>
        </w:rPr>
        <w:t> </w:t>
      </w:r>
      <w:r>
        <w:rPr/>
        <w:t>towards</w:t>
      </w:r>
      <w:r>
        <w:rPr>
          <w:spacing w:val="7"/>
        </w:rPr>
        <w:t> </w:t>
      </w:r>
      <w:r>
        <w:rPr/>
        <w:t>the</w:t>
      </w:r>
      <w:r>
        <w:rPr>
          <w:spacing w:val="7"/>
        </w:rPr>
        <w:t> </w:t>
      </w:r>
      <w:r>
        <w:rPr/>
        <w:t>use</w:t>
      </w:r>
      <w:r>
        <w:rPr>
          <w:spacing w:val="8"/>
        </w:rPr>
        <w:t> </w:t>
      </w:r>
      <w:r>
        <w:rPr/>
        <w:t>of</w:t>
      </w:r>
      <w:r>
        <w:rPr>
          <w:spacing w:val="7"/>
        </w:rPr>
        <w:t> </w:t>
      </w:r>
      <w:r>
        <w:rPr/>
        <w:t>"two-channel"</w:t>
      </w:r>
      <w:r>
        <w:rPr>
          <w:spacing w:val="7"/>
        </w:rPr>
        <w:t> </w:t>
      </w:r>
      <w:r>
        <w:rPr/>
        <w:t>detectors,</w:t>
      </w:r>
      <w:r>
        <w:rPr>
          <w:spacing w:val="8"/>
        </w:rPr>
        <w:t> </w:t>
      </w:r>
      <w:r>
        <w:rPr/>
        <w:t>and</w:t>
      </w:r>
    </w:p>
    <w:p>
      <w:pPr>
        <w:pStyle w:val="BodyText"/>
        <w:spacing w:line="297" w:lineRule="auto" w:before="18"/>
        <w:ind w:left="513" w:right="531"/>
        <w:jc w:val="both"/>
      </w:pPr>
      <w:r>
        <w:rPr/>
        <w:t>indeed it is for these that it is generally used, but under their method the only possible outcomes were +1 and </w:t>
      </w:r>
      <w:r>
        <w:rPr>
          <w:rFonts w:ascii="Arial Black" w:hAnsi="Arial Black"/>
        </w:rPr>
        <w:t>−</w:t>
      </w:r>
      <w:r>
        <w:rPr/>
        <w:t>1. In order to adapt it to real situations, which at the time meant the use of polarised light and single-channel polarisers, they had to interpret '</w:t>
      </w:r>
      <w:r>
        <w:rPr>
          <w:rFonts w:ascii="Arial Black" w:hAnsi="Arial Black"/>
        </w:rPr>
        <w:t>−</w:t>
      </w:r>
      <w:r>
        <w:rPr/>
        <w:t>' as meaning "non-detection in the '+' channel", i.e. either '</w:t>
      </w:r>
      <w:r>
        <w:rPr>
          <w:rFonts w:ascii="Arial Black" w:hAnsi="Arial Black"/>
        </w:rPr>
        <w:t>−</w:t>
      </w:r>
      <w:r>
        <w:rPr/>
        <w:t>' or nothing. They did not in the original article discuss how the two-channel inequality could be applied in real experiments with real imperfect detectors, though it was later proved (Bell, 1971) that the inequality itself was equally valid. The occurrence of zero outcomes, though, means it is no longer so obvious how the values of </w:t>
      </w:r>
      <w:r>
        <w:rPr>
          <w:i/>
        </w:rPr>
        <w:t>E </w:t>
      </w:r>
      <w:r>
        <w:rPr/>
        <w:t>are to be estimated from the experimental data.</w:t>
      </w:r>
    </w:p>
    <w:p>
      <w:pPr>
        <w:pStyle w:val="BodyText"/>
        <w:spacing w:line="292" w:lineRule="auto" w:before="94"/>
        <w:ind w:left="513" w:right="581"/>
        <w:jc w:val="both"/>
      </w:pPr>
      <w:r>
        <w:rPr/>
        <w:t>The mathematical formalism of quantum mechanics predicts a maximum value for S of  </w:t>
      </w:r>
      <w:r>
        <w:rPr>
          <w:spacing w:val="-12"/>
          <w:position w:val="-9"/>
        </w:rPr>
        <w:drawing>
          <wp:inline distT="0" distB="0" distL="0" distR="0">
            <wp:extent cx="281939" cy="17907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9" cstate="print"/>
                    <a:stretch>
                      <a:fillRect/>
                    </a:stretch>
                  </pic:blipFill>
                  <pic:spPr>
                    <a:xfrm>
                      <a:off x="0" y="0"/>
                      <a:ext cx="281939" cy="179070"/>
                    </a:xfrm>
                    <a:prstGeom prst="rect">
                      <a:avLst/>
                    </a:prstGeom>
                  </pic:spPr>
                </pic:pic>
              </a:graphicData>
            </a:graphic>
          </wp:inline>
        </w:drawing>
      </w:r>
      <w:r>
        <w:rPr>
          <w:spacing w:val="-12"/>
          <w:position w:val="-9"/>
        </w:rPr>
      </w:r>
      <w:r>
        <w:rPr/>
        <w:t>, which is greater than 2, and CHSH violations are therefore predicted by the theory of quantum mechanics.</w:t>
      </w:r>
    </w:p>
    <w:p>
      <w:pPr>
        <w:pStyle w:val="BodyText"/>
        <w:spacing w:before="5"/>
        <w:rPr>
          <w:sz w:val="19"/>
        </w:rPr>
      </w:pPr>
    </w:p>
    <w:p>
      <w:pPr>
        <w:pStyle w:val="Heading3"/>
      </w:pPr>
      <w:r>
        <w:rPr/>
        <w:t>A typical CHSH </w:t>
      </w:r>
      <w:bookmarkStart w:name="A typical CHSH experiment" w:id="3"/>
      <w:bookmarkEnd w:id="3"/>
      <w:r>
        <w:rPr/>
        <w:t>experiment</w:t>
      </w:r>
    </w:p>
    <w:p>
      <w:pPr>
        <w:pStyle w:val="BodyText"/>
        <w:spacing w:line="300" w:lineRule="exact" w:before="136"/>
        <w:ind w:left="513" w:right="6339"/>
        <w:jc w:val="both"/>
      </w:pPr>
      <w:r>
        <w:rPr/>
        <w:pict>
          <v:group style="position:absolute;margin-left:253.527573pt;margin-top:10.80009pt;width:279.1pt;height:170.3pt;mso-position-horizontal-relative:page;mso-position-vertical-relative:paragraph;z-index:15732224" coordorigin="5071,216" coordsize="5582,3406">
            <v:shape style="position:absolute;left:5183;top:329;width:5355;height:1919" type="#_x0000_t75" stroked="false">
              <v:imagedata r:id="rId20" o:title=""/>
            </v:shape>
            <v:shape style="position:absolute;left:5070;top:216;width:5582;height:3406" type="#_x0000_t202" filled="false" stroked="true" strokeweight="0pt" strokecolor="#bfbfbf">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6"/>
                      <w:rPr>
                        <w:sz w:val="21"/>
                      </w:rPr>
                    </w:pPr>
                  </w:p>
                  <w:p>
                    <w:pPr>
                      <w:spacing w:before="0"/>
                      <w:ind w:left="184" w:right="184" w:firstLine="0"/>
                      <w:jc w:val="center"/>
                      <w:rPr>
                        <w:b/>
                        <w:sz w:val="16"/>
                      </w:rPr>
                    </w:pPr>
                    <w:r>
                      <w:rPr>
                        <w:b/>
                        <w:sz w:val="16"/>
                      </w:rPr>
                      <w:t>Schematic of a "two-channel" Bell test</w:t>
                    </w:r>
                  </w:p>
                  <w:p>
                    <w:pPr>
                      <w:spacing w:line="312" w:lineRule="auto" w:before="56"/>
                      <w:ind w:left="186" w:right="184" w:firstLine="0"/>
                      <w:jc w:val="center"/>
                      <w:rPr>
                        <w:sz w:val="16"/>
                      </w:rPr>
                    </w:pPr>
                    <w:r>
                      <w:rPr>
                        <w:sz w:val="16"/>
                      </w:rPr>
                      <w:t>The source S produces pairs of photons, sent in opposite directions. Each photon encounters a two-channel polariser whose orientation can be set by the experimenter. Emerging signals from each channel are detected and </w:t>
                    </w:r>
                    <w:r>
                      <w:rPr>
                        <w:spacing w:val="-2"/>
                        <w:sz w:val="16"/>
                      </w:rPr>
                      <w:t>coincidences </w:t>
                    </w:r>
                    <w:r>
                      <w:rPr>
                        <w:sz w:val="16"/>
                      </w:rPr>
                      <w:t>counted by the coincidence monitor CM.</w:t>
                    </w:r>
                  </w:p>
                </w:txbxContent>
              </v:textbox>
              <v:stroke dashstyle="solid"/>
              <w10:wrap type="none"/>
            </v:shape>
            <w10:wrap type="none"/>
          </v:group>
        </w:pict>
      </w:r>
      <w:r>
        <w:rPr/>
        <w:t>In practice most actual experiments have used light rather than the electrons that Bell originally had in mind. The property of interest is, in the best known experiments </w:t>
      </w:r>
      <w:hyperlink r:id="rId21">
        <w:r>
          <w:rPr/>
          <w:t>(Aspect</w:t>
        </w:r>
      </w:hyperlink>
      <w:r>
        <w:rPr/>
        <w:t>, 1981-2), the polarisation direction, though other properties can be used. The diagram shows a typical optical experiment. Coincidences (simultaneous detections) are recorded, the results being categorised as '++', '+</w:t>
      </w:r>
      <w:r>
        <w:rPr>
          <w:rFonts w:ascii="Arial Black" w:hAnsi="Arial Black"/>
        </w:rPr>
        <w:t>−</w:t>
      </w:r>
      <w:r>
        <w:rPr/>
        <w:t>', '</w:t>
      </w:r>
      <w:r>
        <w:rPr>
          <w:rFonts w:ascii="Arial Black" w:hAnsi="Arial Black"/>
        </w:rPr>
        <w:t>−</w:t>
      </w:r>
      <w:r>
        <w:rPr/>
        <w:t>+' or '</w:t>
      </w:r>
      <w:r>
        <w:rPr>
          <w:rFonts w:ascii="Arial Black" w:hAnsi="Arial Black"/>
        </w:rPr>
        <w:t>−−</w:t>
      </w:r>
      <w:r>
        <w:rPr/>
        <w:t>' and corresponding counts accumulated.</w:t>
      </w:r>
    </w:p>
    <w:p>
      <w:pPr>
        <w:spacing w:after="0" w:line="300" w:lineRule="exact"/>
        <w:jc w:val="both"/>
        <w:sectPr>
          <w:footerReference w:type="default" r:id="rId5"/>
          <w:type w:val="continuous"/>
          <w:pgSz w:w="11910" w:h="16840"/>
          <w:pgMar w:footer="650" w:top="560" w:bottom="840" w:left="740" w:right="720"/>
        </w:sectPr>
      </w:pPr>
    </w:p>
    <w:p>
      <w:pPr>
        <w:pStyle w:val="BodyText"/>
        <w:spacing w:before="4"/>
        <w:rPr>
          <w:sz w:val="24"/>
        </w:rPr>
      </w:pPr>
      <w:r>
        <w:rPr/>
        <w:pict>
          <v:group style="position:absolute;margin-left:386.192963pt;margin-top:715.792847pt;width:208.85pt;height:41.1pt;mso-position-horizontal-relative:page;mso-position-vertical-relative:page;z-index:-15875584" coordorigin="7724,14316" coordsize="4177,822">
            <v:shape style="position:absolute;left:7723;top:14315;width:4177;height:480" type="#_x0000_t75" stroked="false">
              <v:imagedata r:id="rId24" o:title=""/>
            </v:shape>
            <v:shape style="position:absolute;left:7921;top:14855;width:2514;height:282" type="#_x0000_t75" stroked="false">
              <v:imagedata r:id="rId25" o:title=""/>
            </v:shape>
            <w10:wrap type="none"/>
          </v:group>
        </w:pict>
      </w:r>
    </w:p>
    <w:p>
      <w:pPr>
        <w:pStyle w:val="BodyText"/>
        <w:spacing w:line="266" w:lineRule="auto" w:before="93"/>
        <w:ind w:left="513" w:right="531"/>
        <w:jc w:val="both"/>
      </w:pPr>
      <w:r>
        <w:rPr/>
        <w:t>Four separate subexperiments are conducted, corresponding to the four terms </w:t>
      </w:r>
      <w:r>
        <w:rPr>
          <w:i/>
        </w:rPr>
        <w:t>E</w:t>
      </w:r>
      <w:r>
        <w:rPr/>
        <w:t>(</w:t>
      </w:r>
      <w:r>
        <w:rPr>
          <w:i/>
        </w:rPr>
        <w:t>a</w:t>
      </w:r>
      <w:r>
        <w:rPr/>
        <w:t>, </w:t>
      </w:r>
      <w:r>
        <w:rPr>
          <w:i/>
        </w:rPr>
        <w:t>b</w:t>
      </w:r>
      <w:r>
        <w:rPr/>
        <w:t>) in the test statistic </w:t>
      </w:r>
      <w:r>
        <w:rPr>
          <w:i/>
        </w:rPr>
        <w:t>S </w:t>
      </w:r>
      <w:r>
        <w:rPr/>
        <w:t>((2) above). The settings </w:t>
      </w:r>
      <w:r>
        <w:rPr>
          <w:i/>
        </w:rPr>
        <w:t>a</w:t>
      </w:r>
      <w:r>
        <w:rPr/>
        <w:t>, </w:t>
      </w:r>
      <w:r>
        <w:rPr>
          <w:i/>
        </w:rPr>
        <w:t>a</w:t>
      </w:r>
      <w:r>
        <w:rPr>
          <w:rFonts w:ascii="Arial Black" w:hAnsi="Arial Black"/>
        </w:rPr>
        <w:t>′</w:t>
      </w:r>
      <w:r>
        <w:rPr/>
        <w:t>, </w:t>
      </w:r>
      <w:r>
        <w:rPr>
          <w:i/>
        </w:rPr>
        <w:t>b </w:t>
      </w:r>
      <w:r>
        <w:rPr/>
        <w:t>and </w:t>
      </w:r>
      <w:r>
        <w:rPr>
          <w:i/>
        </w:rPr>
        <w:t>b</w:t>
      </w:r>
      <w:r>
        <w:rPr>
          <w:rFonts w:ascii="Arial Black" w:hAnsi="Arial Black"/>
        </w:rPr>
        <w:t>′ </w:t>
      </w:r>
      <w:r>
        <w:rPr/>
        <w:t>are generally in practice chosen to be 0, 45°, 22.5° and 67.5° respectively </w:t>
      </w:r>
      <w:r>
        <w:rPr>
          <w:rFonts w:ascii="Arial Black" w:hAnsi="Arial Black"/>
        </w:rPr>
        <w:t>— </w:t>
      </w:r>
      <w:r>
        <w:rPr>
          <w:spacing w:val="-4"/>
        </w:rPr>
        <w:t>the </w:t>
      </w:r>
      <w:r>
        <w:rPr/>
        <w:t>"Bell test angles" </w:t>
      </w:r>
      <w:r>
        <w:rPr>
          <w:rFonts w:ascii="Arial Black" w:hAnsi="Arial Black"/>
        </w:rPr>
        <w:t>— </w:t>
      </w:r>
      <w:r>
        <w:rPr/>
        <w:t>these being the ones for which the QM formula gives the greatest violation of the</w:t>
      </w:r>
      <w:r>
        <w:rPr>
          <w:spacing w:val="-12"/>
        </w:rPr>
        <w:t> </w:t>
      </w:r>
      <w:r>
        <w:rPr/>
        <w:t>inequality.</w:t>
      </w:r>
    </w:p>
    <w:p>
      <w:pPr>
        <w:pStyle w:val="BodyText"/>
        <w:spacing w:line="223" w:lineRule="auto" w:before="85"/>
        <w:ind w:left="513" w:right="531"/>
        <w:jc w:val="both"/>
      </w:pPr>
      <w:r>
        <w:rPr/>
        <w:t>For each selected value of </w:t>
      </w:r>
      <w:r>
        <w:rPr>
          <w:i/>
        </w:rPr>
        <w:t>a </w:t>
      </w:r>
      <w:r>
        <w:rPr/>
        <w:t>and </w:t>
      </w:r>
      <w:r>
        <w:rPr>
          <w:i/>
        </w:rPr>
        <w:t>b</w:t>
      </w:r>
      <w:r>
        <w:rPr/>
        <w:t>, the numbers of coincidences in each category (</w:t>
      </w:r>
      <w:r>
        <w:rPr>
          <w:i/>
        </w:rPr>
        <w:t>N</w:t>
      </w:r>
      <w:r>
        <w:rPr>
          <w:position w:val="-9"/>
          <w:sz w:val="16"/>
        </w:rPr>
        <w:t>++</w:t>
      </w:r>
      <w:r>
        <w:rPr/>
        <w:t>, </w:t>
      </w:r>
      <w:r>
        <w:rPr>
          <w:i/>
        </w:rPr>
        <w:t>N</w:t>
      </w:r>
      <w:r>
        <w:rPr>
          <w:position w:val="-9"/>
          <w:sz w:val="16"/>
        </w:rPr>
        <w:t>--</w:t>
      </w:r>
      <w:r>
        <w:rPr/>
        <w:t>, </w:t>
      </w:r>
      <w:r>
        <w:rPr>
          <w:i/>
        </w:rPr>
        <w:t>N</w:t>
      </w:r>
      <w:r>
        <w:rPr>
          <w:position w:val="-9"/>
          <w:sz w:val="16"/>
        </w:rPr>
        <w:t>+- </w:t>
      </w:r>
      <w:r>
        <w:rPr/>
        <w:t>and </w:t>
      </w:r>
      <w:r>
        <w:rPr>
          <w:i/>
        </w:rPr>
        <w:t>N</w:t>
      </w:r>
      <w:r>
        <w:rPr>
          <w:position w:val="-9"/>
          <w:sz w:val="16"/>
        </w:rPr>
        <w:t>-+</w:t>
      </w:r>
      <w:r>
        <w:rPr/>
        <w:t>) are recorded. The experimental estimate for </w:t>
      </w:r>
      <w:r>
        <w:rPr>
          <w:i/>
        </w:rPr>
        <w:t>E</w:t>
      </w:r>
      <w:r>
        <w:rPr/>
        <w:t>(</w:t>
      </w:r>
      <w:r>
        <w:rPr>
          <w:i/>
        </w:rPr>
        <w:t>a</w:t>
      </w:r>
      <w:r>
        <w:rPr/>
        <w:t>, </w:t>
      </w:r>
      <w:r>
        <w:rPr>
          <w:i/>
        </w:rPr>
        <w:t>b</w:t>
      </w:r>
      <w:r>
        <w:rPr/>
        <w:t>) is then calculated</w:t>
      </w:r>
      <w:r>
        <w:rPr>
          <w:spacing w:val="-1"/>
        </w:rPr>
        <w:t> </w:t>
      </w:r>
      <w:r>
        <w:rPr/>
        <w:t>as:</w:t>
      </w:r>
    </w:p>
    <w:p>
      <w:pPr>
        <w:pStyle w:val="BodyText"/>
        <w:spacing w:before="7"/>
        <w:rPr>
          <w:sz w:val="10"/>
        </w:rPr>
      </w:pPr>
      <w:r>
        <w:rPr/>
        <w:drawing>
          <wp:anchor distT="0" distB="0" distL="0" distR="0" allowOverlap="1" layoutInCell="1" locked="0" behindDoc="0" simplePos="0" relativeHeight="8">
            <wp:simplePos x="0" y="0"/>
            <wp:positionH relativeFrom="page">
              <wp:posOffset>819059</wp:posOffset>
            </wp:positionH>
            <wp:positionV relativeFrom="paragraph">
              <wp:posOffset>102667</wp:posOffset>
            </wp:positionV>
            <wp:extent cx="2263139" cy="369570"/>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26" cstate="print"/>
                    <a:stretch>
                      <a:fillRect/>
                    </a:stretch>
                  </pic:blipFill>
                  <pic:spPr>
                    <a:xfrm>
                      <a:off x="0" y="0"/>
                      <a:ext cx="2263139" cy="369570"/>
                    </a:xfrm>
                    <a:prstGeom prst="rect">
                      <a:avLst/>
                    </a:prstGeom>
                  </pic:spPr>
                </pic:pic>
              </a:graphicData>
            </a:graphic>
          </wp:anchor>
        </w:drawing>
      </w:r>
    </w:p>
    <w:p>
      <w:pPr>
        <w:pStyle w:val="BodyText"/>
        <w:spacing w:line="297" w:lineRule="auto"/>
        <w:ind w:left="513" w:right="531"/>
        <w:jc w:val="both"/>
      </w:pPr>
      <w:r>
        <w:rPr/>
        <w:t>Once all the </w:t>
      </w:r>
      <w:r>
        <w:rPr>
          <w:i/>
        </w:rPr>
        <w:t>E</w:t>
      </w:r>
      <w:r>
        <w:rPr>
          <w:rFonts w:ascii="Arial Black" w:hAnsi="Arial Black"/>
        </w:rPr>
        <w:t>’</w:t>
      </w:r>
      <w:r>
        <w:rPr/>
        <w:t>s have been estimated, an experimental estimate of </w:t>
      </w:r>
      <w:r>
        <w:rPr>
          <w:i/>
        </w:rPr>
        <w:t>S </w:t>
      </w:r>
      <w:r>
        <w:rPr/>
        <w:t>(expression (2)) can be found. If it is numerically greater than 2 it has infringed the CHSH inequality and the experiment is declared to have supported the QM (</w:t>
      </w:r>
      <w:hyperlink r:id="rId27">
        <w:r>
          <w:rPr/>
          <w:t>Quantum Mechanics</w:t>
        </w:r>
      </w:hyperlink>
      <w:r>
        <w:rPr/>
        <w:t>) prediction and ruled out all local hidden variable theories.</w:t>
      </w:r>
    </w:p>
    <w:p>
      <w:pPr>
        <w:pStyle w:val="BodyText"/>
        <w:spacing w:line="312" w:lineRule="auto" w:before="73"/>
        <w:ind w:left="513" w:right="531"/>
        <w:jc w:val="both"/>
      </w:pPr>
      <w:r>
        <w:rPr/>
        <w:t>The CHSH paper lists many preconditions (or "reasonable and/or presumable assumptions") to derive the simplified theorem and formula. For example, for the method to be valid, it has to be assumed that the detected pairs are a fair sample of those emitted. In actual experiments, detectors are never 100% efficient, so that only a sample of the emitted pairs are detected. A subtle, related requirement is that the hidden variables do not influence or determine detection probability in a way that would lead to different samples at each arm of the experiment.</w:t>
      </w:r>
    </w:p>
    <w:p>
      <w:pPr>
        <w:pStyle w:val="BodyText"/>
        <w:spacing w:before="4"/>
        <w:rPr>
          <w:sz w:val="27"/>
        </w:rPr>
      </w:pPr>
    </w:p>
    <w:p>
      <w:pPr>
        <w:pStyle w:val="Heading2"/>
        <w:jc w:val="both"/>
      </w:pPr>
      <w:r>
        <w:rPr/>
        <w:t>Derivation of the CHSH inequality</w:t>
      </w:r>
    </w:p>
    <w:p>
      <w:pPr>
        <w:pStyle w:val="BodyText"/>
        <w:spacing w:line="297" w:lineRule="auto" w:before="129"/>
        <w:ind w:left="513" w:right="531"/>
        <w:jc w:val="both"/>
      </w:pPr>
      <w:r>
        <w:rPr/>
        <w:t>The original 1969 derivation will not be given here </w:t>
      </w:r>
      <w:bookmarkStart w:name="Derivation of the CHSH inequality" w:id="4"/>
      <w:bookmarkEnd w:id="4"/>
      <w:r>
        <w:rPr/>
        <w:t>since</w:t>
      </w:r>
      <w:r>
        <w:rPr/>
        <w:t> it is not easy to follow and involves the assumption that the outcomes are all +1 or </w:t>
      </w:r>
      <w:r>
        <w:rPr>
          <w:rFonts w:ascii="Arial Black" w:hAnsi="Arial Black"/>
        </w:rPr>
        <w:t>−</w:t>
      </w:r>
      <w:r>
        <w:rPr/>
        <w:t>1, never zero. Bell's 1971 derivation is more general. He effectively assumes the "Objective Local Theory" later used by Clauser and Horne (Clauser, 1974). It is assumed that any hidden variables associated with the detectors themselves are independent on the two sides and can be averaged out from the start. Another derivation of interest is given in Clauser and Horne's 1974 paper, in which they start from the CH74 inequality.</w:t>
      </w:r>
    </w:p>
    <w:p>
      <w:pPr>
        <w:pStyle w:val="BodyText"/>
        <w:spacing w:line="312" w:lineRule="auto" w:before="69"/>
        <w:ind w:left="513" w:right="531"/>
        <w:jc w:val="both"/>
      </w:pPr>
      <w:r>
        <w:rPr/>
        <w:t>It would appear from both these later derivations that the only assumptions really needed for the inequality itself (as opposed to the method of estimation of the test statistic) are that the distribution of the possible states of the source remains constant and the detectors on the two sides act independently.</w:t>
      </w:r>
    </w:p>
    <w:p>
      <w:pPr>
        <w:pStyle w:val="BodyText"/>
        <w:spacing w:before="2"/>
        <w:rPr>
          <w:sz w:val="24"/>
        </w:rPr>
      </w:pPr>
    </w:p>
    <w:p>
      <w:pPr>
        <w:pStyle w:val="Heading3"/>
      </w:pPr>
      <w:r>
        <w:rPr/>
        <w:t>Bell's 1971 </w:t>
      </w:r>
      <w:bookmarkStart w:name="Bell's 1971 derivation" w:id="5"/>
      <w:bookmarkEnd w:id="5"/>
      <w:r>
        <w:rPr/>
        <w:t>derivation</w:t>
      </w:r>
    </w:p>
    <w:p>
      <w:pPr>
        <w:pStyle w:val="BodyText"/>
        <w:spacing w:line="280" w:lineRule="auto" w:before="129"/>
        <w:ind w:left="513" w:right="531"/>
        <w:jc w:val="both"/>
      </w:pPr>
      <w:r>
        <w:rPr/>
        <w:t>The following is based on page 37 of Bell's </w:t>
      </w:r>
      <w:r>
        <w:rPr>
          <w:i/>
        </w:rPr>
        <w:t>Speakable and Unspeakable </w:t>
      </w:r>
      <w:r>
        <w:rPr/>
        <w:t>(Bell, 1971), the main change being to use the symbol </w:t>
      </w:r>
      <w:r>
        <w:rPr>
          <w:rFonts w:ascii="Arial Black" w:hAnsi="Arial Black"/>
        </w:rPr>
        <w:t>‘</w:t>
      </w:r>
      <w:r>
        <w:rPr>
          <w:i/>
        </w:rPr>
        <w:t>E</w:t>
      </w:r>
      <w:r>
        <w:rPr>
          <w:rFonts w:ascii="Arial Black" w:hAnsi="Arial Black"/>
        </w:rPr>
        <w:t>’ </w:t>
      </w:r>
      <w:r>
        <w:rPr/>
        <w:t>instead of </w:t>
      </w:r>
      <w:r>
        <w:rPr>
          <w:rFonts w:ascii="Arial Black" w:hAnsi="Arial Black"/>
        </w:rPr>
        <w:t>‘</w:t>
      </w:r>
      <w:r>
        <w:rPr>
          <w:i/>
        </w:rPr>
        <w:t>P</w:t>
      </w:r>
      <w:r>
        <w:rPr>
          <w:rFonts w:ascii="Arial Black" w:hAnsi="Arial Black"/>
        </w:rPr>
        <w:t>’ </w:t>
      </w:r>
      <w:r>
        <w:rPr/>
        <w:t>for the expected value of the quantum correlation. This avoids any implication that the </w:t>
      </w:r>
      <w:hyperlink r:id="rId18">
        <w:r>
          <w:rPr/>
          <w:t>quantum correlation</w:t>
        </w:r>
      </w:hyperlink>
      <w:r>
        <w:rPr/>
        <w:t> is itself a probability.</w:t>
      </w:r>
    </w:p>
    <w:p>
      <w:pPr>
        <w:pStyle w:val="BodyText"/>
        <w:spacing w:line="312" w:lineRule="auto" w:before="92"/>
        <w:ind w:left="513" w:right="531"/>
        <w:jc w:val="both"/>
      </w:pPr>
      <w:r>
        <w:rPr/>
        <w:drawing>
          <wp:anchor distT="0" distB="0" distL="0" distR="0" allowOverlap="1" layoutInCell="1" locked="0" behindDoc="0" simplePos="0" relativeHeight="9">
            <wp:simplePos x="0" y="0"/>
            <wp:positionH relativeFrom="page">
              <wp:posOffset>819059</wp:posOffset>
            </wp:positionH>
            <wp:positionV relativeFrom="paragraph">
              <wp:posOffset>1065986</wp:posOffset>
            </wp:positionV>
            <wp:extent cx="2644140" cy="304800"/>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28" cstate="print"/>
                    <a:stretch>
                      <a:fillRect/>
                    </a:stretch>
                  </pic:blipFill>
                  <pic:spPr>
                    <a:xfrm>
                      <a:off x="0" y="0"/>
                      <a:ext cx="2644140" cy="304800"/>
                    </a:xfrm>
                    <a:prstGeom prst="rect">
                      <a:avLst/>
                    </a:prstGeom>
                  </pic:spPr>
                </pic:pic>
              </a:graphicData>
            </a:graphic>
          </wp:anchor>
        </w:drawing>
      </w:r>
      <w:r>
        <w:rPr/>
        <w:t>We start with the standard assumption of independence of the two sides, enabling us to obtain the joint probabilities of pairs of outcomes by multiplying the separate probabilities, for any selected value of the "hidden variable" λ. λ is assumed to be drawn from a fixed distribution of possible states of the source, the probability of the source being in the state λ for any particular trial being given by the density function ρ(λ), the integral of which over the complete hidden variable space is 1. We thus assume we can write:</w:t>
      </w:r>
    </w:p>
    <w:p>
      <w:pPr>
        <w:pStyle w:val="BodyText"/>
        <w:spacing w:line="283" w:lineRule="auto" w:after="116"/>
        <w:ind w:left="513" w:right="531"/>
        <w:jc w:val="both"/>
      </w:pPr>
      <w:r>
        <w:rPr/>
        <w:t>where </w:t>
      </w:r>
      <w:r>
        <w:rPr>
          <w:i/>
          <w:u w:val="single"/>
        </w:rPr>
        <w:t>A </w:t>
      </w:r>
      <w:r>
        <w:rPr/>
        <w:t>and </w:t>
      </w:r>
      <w:r>
        <w:rPr>
          <w:i/>
          <w:u w:val="single"/>
        </w:rPr>
        <w:t>B </w:t>
      </w:r>
      <w:r>
        <w:rPr/>
        <w:t>are the average values of the outcomes. Since the possible values of </w:t>
      </w:r>
      <w:r>
        <w:rPr>
          <w:i/>
        </w:rPr>
        <w:t>A </w:t>
      </w:r>
      <w:r>
        <w:rPr/>
        <w:t>and </w:t>
      </w:r>
      <w:r>
        <w:rPr>
          <w:i/>
        </w:rPr>
        <w:t>B </w:t>
      </w:r>
      <w:r>
        <w:rPr/>
        <w:t>are </w:t>
      </w:r>
      <w:r>
        <w:rPr>
          <w:rFonts w:ascii="Arial Black" w:hAnsi="Arial Black"/>
        </w:rPr>
        <w:t>−</w:t>
      </w:r>
      <w:r>
        <w:rPr/>
        <w:t>1, 0 and +1, it follows that:</w:t>
      </w:r>
    </w:p>
    <w:p>
      <w:pPr>
        <w:pStyle w:val="BodyText"/>
        <w:ind w:left="579"/>
      </w:pPr>
      <w:r>
        <w:rPr/>
        <w:drawing>
          <wp:inline distT="0" distB="0" distL="0" distR="0">
            <wp:extent cx="1508760" cy="179069"/>
            <wp:effectExtent l="0" t="0" r="0" b="0"/>
            <wp:docPr id="7" name="image7.png"/>
            <wp:cNvGraphicFramePr>
              <a:graphicFrameLocks noChangeAspect="1"/>
            </wp:cNvGraphicFramePr>
            <a:graphic>
              <a:graphicData uri="http://schemas.openxmlformats.org/drawingml/2006/picture">
                <pic:pic>
                  <pic:nvPicPr>
                    <pic:cNvPr id="8" name="image7.png"/>
                    <pic:cNvPicPr/>
                  </pic:nvPicPr>
                  <pic:blipFill>
                    <a:blip r:embed="rId29" cstate="print"/>
                    <a:stretch>
                      <a:fillRect/>
                    </a:stretch>
                  </pic:blipFill>
                  <pic:spPr>
                    <a:xfrm>
                      <a:off x="0" y="0"/>
                      <a:ext cx="1508760" cy="179069"/>
                    </a:xfrm>
                    <a:prstGeom prst="rect">
                      <a:avLst/>
                    </a:prstGeom>
                  </pic:spPr>
                </pic:pic>
              </a:graphicData>
            </a:graphic>
          </wp:inline>
        </w:drawing>
      </w:r>
      <w:r>
        <w:rPr/>
      </w:r>
    </w:p>
    <w:p>
      <w:pPr>
        <w:pStyle w:val="BodyText"/>
        <w:spacing w:before="18"/>
        <w:ind w:left="513"/>
        <w:jc w:val="both"/>
      </w:pPr>
      <w:r>
        <w:rPr/>
        <w:drawing>
          <wp:anchor distT="0" distB="0" distL="0" distR="0" allowOverlap="1" layoutInCell="1" locked="0" behindDoc="0" simplePos="0" relativeHeight="10">
            <wp:simplePos x="0" y="0"/>
            <wp:positionH relativeFrom="page">
              <wp:posOffset>811439</wp:posOffset>
            </wp:positionH>
            <wp:positionV relativeFrom="paragraph">
              <wp:posOffset>278204</wp:posOffset>
            </wp:positionV>
            <wp:extent cx="4034789" cy="304800"/>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30" cstate="print"/>
                    <a:stretch>
                      <a:fillRect/>
                    </a:stretch>
                  </pic:blipFill>
                  <pic:spPr>
                    <a:xfrm>
                      <a:off x="0" y="0"/>
                      <a:ext cx="4034789" cy="304800"/>
                    </a:xfrm>
                    <a:prstGeom prst="rect">
                      <a:avLst/>
                    </a:prstGeom>
                  </pic:spPr>
                </pic:pic>
              </a:graphicData>
            </a:graphic>
          </wp:anchor>
        </w:drawing>
      </w:r>
      <w:r>
        <w:rPr/>
        <w:drawing>
          <wp:anchor distT="0" distB="0" distL="0" distR="0" allowOverlap="1" layoutInCell="1" locked="0" behindDoc="1" simplePos="0" relativeHeight="487441408">
            <wp:simplePos x="0" y="0"/>
            <wp:positionH relativeFrom="page">
              <wp:posOffset>1218474</wp:posOffset>
            </wp:positionH>
            <wp:positionV relativeFrom="paragraph">
              <wp:posOffset>840815</wp:posOffset>
            </wp:positionV>
            <wp:extent cx="1565910" cy="179069"/>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31" cstate="print"/>
                    <a:stretch>
                      <a:fillRect/>
                    </a:stretch>
                  </pic:blipFill>
                  <pic:spPr>
                    <a:xfrm>
                      <a:off x="0" y="0"/>
                      <a:ext cx="1565910" cy="179069"/>
                    </a:xfrm>
                    <a:prstGeom prst="rect">
                      <a:avLst/>
                    </a:prstGeom>
                  </pic:spPr>
                </pic:pic>
              </a:graphicData>
            </a:graphic>
          </wp:anchor>
        </w:drawing>
      </w:r>
      <w:r>
        <w:rPr/>
        <w:t>Then, if </w:t>
      </w:r>
      <w:r>
        <w:rPr>
          <w:i/>
        </w:rPr>
        <w:t>a</w:t>
      </w:r>
      <w:r>
        <w:rPr/>
        <w:t>, </w:t>
      </w:r>
      <w:r>
        <w:rPr>
          <w:i/>
        </w:rPr>
        <w:t>a</w:t>
      </w:r>
      <w:r>
        <w:rPr>
          <w:rFonts w:ascii="Arial Black" w:hAnsi="Arial Black"/>
        </w:rPr>
        <w:t>′</w:t>
      </w:r>
      <w:r>
        <w:rPr/>
        <w:t>, </w:t>
      </w:r>
      <w:r>
        <w:rPr>
          <w:i/>
        </w:rPr>
        <w:t>b </w:t>
      </w:r>
      <w:r>
        <w:rPr/>
        <w:t>and </w:t>
      </w:r>
      <w:r>
        <w:rPr>
          <w:i/>
        </w:rPr>
        <w:t>b</w:t>
      </w:r>
      <w:r>
        <w:rPr>
          <w:rFonts w:ascii="Arial Black" w:hAnsi="Arial Black"/>
        </w:rPr>
        <w:t>′ </w:t>
      </w:r>
      <w:r>
        <w:rPr/>
        <w:t>are alternative settings for the detectors,</w:t>
      </w:r>
    </w:p>
    <w:p>
      <w:pPr>
        <w:pStyle w:val="BodyText"/>
        <w:tabs>
          <w:tab w:pos="3644" w:val="left" w:leader="none"/>
          <w:tab w:pos="9694" w:val="left" w:leader="none"/>
        </w:tabs>
        <w:spacing w:line="360" w:lineRule="auto" w:before="30"/>
        <w:ind w:left="513" w:right="581"/>
        <w:jc w:val="both"/>
      </w:pPr>
      <w:r>
        <w:rPr/>
        <w:t>Then,</w:t>
      </w:r>
      <w:r>
        <w:rPr>
          <w:spacing w:val="24"/>
        </w:rPr>
        <w:t> </w:t>
      </w:r>
      <w:r>
        <w:rPr/>
        <w:t>applying</w:t>
      </w:r>
      <w:r>
        <w:rPr>
          <w:spacing w:val="24"/>
        </w:rPr>
        <w:t> </w:t>
      </w:r>
      <w:r>
        <w:rPr/>
        <w:t>the</w:t>
      </w:r>
      <w:r>
        <w:rPr>
          <w:spacing w:val="24"/>
        </w:rPr>
        <w:t> </w:t>
      </w:r>
      <w:hyperlink r:id="rId32">
        <w:r>
          <w:rPr/>
          <w:t>triangle</w:t>
        </w:r>
        <w:r>
          <w:rPr>
            <w:spacing w:val="24"/>
          </w:rPr>
          <w:t> </w:t>
        </w:r>
        <w:r>
          <w:rPr/>
          <w:t>inequality</w:t>
        </w:r>
        <w:r>
          <w:rPr>
            <w:spacing w:val="24"/>
          </w:rPr>
          <w:t> </w:t>
        </w:r>
      </w:hyperlink>
      <w:r>
        <w:rPr/>
        <w:t>to</w:t>
      </w:r>
      <w:r>
        <w:rPr>
          <w:spacing w:val="24"/>
        </w:rPr>
        <w:t> </w:t>
      </w:r>
      <w:r>
        <w:rPr/>
        <w:t>both</w:t>
      </w:r>
      <w:r>
        <w:rPr>
          <w:spacing w:val="24"/>
        </w:rPr>
        <w:t> </w:t>
      </w:r>
      <w:r>
        <w:rPr/>
        <w:t>sides,</w:t>
      </w:r>
      <w:r>
        <w:rPr>
          <w:spacing w:val="24"/>
        </w:rPr>
        <w:t> </w:t>
      </w:r>
      <w:r>
        <w:rPr/>
        <w:t>using</w:t>
      </w:r>
      <w:r>
        <w:rPr>
          <w:spacing w:val="24"/>
        </w:rPr>
        <w:t> </w:t>
      </w:r>
      <w:r>
        <w:rPr/>
        <w:t>(5)</w:t>
      </w:r>
      <w:r>
        <w:rPr>
          <w:spacing w:val="24"/>
        </w:rPr>
        <w:t> </w:t>
      </w:r>
      <w:r>
        <w:rPr/>
        <w:t>and</w:t>
      </w:r>
      <w:r>
        <w:rPr>
          <w:spacing w:val="24"/>
        </w:rPr>
        <w:t> </w:t>
      </w:r>
      <w:r>
        <w:rPr/>
        <w:t>the</w:t>
      </w:r>
      <w:r>
        <w:rPr>
          <w:spacing w:val="24"/>
        </w:rPr>
        <w:t> </w:t>
      </w:r>
      <w:r>
        <w:rPr/>
        <w:t>fact</w:t>
      </w:r>
      <w:r>
        <w:rPr>
          <w:spacing w:val="24"/>
        </w:rPr>
        <w:t> </w:t>
      </w:r>
      <w:r>
        <w:rPr/>
        <w:t>that</w:t>
        <w:tab/>
      </w:r>
      <w:r>
        <w:rPr>
          <w:spacing w:val="-9"/>
        </w:rPr>
        <w:t>as </w:t>
      </w:r>
      <w:r>
        <w:rPr/>
        <w:t>well as</w:t>
        <w:tab/>
        <w:t>are non-negative we obtain</w:t>
      </w:r>
    </w:p>
    <w:p>
      <w:pPr>
        <w:spacing w:after="0" w:line="360" w:lineRule="auto"/>
        <w:jc w:val="both"/>
        <w:sectPr>
          <w:headerReference w:type="default" r:id="rId22"/>
          <w:footerReference w:type="default" r:id="rId23"/>
          <w:pgSz w:w="11910" w:h="16840"/>
          <w:pgMar w:header="587" w:footer="650" w:top="840" w:bottom="840" w:left="740" w:right="720"/>
          <w:pgNumType w:start="2"/>
        </w:sectPr>
      </w:pPr>
    </w:p>
    <w:p>
      <w:pPr>
        <w:pStyle w:val="BodyText"/>
      </w:pPr>
    </w:p>
    <w:p>
      <w:pPr>
        <w:pStyle w:val="BodyText"/>
        <w:spacing w:before="9"/>
        <w:rPr>
          <w:sz w:val="14"/>
        </w:rPr>
      </w:pPr>
    </w:p>
    <w:p>
      <w:pPr>
        <w:pStyle w:val="BodyText"/>
        <w:ind w:left="573"/>
      </w:pPr>
      <w:r>
        <w:rPr/>
        <w:drawing>
          <wp:inline distT="0" distB="0" distL="0" distR="0">
            <wp:extent cx="3314700" cy="304800"/>
            <wp:effectExtent l="0" t="0" r="0" b="0"/>
            <wp:docPr id="13" name="image10.png"/>
            <wp:cNvGraphicFramePr>
              <a:graphicFrameLocks noChangeAspect="1"/>
            </wp:cNvGraphicFramePr>
            <a:graphic>
              <a:graphicData uri="http://schemas.openxmlformats.org/drawingml/2006/picture">
                <pic:pic>
                  <pic:nvPicPr>
                    <pic:cNvPr id="14" name="image10.png"/>
                    <pic:cNvPicPr/>
                  </pic:nvPicPr>
                  <pic:blipFill>
                    <a:blip r:embed="rId33" cstate="print"/>
                    <a:stretch>
                      <a:fillRect/>
                    </a:stretch>
                  </pic:blipFill>
                  <pic:spPr>
                    <a:xfrm>
                      <a:off x="0" y="0"/>
                      <a:ext cx="3314700" cy="304800"/>
                    </a:xfrm>
                    <a:prstGeom prst="rect">
                      <a:avLst/>
                    </a:prstGeom>
                  </pic:spPr>
                </pic:pic>
              </a:graphicData>
            </a:graphic>
          </wp:inline>
        </w:drawing>
      </w:r>
      <w:r>
        <w:rPr/>
      </w:r>
      <w:r>
        <w:rPr>
          <w:spacing w:val="24"/>
        </w:rPr>
        <w:t> </w:t>
      </w:r>
      <w:r>
        <w:rPr>
          <w:spacing w:val="24"/>
        </w:rPr>
        <w:drawing>
          <wp:inline distT="0" distB="0" distL="0" distR="0">
            <wp:extent cx="2053589" cy="304800"/>
            <wp:effectExtent l="0" t="0" r="0" b="0"/>
            <wp:docPr id="15" name="image11.png"/>
            <wp:cNvGraphicFramePr>
              <a:graphicFrameLocks noChangeAspect="1"/>
            </wp:cNvGraphicFramePr>
            <a:graphic>
              <a:graphicData uri="http://schemas.openxmlformats.org/drawingml/2006/picture">
                <pic:pic>
                  <pic:nvPicPr>
                    <pic:cNvPr id="16" name="image11.png"/>
                    <pic:cNvPicPr/>
                  </pic:nvPicPr>
                  <pic:blipFill>
                    <a:blip r:embed="rId34" cstate="print"/>
                    <a:stretch>
                      <a:fillRect/>
                    </a:stretch>
                  </pic:blipFill>
                  <pic:spPr>
                    <a:xfrm>
                      <a:off x="0" y="0"/>
                      <a:ext cx="2053589" cy="304800"/>
                    </a:xfrm>
                    <a:prstGeom prst="rect">
                      <a:avLst/>
                    </a:prstGeom>
                  </pic:spPr>
                </pic:pic>
              </a:graphicData>
            </a:graphic>
          </wp:inline>
        </w:drawing>
      </w:r>
      <w:r>
        <w:rPr>
          <w:spacing w:val="24"/>
        </w:rPr>
      </w:r>
    </w:p>
    <w:p>
      <w:pPr>
        <w:pStyle w:val="BodyText"/>
        <w:spacing w:before="33"/>
        <w:ind w:left="513"/>
      </w:pPr>
      <w:r>
        <w:rPr/>
        <w:t>or, using the fact that the integral of ρ(λ) is 1,</w:t>
      </w:r>
    </w:p>
    <w:p>
      <w:pPr>
        <w:pStyle w:val="BodyText"/>
        <w:spacing w:before="3"/>
        <w:rPr>
          <w:sz w:val="10"/>
        </w:rPr>
      </w:pPr>
      <w:r>
        <w:rPr/>
        <w:drawing>
          <wp:anchor distT="0" distB="0" distL="0" distR="0" allowOverlap="1" layoutInCell="1" locked="0" behindDoc="0" simplePos="0" relativeHeight="13">
            <wp:simplePos x="0" y="0"/>
            <wp:positionH relativeFrom="page">
              <wp:posOffset>841919</wp:posOffset>
            </wp:positionH>
            <wp:positionV relativeFrom="paragraph">
              <wp:posOffset>99707</wp:posOffset>
            </wp:positionV>
            <wp:extent cx="2952749" cy="179070"/>
            <wp:effectExtent l="0" t="0" r="0" b="0"/>
            <wp:wrapTopAndBottom/>
            <wp:docPr id="17" name="image12.png"/>
            <wp:cNvGraphicFramePr>
              <a:graphicFrameLocks noChangeAspect="1"/>
            </wp:cNvGraphicFramePr>
            <a:graphic>
              <a:graphicData uri="http://schemas.openxmlformats.org/drawingml/2006/picture">
                <pic:pic>
                  <pic:nvPicPr>
                    <pic:cNvPr id="18" name="image12.png"/>
                    <pic:cNvPicPr/>
                  </pic:nvPicPr>
                  <pic:blipFill>
                    <a:blip r:embed="rId35" cstate="print"/>
                    <a:stretch>
                      <a:fillRect/>
                    </a:stretch>
                  </pic:blipFill>
                  <pic:spPr>
                    <a:xfrm>
                      <a:off x="0" y="0"/>
                      <a:ext cx="2952749" cy="179070"/>
                    </a:xfrm>
                    <a:prstGeom prst="rect">
                      <a:avLst/>
                    </a:prstGeom>
                  </pic:spPr>
                </pic:pic>
              </a:graphicData>
            </a:graphic>
          </wp:anchor>
        </w:drawing>
      </w:r>
    </w:p>
    <w:p>
      <w:pPr>
        <w:pStyle w:val="BodyText"/>
        <w:spacing w:before="22"/>
        <w:ind w:left="513"/>
      </w:pPr>
      <w:r>
        <w:rPr/>
        <w:t>which includes the CHSH inequality.</w:t>
      </w:r>
    </w:p>
    <w:p>
      <w:pPr>
        <w:pStyle w:val="BodyText"/>
        <w:spacing w:before="11"/>
        <w:rPr>
          <w:sz w:val="29"/>
        </w:rPr>
      </w:pPr>
    </w:p>
    <w:p>
      <w:pPr>
        <w:pStyle w:val="Heading3"/>
      </w:pPr>
      <w:r>
        <w:rPr/>
        <w:t>Derivation from Clauser and Horne's 1974 inequality</w:t>
      </w:r>
    </w:p>
    <w:p>
      <w:pPr>
        <w:pStyle w:val="BodyText"/>
        <w:spacing w:line="312" w:lineRule="auto" w:before="130"/>
        <w:ind w:left="513" w:right="531"/>
        <w:jc w:val="both"/>
      </w:pPr>
      <w:r>
        <w:rPr/>
        <w:t>In their 1974 paper (Clauser, 1974), Clauser and Horne show </w:t>
      </w:r>
      <w:bookmarkStart w:name="Derivation from Clauser and Horne's 1974" w:id="6"/>
      <w:bookmarkEnd w:id="6"/>
      <w:r>
        <w:rPr/>
        <w:t>that</w:t>
      </w:r>
      <w:r>
        <w:rPr/>
        <w:t> the CHSH inequality can be derived from the CH74 one. As they tell us, in a two-channel experiment the CH74 single-channel test is still applicable and provides four sets of inequalities governing the probabilities </w:t>
      </w:r>
      <w:r>
        <w:rPr>
          <w:i/>
        </w:rPr>
        <w:t>p </w:t>
      </w:r>
      <w:r>
        <w:rPr/>
        <w:t>of coincidences.</w:t>
      </w:r>
    </w:p>
    <w:p>
      <w:pPr>
        <w:pStyle w:val="BodyText"/>
        <w:spacing w:before="63"/>
        <w:ind w:left="513"/>
        <w:jc w:val="both"/>
      </w:pPr>
      <w:r>
        <w:rPr/>
        <w:t>Working from the inhomogeneous version of the inequality, we can write:</w:t>
      </w:r>
    </w:p>
    <w:p>
      <w:pPr>
        <w:pStyle w:val="BodyText"/>
        <w:tabs>
          <w:tab w:pos="1146" w:val="left" w:leader="none"/>
        </w:tabs>
        <w:spacing w:line="244" w:lineRule="auto" w:before="96"/>
        <w:ind w:left="513" w:right="3491"/>
      </w:pPr>
      <w:r>
        <w:rPr/>
        <w:t>(7)</w:t>
        <w:tab/>
      </w:r>
      <w:r>
        <w:rPr>
          <w:rFonts w:ascii="Arial Black" w:hAnsi="Arial Black"/>
        </w:rPr>
        <w:t>−</w:t>
      </w:r>
      <w:r>
        <w:rPr/>
        <w:t>1</w:t>
      </w:r>
      <w:r>
        <w:rPr>
          <w:spacing w:val="-6"/>
        </w:rPr>
        <w:t> </w:t>
      </w:r>
      <w:r>
        <w:rPr>
          <w:rFonts w:ascii="Arial Black" w:hAnsi="Arial Black"/>
        </w:rPr>
        <w:t>≤</w:t>
      </w:r>
      <w:r>
        <w:rPr>
          <w:rFonts w:ascii="Arial Black" w:hAnsi="Arial Black"/>
          <w:spacing w:val="-18"/>
        </w:rPr>
        <w:t> </w:t>
      </w:r>
      <w:r>
        <w:rPr>
          <w:i/>
        </w:rPr>
        <w:t>p</w:t>
      </w:r>
      <w:r>
        <w:rPr>
          <w:i/>
          <w:position w:val="-9"/>
          <w:sz w:val="16"/>
        </w:rPr>
        <w:t>jk</w:t>
      </w:r>
      <w:r>
        <w:rPr/>
        <w:t>(</w:t>
      </w:r>
      <w:r>
        <w:rPr>
          <w:i/>
        </w:rPr>
        <w:t>a</w:t>
      </w:r>
      <w:r>
        <w:rPr/>
        <w:t>,</w:t>
      </w:r>
      <w:r>
        <w:rPr>
          <w:spacing w:val="-6"/>
        </w:rPr>
        <w:t> </w:t>
      </w:r>
      <w:r>
        <w:rPr>
          <w:i/>
        </w:rPr>
        <w:t>b</w:t>
      </w:r>
      <w:r>
        <w:rPr/>
        <w:t>)</w:t>
      </w:r>
      <w:r>
        <w:rPr>
          <w:spacing w:val="-5"/>
        </w:rPr>
        <w:t> </w:t>
      </w:r>
      <w:r>
        <w:rPr>
          <w:rFonts w:ascii="Arial Black" w:hAnsi="Arial Black"/>
        </w:rPr>
        <w:t>−</w:t>
      </w:r>
      <w:r>
        <w:rPr>
          <w:rFonts w:ascii="Arial Black" w:hAnsi="Arial Black"/>
          <w:spacing w:val="-18"/>
        </w:rPr>
        <w:t> </w:t>
      </w:r>
      <w:r>
        <w:rPr>
          <w:i/>
        </w:rPr>
        <w:t>p</w:t>
      </w:r>
      <w:r>
        <w:rPr>
          <w:i/>
          <w:position w:val="-9"/>
          <w:sz w:val="16"/>
        </w:rPr>
        <w:t>jk</w:t>
      </w:r>
      <w:r>
        <w:rPr/>
        <w:t>(</w:t>
      </w:r>
      <w:r>
        <w:rPr>
          <w:i/>
        </w:rPr>
        <w:t>a</w:t>
      </w:r>
      <w:r>
        <w:rPr/>
        <w:t>,</w:t>
      </w:r>
      <w:r>
        <w:rPr>
          <w:spacing w:val="-6"/>
        </w:rPr>
        <w:t> </w:t>
      </w:r>
      <w:r>
        <w:rPr>
          <w:i/>
        </w:rPr>
        <w:t>b</w:t>
      </w:r>
      <w:r>
        <w:rPr>
          <w:rFonts w:ascii="Arial Black" w:hAnsi="Arial Black"/>
        </w:rPr>
        <w:t>′</w:t>
      </w:r>
      <w:r>
        <w:rPr/>
        <w:t>)</w:t>
      </w:r>
      <w:r>
        <w:rPr>
          <w:spacing w:val="-5"/>
        </w:rPr>
        <w:t> </w:t>
      </w:r>
      <w:r>
        <w:rPr/>
        <w:t>+</w:t>
      </w:r>
      <w:r>
        <w:rPr>
          <w:spacing w:val="-6"/>
        </w:rPr>
        <w:t> </w:t>
      </w:r>
      <w:r>
        <w:rPr>
          <w:i/>
        </w:rPr>
        <w:t>p</w:t>
      </w:r>
      <w:r>
        <w:rPr>
          <w:i/>
          <w:position w:val="-9"/>
          <w:sz w:val="16"/>
        </w:rPr>
        <w:t>jk</w:t>
      </w:r>
      <w:r>
        <w:rPr/>
        <w:t>(</w:t>
      </w:r>
      <w:r>
        <w:rPr>
          <w:i/>
        </w:rPr>
        <w:t>a</w:t>
      </w:r>
      <w:r>
        <w:rPr>
          <w:rFonts w:ascii="Arial Black" w:hAnsi="Arial Black"/>
        </w:rPr>
        <w:t>′</w:t>
      </w:r>
      <w:r>
        <w:rPr/>
        <w:t>,</w:t>
      </w:r>
      <w:r>
        <w:rPr>
          <w:spacing w:val="-5"/>
        </w:rPr>
        <w:t> </w:t>
      </w:r>
      <w:r>
        <w:rPr>
          <w:i/>
        </w:rPr>
        <w:t>b</w:t>
      </w:r>
      <w:r>
        <w:rPr/>
        <w:t>)</w:t>
      </w:r>
      <w:r>
        <w:rPr>
          <w:spacing w:val="-6"/>
        </w:rPr>
        <w:t> </w:t>
      </w:r>
      <w:r>
        <w:rPr/>
        <w:t>+</w:t>
      </w:r>
      <w:r>
        <w:rPr>
          <w:spacing w:val="-5"/>
        </w:rPr>
        <w:t> </w:t>
      </w:r>
      <w:r>
        <w:rPr>
          <w:i/>
        </w:rPr>
        <w:t>p</w:t>
      </w:r>
      <w:r>
        <w:rPr>
          <w:i/>
          <w:position w:val="-9"/>
          <w:sz w:val="16"/>
        </w:rPr>
        <w:t>jk</w:t>
      </w:r>
      <w:r>
        <w:rPr/>
        <w:t>(</w:t>
      </w:r>
      <w:r>
        <w:rPr>
          <w:i/>
        </w:rPr>
        <w:t>a</w:t>
      </w:r>
      <w:r>
        <w:rPr>
          <w:rFonts w:ascii="Arial Black" w:hAnsi="Arial Black"/>
        </w:rPr>
        <w:t>′</w:t>
      </w:r>
      <w:r>
        <w:rPr/>
        <w:t>,</w:t>
      </w:r>
      <w:r>
        <w:rPr>
          <w:spacing w:val="-6"/>
        </w:rPr>
        <w:t> </w:t>
      </w:r>
      <w:r>
        <w:rPr>
          <w:i/>
        </w:rPr>
        <w:t>b</w:t>
      </w:r>
      <w:r>
        <w:rPr>
          <w:rFonts w:ascii="Arial Black" w:hAnsi="Arial Black"/>
        </w:rPr>
        <w:t>′</w:t>
      </w:r>
      <w:r>
        <w:rPr/>
        <w:t>)</w:t>
      </w:r>
      <w:r>
        <w:rPr>
          <w:spacing w:val="-5"/>
        </w:rPr>
        <w:t> </w:t>
      </w:r>
      <w:r>
        <w:rPr>
          <w:rFonts w:ascii="Arial Black" w:hAnsi="Arial Black"/>
        </w:rPr>
        <w:t>−</w:t>
      </w:r>
      <w:r>
        <w:rPr>
          <w:rFonts w:ascii="Arial Black" w:hAnsi="Arial Black"/>
          <w:spacing w:val="-18"/>
        </w:rPr>
        <w:t> </w:t>
      </w:r>
      <w:r>
        <w:rPr>
          <w:i/>
        </w:rPr>
        <w:t>p</w:t>
      </w:r>
      <w:r>
        <w:rPr>
          <w:i/>
          <w:position w:val="-9"/>
          <w:sz w:val="16"/>
        </w:rPr>
        <w:t>jk</w:t>
      </w:r>
      <w:r>
        <w:rPr/>
        <w:t>(</w:t>
      </w:r>
      <w:r>
        <w:rPr>
          <w:i/>
        </w:rPr>
        <w:t>a</w:t>
      </w:r>
      <w:r>
        <w:rPr>
          <w:rFonts w:ascii="Arial Black" w:hAnsi="Arial Black"/>
        </w:rPr>
        <w:t>′</w:t>
      </w:r>
      <w:r>
        <w:rPr/>
        <w:t>)</w:t>
      </w:r>
      <w:r>
        <w:rPr>
          <w:spacing w:val="-6"/>
        </w:rPr>
        <w:t> </w:t>
      </w:r>
      <w:r>
        <w:rPr>
          <w:rFonts w:ascii="Arial Black" w:hAnsi="Arial Black"/>
        </w:rPr>
        <w:t>−</w:t>
      </w:r>
      <w:r>
        <w:rPr>
          <w:rFonts w:ascii="Arial Black" w:hAnsi="Arial Black"/>
          <w:spacing w:val="-18"/>
        </w:rPr>
        <w:t> </w:t>
      </w:r>
      <w:r>
        <w:rPr>
          <w:i/>
        </w:rPr>
        <w:t>p</w:t>
      </w:r>
      <w:r>
        <w:rPr>
          <w:i/>
          <w:position w:val="-9"/>
          <w:sz w:val="16"/>
        </w:rPr>
        <w:t>jk</w:t>
      </w:r>
      <w:r>
        <w:rPr/>
        <w:t>(</w:t>
      </w:r>
      <w:r>
        <w:rPr>
          <w:i/>
        </w:rPr>
        <w:t>b</w:t>
      </w:r>
      <w:r>
        <w:rPr/>
        <w:t>)</w:t>
      </w:r>
      <w:r>
        <w:rPr>
          <w:spacing w:val="-5"/>
        </w:rPr>
        <w:t> </w:t>
      </w:r>
      <w:r>
        <w:rPr>
          <w:rFonts w:ascii="Arial Black" w:hAnsi="Arial Black"/>
        </w:rPr>
        <w:t>≤</w:t>
      </w:r>
      <w:r>
        <w:rPr>
          <w:rFonts w:ascii="Arial Black" w:hAnsi="Arial Black"/>
          <w:spacing w:val="-18"/>
        </w:rPr>
        <w:t> </w:t>
      </w:r>
      <w:r>
        <w:rPr/>
        <w:t>0, where </w:t>
      </w:r>
      <w:r>
        <w:rPr>
          <w:i/>
        </w:rPr>
        <w:t>j </w:t>
      </w:r>
      <w:r>
        <w:rPr/>
        <w:t>and </w:t>
      </w:r>
      <w:r>
        <w:rPr>
          <w:i/>
        </w:rPr>
        <w:t>k </w:t>
      </w:r>
      <w:r>
        <w:rPr/>
        <w:t>are each '+' or '</w:t>
      </w:r>
      <w:r>
        <w:rPr>
          <w:rFonts w:ascii="Arial Black" w:hAnsi="Arial Black"/>
        </w:rPr>
        <w:t>−</w:t>
      </w:r>
      <w:r>
        <w:rPr/>
        <w:t>', indicating which detectors are being</w:t>
      </w:r>
      <w:r>
        <w:rPr>
          <w:spacing w:val="-31"/>
        </w:rPr>
        <w:t> </w:t>
      </w:r>
      <w:r>
        <w:rPr/>
        <w:t>considered.</w:t>
      </w:r>
    </w:p>
    <w:p>
      <w:pPr>
        <w:pStyle w:val="BodyText"/>
        <w:spacing w:line="278" w:lineRule="auto" w:before="106"/>
        <w:ind w:left="513" w:right="531"/>
        <w:jc w:val="both"/>
      </w:pPr>
      <w:r>
        <w:rPr/>
        <w:t>To obtain the CHSH test statistic </w:t>
      </w:r>
      <w:r>
        <w:rPr>
          <w:i/>
        </w:rPr>
        <w:t>S </w:t>
      </w:r>
      <w:r>
        <w:rPr/>
        <w:t>(expression (2)), all that is needed is to multiply the inequalities for which </w:t>
      </w:r>
      <w:r>
        <w:rPr>
          <w:i/>
        </w:rPr>
        <w:t>j </w:t>
      </w:r>
      <w:r>
        <w:rPr/>
        <w:t>is different from </w:t>
      </w:r>
      <w:r>
        <w:rPr>
          <w:i/>
        </w:rPr>
        <w:t>k </w:t>
      </w:r>
      <w:r>
        <w:rPr/>
        <w:t>by </w:t>
      </w:r>
      <w:r>
        <w:rPr>
          <w:rFonts w:ascii="Arial Black" w:hAnsi="Arial Black"/>
        </w:rPr>
        <w:t>−</w:t>
      </w:r>
      <w:r>
        <w:rPr/>
        <w:t>1 and add these to the inequalities for which </w:t>
      </w:r>
      <w:r>
        <w:rPr>
          <w:i/>
        </w:rPr>
        <w:t>j </w:t>
      </w:r>
      <w:r>
        <w:rPr/>
        <w:t>and </w:t>
      </w:r>
      <w:r>
        <w:rPr>
          <w:i/>
        </w:rPr>
        <w:t>k </w:t>
      </w:r>
      <w:r>
        <w:rPr/>
        <w:t>are the same.</w:t>
      </w:r>
    </w:p>
    <w:p>
      <w:pPr>
        <w:pStyle w:val="BodyText"/>
        <w:spacing w:before="4"/>
        <w:rPr>
          <w:sz w:val="27"/>
        </w:rPr>
      </w:pPr>
    </w:p>
    <w:p>
      <w:pPr>
        <w:pStyle w:val="Heading2"/>
        <w:spacing w:before="1"/>
      </w:pPr>
      <w:r>
        <w:rPr/>
        <w:t>Experiments using the CHSH </w:t>
      </w:r>
      <w:bookmarkStart w:name="Experiments using the CHSH test" w:id="7"/>
      <w:bookmarkEnd w:id="7"/>
      <w:r>
        <w:rPr/>
        <w:t>test</w:t>
      </w:r>
    </w:p>
    <w:p>
      <w:pPr>
        <w:pStyle w:val="BodyText"/>
        <w:spacing w:line="312" w:lineRule="auto" w:before="128"/>
        <w:ind w:left="513" w:right="531"/>
        <w:jc w:val="both"/>
      </w:pPr>
      <w:r>
        <w:rPr/>
        <w:t>Many Bell test experiments conducted subsequent to </w:t>
      </w:r>
      <w:hyperlink r:id="rId21">
        <w:r>
          <w:rPr/>
          <w:t>Aspect's</w:t>
        </w:r>
      </w:hyperlink>
      <w:r>
        <w:rPr/>
        <w:t> second experiment in 1982 have used the CHSH inequality, estimating the terms using (3) and assuming fair sampling. Some dramatic violations of the inequality have been reported. (4) Today, this formulation of the Bell inequality remains in use.</w:t>
      </w:r>
    </w:p>
    <w:p>
      <w:pPr>
        <w:pStyle w:val="BodyText"/>
        <w:spacing w:before="2"/>
        <w:rPr>
          <w:sz w:val="27"/>
        </w:rPr>
      </w:pPr>
    </w:p>
    <w:p>
      <w:pPr>
        <w:pStyle w:val="Heading2"/>
      </w:pPr>
      <w:bookmarkStart w:name="References" w:id="8"/>
      <w:bookmarkEnd w:id="8"/>
      <w:r>
        <w:rPr>
          <w:b w:val="0"/>
        </w:rPr>
      </w:r>
      <w:r>
        <w:rPr/>
        <w:t>References</w:t>
      </w:r>
    </w:p>
    <w:p>
      <w:pPr>
        <w:pStyle w:val="ListParagraph"/>
        <w:numPr>
          <w:ilvl w:val="0"/>
          <w:numId w:val="1"/>
        </w:numPr>
        <w:tabs>
          <w:tab w:pos="754" w:val="left" w:leader="none"/>
        </w:tabs>
        <w:spacing w:line="240" w:lineRule="auto" w:before="66" w:after="0"/>
        <w:ind w:left="753" w:right="0" w:hanging="241"/>
        <w:jc w:val="left"/>
        <w:rPr>
          <w:sz w:val="20"/>
        </w:rPr>
      </w:pPr>
      <w:r>
        <w:rPr>
          <w:b/>
          <w:sz w:val="20"/>
        </w:rPr>
        <w:t>Aspect, 1981-2</w:t>
      </w:r>
      <w:r>
        <w:rPr>
          <w:sz w:val="20"/>
        </w:rPr>
        <w:t>: A. Aspect et al., Phys. Rev. Lett. </w:t>
      </w:r>
      <w:r>
        <w:rPr>
          <w:b/>
          <w:sz w:val="20"/>
        </w:rPr>
        <w:t>47</w:t>
      </w:r>
      <w:r>
        <w:rPr>
          <w:sz w:val="20"/>
        </w:rPr>
        <w:t>, 460 (1981). </w:t>
      </w:r>
      <w:hyperlink r:id="rId36">
        <w:r>
          <w:rPr>
            <w:sz w:val="20"/>
          </w:rPr>
          <w:t>Bibcode</w:t>
        </w:r>
      </w:hyperlink>
      <w:r>
        <w:rPr>
          <w:sz w:val="20"/>
        </w:rPr>
        <w:t>:1981PhRvL..47..460A </w:t>
      </w:r>
      <w:hyperlink r:id="rId37">
        <w:r>
          <w:rPr>
            <w:position w:val="10"/>
            <w:sz w:val="16"/>
          </w:rPr>
          <w:t>[1]</w:t>
        </w:r>
      </w:hyperlink>
      <w:r>
        <w:rPr>
          <w:sz w:val="20"/>
        </w:rPr>
        <w:t>.</w:t>
      </w:r>
    </w:p>
    <w:p>
      <w:pPr>
        <w:pStyle w:val="BodyText"/>
        <w:spacing w:before="8"/>
        <w:ind w:left="753"/>
      </w:pPr>
      <w:hyperlink r:id="rId38">
        <w:r>
          <w:rPr/>
          <w:t>doi</w:t>
        </w:r>
      </w:hyperlink>
      <w:r>
        <w:rPr/>
        <w:t>:10.1103/PhysRevLett.47.460 </w:t>
      </w:r>
      <w:hyperlink r:id="rId39">
        <w:r>
          <w:rPr>
            <w:position w:val="10"/>
            <w:sz w:val="16"/>
          </w:rPr>
          <w:t>[2]</w:t>
        </w:r>
      </w:hyperlink>
      <w:r>
        <w:rPr/>
        <w:t>. ; </w:t>
      </w:r>
      <w:r>
        <w:rPr>
          <w:b/>
        </w:rPr>
        <w:t>49</w:t>
      </w:r>
      <w:r>
        <w:rPr/>
        <w:t>, 91 (1982). </w:t>
      </w:r>
      <w:hyperlink r:id="rId36">
        <w:r>
          <w:rPr/>
          <w:t>Bibcode</w:t>
        </w:r>
      </w:hyperlink>
      <w:r>
        <w:rPr/>
        <w:t>:1982PhRvL..49...91A </w:t>
      </w:r>
      <w:hyperlink r:id="rId40">
        <w:r>
          <w:rPr>
            <w:position w:val="10"/>
            <w:sz w:val="16"/>
          </w:rPr>
          <w:t>[3]</w:t>
        </w:r>
      </w:hyperlink>
      <w:r>
        <w:rPr/>
        <w:t>.</w:t>
      </w:r>
    </w:p>
    <w:p>
      <w:pPr>
        <w:pStyle w:val="BodyText"/>
        <w:spacing w:before="7"/>
        <w:ind w:left="753"/>
      </w:pPr>
      <w:hyperlink r:id="rId38">
        <w:r>
          <w:rPr/>
          <w:t>doi</w:t>
        </w:r>
      </w:hyperlink>
      <w:r>
        <w:rPr/>
        <w:t>:10.1103/PhysRevLett.49.91 </w:t>
      </w:r>
      <w:hyperlink r:id="rId41">
        <w:r>
          <w:rPr>
            <w:position w:val="10"/>
            <w:sz w:val="16"/>
          </w:rPr>
          <w:t>[4]</w:t>
        </w:r>
      </w:hyperlink>
      <w:r>
        <w:rPr/>
        <w:t>. ; </w:t>
      </w:r>
      <w:r>
        <w:rPr>
          <w:b/>
        </w:rPr>
        <w:t>49</w:t>
      </w:r>
      <w:r>
        <w:rPr/>
        <w:t>, 1804 (1982). </w:t>
      </w:r>
      <w:hyperlink r:id="rId36">
        <w:r>
          <w:rPr/>
          <w:t>Bibcode</w:t>
        </w:r>
      </w:hyperlink>
      <w:r>
        <w:rPr/>
        <w:t>:1982PhRvL..49.1804A </w:t>
      </w:r>
      <w:hyperlink r:id="rId42">
        <w:r>
          <w:rPr>
            <w:position w:val="10"/>
            <w:sz w:val="16"/>
          </w:rPr>
          <w:t>[5]</w:t>
        </w:r>
      </w:hyperlink>
      <w:r>
        <w:rPr/>
        <w:t>.</w:t>
      </w:r>
    </w:p>
    <w:p>
      <w:pPr>
        <w:pStyle w:val="BodyText"/>
        <w:spacing w:before="7"/>
        <w:ind w:left="753"/>
      </w:pPr>
      <w:hyperlink r:id="rId38">
        <w:r>
          <w:rPr/>
          <w:t>doi</w:t>
        </w:r>
      </w:hyperlink>
      <w:r>
        <w:rPr/>
        <w:t>:10.1103/PhysRevLett.49.1804 </w:t>
      </w:r>
      <w:hyperlink r:id="rId43">
        <w:r>
          <w:rPr>
            <w:position w:val="10"/>
            <w:sz w:val="16"/>
          </w:rPr>
          <w:t>[6]</w:t>
        </w:r>
      </w:hyperlink>
      <w:r>
        <w:rPr/>
        <w:t>. .</w:t>
      </w:r>
    </w:p>
    <w:p>
      <w:pPr>
        <w:pStyle w:val="ListParagraph"/>
        <w:numPr>
          <w:ilvl w:val="0"/>
          <w:numId w:val="1"/>
        </w:numPr>
        <w:tabs>
          <w:tab w:pos="754" w:val="left" w:leader="none"/>
        </w:tabs>
        <w:spacing w:line="312" w:lineRule="auto" w:before="130" w:after="0"/>
        <w:ind w:left="753" w:right="923" w:hanging="240"/>
        <w:jc w:val="left"/>
        <w:rPr>
          <w:sz w:val="20"/>
        </w:rPr>
      </w:pPr>
      <w:r>
        <w:rPr>
          <w:b/>
          <w:sz w:val="20"/>
        </w:rPr>
        <w:t>Bell, 1964</w:t>
      </w:r>
      <w:r>
        <w:rPr>
          <w:sz w:val="20"/>
        </w:rPr>
        <w:t>: J. S. Bell, Physics </w:t>
      </w:r>
      <w:r>
        <w:rPr>
          <w:b/>
          <w:sz w:val="20"/>
        </w:rPr>
        <w:t>1</w:t>
      </w:r>
      <w:r>
        <w:rPr>
          <w:sz w:val="20"/>
        </w:rPr>
        <w:t>, 195 (1964), reproduced as Ch. 2 of J. S. Bell, </w:t>
      </w:r>
      <w:r>
        <w:rPr>
          <w:i/>
          <w:sz w:val="20"/>
        </w:rPr>
        <w:t>Speakable and Unspeakable </w:t>
      </w:r>
      <w:r>
        <w:rPr>
          <w:i/>
          <w:spacing w:val="-8"/>
          <w:sz w:val="20"/>
        </w:rPr>
        <w:t>in </w:t>
      </w:r>
      <w:r>
        <w:rPr>
          <w:i/>
          <w:sz w:val="20"/>
        </w:rPr>
        <w:t>Quantum Mechanics </w:t>
      </w:r>
      <w:r>
        <w:rPr>
          <w:sz w:val="20"/>
        </w:rPr>
        <w:t>(Cambridge University Press</w:t>
      </w:r>
      <w:r>
        <w:rPr>
          <w:spacing w:val="-1"/>
          <w:sz w:val="20"/>
        </w:rPr>
        <w:t> </w:t>
      </w:r>
      <w:r>
        <w:rPr>
          <w:sz w:val="20"/>
        </w:rPr>
        <w:t>1987)</w:t>
      </w:r>
    </w:p>
    <w:p>
      <w:pPr>
        <w:pStyle w:val="ListParagraph"/>
        <w:numPr>
          <w:ilvl w:val="0"/>
          <w:numId w:val="1"/>
        </w:numPr>
        <w:tabs>
          <w:tab w:pos="754" w:val="left" w:leader="none"/>
        </w:tabs>
        <w:spacing w:line="292" w:lineRule="auto" w:before="62" w:after="0"/>
        <w:ind w:left="753" w:right="652" w:hanging="240"/>
        <w:jc w:val="left"/>
        <w:rPr>
          <w:sz w:val="20"/>
        </w:rPr>
      </w:pPr>
      <w:r>
        <w:rPr>
          <w:b/>
          <w:sz w:val="20"/>
        </w:rPr>
        <w:t>Bell, 1971</w:t>
      </w:r>
      <w:r>
        <w:rPr>
          <w:sz w:val="20"/>
        </w:rPr>
        <w:t>: J. S. Bell, in </w:t>
      </w:r>
      <w:r>
        <w:rPr>
          <w:i/>
          <w:sz w:val="20"/>
        </w:rPr>
        <w:t>Foundations of Quantum Mechanics</w:t>
      </w:r>
      <w:r>
        <w:rPr>
          <w:sz w:val="20"/>
        </w:rPr>
        <w:t>, Proceedings of the International School of </w:t>
      </w:r>
      <w:r>
        <w:rPr>
          <w:spacing w:val="-3"/>
          <w:sz w:val="20"/>
        </w:rPr>
        <w:t>Physics </w:t>
      </w:r>
      <w:r>
        <w:rPr>
          <w:rFonts w:ascii="Arial Black" w:hAnsi="Arial Black"/>
          <w:sz w:val="20"/>
        </w:rPr>
        <w:t>“</w:t>
      </w:r>
      <w:r>
        <w:rPr>
          <w:sz w:val="20"/>
        </w:rPr>
        <w:t>Enrico</w:t>
      </w:r>
      <w:r>
        <w:rPr>
          <w:spacing w:val="-5"/>
          <w:sz w:val="20"/>
        </w:rPr>
        <w:t> </w:t>
      </w:r>
      <w:r>
        <w:rPr>
          <w:sz w:val="20"/>
        </w:rPr>
        <w:t>Fermi</w:t>
      </w:r>
      <w:r>
        <w:rPr>
          <w:rFonts w:ascii="Arial Black" w:hAnsi="Arial Black"/>
          <w:sz w:val="20"/>
        </w:rPr>
        <w:t>”</w:t>
      </w:r>
      <w:r>
        <w:rPr>
          <w:sz w:val="20"/>
        </w:rPr>
        <w:t>,</w:t>
      </w:r>
      <w:r>
        <w:rPr>
          <w:spacing w:val="-5"/>
          <w:sz w:val="20"/>
        </w:rPr>
        <w:t> </w:t>
      </w:r>
      <w:r>
        <w:rPr>
          <w:sz w:val="20"/>
        </w:rPr>
        <w:t>Course</w:t>
      </w:r>
      <w:r>
        <w:rPr>
          <w:spacing w:val="-5"/>
          <w:sz w:val="20"/>
        </w:rPr>
        <w:t> </w:t>
      </w:r>
      <w:r>
        <w:rPr>
          <w:sz w:val="20"/>
        </w:rPr>
        <w:t>XLIX,</w:t>
      </w:r>
      <w:r>
        <w:rPr>
          <w:spacing w:val="-4"/>
          <w:sz w:val="20"/>
        </w:rPr>
        <w:t> </w:t>
      </w:r>
      <w:r>
        <w:rPr>
          <w:sz w:val="20"/>
        </w:rPr>
        <w:t>B.</w:t>
      </w:r>
      <w:r>
        <w:rPr>
          <w:spacing w:val="-5"/>
          <w:sz w:val="20"/>
        </w:rPr>
        <w:t> </w:t>
      </w:r>
      <w:r>
        <w:rPr>
          <w:sz w:val="20"/>
        </w:rPr>
        <w:t>d</w:t>
      </w:r>
      <w:r>
        <w:rPr>
          <w:rFonts w:ascii="Arial Black" w:hAnsi="Arial Black"/>
          <w:sz w:val="20"/>
        </w:rPr>
        <w:t>’</w:t>
      </w:r>
      <w:r>
        <w:rPr>
          <w:sz w:val="20"/>
        </w:rPr>
        <w:t>Espagnat</w:t>
      </w:r>
      <w:r>
        <w:rPr>
          <w:spacing w:val="-5"/>
          <w:sz w:val="20"/>
        </w:rPr>
        <w:t> </w:t>
      </w:r>
      <w:r>
        <w:rPr>
          <w:sz w:val="20"/>
        </w:rPr>
        <w:t>(Ed.)</w:t>
      </w:r>
      <w:r>
        <w:rPr>
          <w:spacing w:val="-4"/>
          <w:sz w:val="20"/>
        </w:rPr>
        <w:t> </w:t>
      </w:r>
      <w:r>
        <w:rPr>
          <w:sz w:val="20"/>
        </w:rPr>
        <w:t>(Academic,</w:t>
      </w:r>
      <w:r>
        <w:rPr>
          <w:spacing w:val="-5"/>
          <w:sz w:val="20"/>
        </w:rPr>
        <w:t> </w:t>
      </w:r>
      <w:r>
        <w:rPr>
          <w:sz w:val="20"/>
        </w:rPr>
        <w:t>New</w:t>
      </w:r>
      <w:r>
        <w:rPr>
          <w:spacing w:val="-5"/>
          <w:sz w:val="20"/>
        </w:rPr>
        <w:t> </w:t>
      </w:r>
      <w:r>
        <w:rPr>
          <w:sz w:val="20"/>
        </w:rPr>
        <w:t>York,</w:t>
      </w:r>
      <w:r>
        <w:rPr>
          <w:spacing w:val="-4"/>
          <w:sz w:val="20"/>
        </w:rPr>
        <w:t> </w:t>
      </w:r>
      <w:r>
        <w:rPr>
          <w:sz w:val="20"/>
        </w:rPr>
        <w:t>1971),</w:t>
      </w:r>
      <w:r>
        <w:rPr>
          <w:spacing w:val="-5"/>
          <w:sz w:val="20"/>
        </w:rPr>
        <w:t> </w:t>
      </w:r>
      <w:r>
        <w:rPr>
          <w:sz w:val="20"/>
        </w:rPr>
        <w:t>p.</w:t>
      </w:r>
      <w:r>
        <w:rPr>
          <w:spacing w:val="-5"/>
          <w:sz w:val="20"/>
        </w:rPr>
        <w:t> </w:t>
      </w:r>
      <w:r>
        <w:rPr>
          <w:sz w:val="20"/>
        </w:rPr>
        <w:t>171</w:t>
      </w:r>
      <w:r>
        <w:rPr>
          <w:spacing w:val="-4"/>
          <w:sz w:val="20"/>
        </w:rPr>
        <w:t> </w:t>
      </w:r>
      <w:r>
        <w:rPr>
          <w:sz w:val="20"/>
        </w:rPr>
        <w:t>and</w:t>
      </w:r>
      <w:r>
        <w:rPr>
          <w:spacing w:val="-5"/>
          <w:sz w:val="20"/>
        </w:rPr>
        <w:t> </w:t>
      </w:r>
      <w:r>
        <w:rPr>
          <w:sz w:val="20"/>
        </w:rPr>
        <w:t>Appendix</w:t>
      </w:r>
      <w:r>
        <w:rPr>
          <w:spacing w:val="-5"/>
          <w:sz w:val="20"/>
        </w:rPr>
        <w:t> </w:t>
      </w:r>
      <w:r>
        <w:rPr>
          <w:sz w:val="20"/>
        </w:rPr>
        <w:t>B.</w:t>
      </w:r>
      <w:r>
        <w:rPr>
          <w:spacing w:val="-4"/>
          <w:sz w:val="20"/>
        </w:rPr>
        <w:t> </w:t>
      </w:r>
      <w:r>
        <w:rPr>
          <w:sz w:val="20"/>
        </w:rPr>
        <w:t>Pages 171-81 are reproduced as Ch. 4 of J. S. Bell, </w:t>
      </w:r>
      <w:r>
        <w:rPr>
          <w:i/>
          <w:sz w:val="20"/>
        </w:rPr>
        <w:t>Speakable and Unspeakable in Quantum Mechanics </w:t>
      </w:r>
      <w:r>
        <w:rPr>
          <w:sz w:val="20"/>
        </w:rPr>
        <w:t>(Cambridge University Press 1987)</w:t>
      </w:r>
    </w:p>
    <w:p>
      <w:pPr>
        <w:pStyle w:val="ListParagraph"/>
        <w:numPr>
          <w:ilvl w:val="0"/>
          <w:numId w:val="1"/>
        </w:numPr>
        <w:tabs>
          <w:tab w:pos="754" w:val="left" w:leader="none"/>
        </w:tabs>
        <w:spacing w:line="247" w:lineRule="auto" w:before="75" w:after="0"/>
        <w:ind w:left="753" w:right="1269" w:hanging="240"/>
        <w:jc w:val="left"/>
        <w:rPr>
          <w:sz w:val="20"/>
        </w:rPr>
      </w:pPr>
      <w:r>
        <w:rPr>
          <w:b/>
          <w:sz w:val="20"/>
        </w:rPr>
        <w:t>Clauser, 1969</w:t>
      </w:r>
      <w:r>
        <w:rPr>
          <w:sz w:val="20"/>
        </w:rPr>
        <w:t>: J. F. Clauser, M.A. Horne, A. Shimony and R. A. Holt, </w:t>
      </w:r>
      <w:r>
        <w:rPr>
          <w:i/>
          <w:sz w:val="20"/>
        </w:rPr>
        <w:t>Proposed experiment to test </w:t>
      </w:r>
      <w:r>
        <w:rPr>
          <w:i/>
          <w:spacing w:val="-4"/>
          <w:sz w:val="20"/>
        </w:rPr>
        <w:t>local </w:t>
      </w:r>
      <w:r>
        <w:rPr>
          <w:i/>
          <w:sz w:val="20"/>
        </w:rPr>
        <w:t>hidden-variable theories</w:t>
      </w:r>
      <w:r>
        <w:rPr>
          <w:sz w:val="20"/>
        </w:rPr>
        <w:t>, Phys. Rev. Lett. </w:t>
      </w:r>
      <w:r>
        <w:rPr>
          <w:b/>
          <w:sz w:val="20"/>
        </w:rPr>
        <w:t>23</w:t>
      </w:r>
      <w:r>
        <w:rPr>
          <w:sz w:val="20"/>
        </w:rPr>
        <w:t>, 880-884 (1969). </w:t>
      </w:r>
      <w:hyperlink r:id="rId36">
        <w:r>
          <w:rPr>
            <w:sz w:val="20"/>
          </w:rPr>
          <w:t>Bibcode</w:t>
        </w:r>
      </w:hyperlink>
      <w:r>
        <w:rPr>
          <w:sz w:val="20"/>
        </w:rPr>
        <w:t>:1969PhRvL..23..880C </w:t>
      </w:r>
      <w:hyperlink r:id="rId44">
        <w:r>
          <w:rPr>
            <w:position w:val="10"/>
            <w:sz w:val="16"/>
          </w:rPr>
          <w:t>[7]</w:t>
        </w:r>
      </w:hyperlink>
      <w:r>
        <w:rPr>
          <w:sz w:val="20"/>
        </w:rPr>
        <w:t>.</w:t>
      </w:r>
      <w:hyperlink r:id="rId38">
        <w:r>
          <w:rPr>
            <w:sz w:val="20"/>
          </w:rPr>
          <w:t> doi</w:t>
        </w:r>
      </w:hyperlink>
      <w:r>
        <w:rPr>
          <w:sz w:val="20"/>
        </w:rPr>
        <w:t>:10.1103/PhysRevLett.23.880 </w:t>
      </w:r>
      <w:hyperlink r:id="rId45">
        <w:r>
          <w:rPr>
            <w:position w:val="10"/>
            <w:sz w:val="16"/>
          </w:rPr>
          <w:t>[8]</w:t>
        </w:r>
      </w:hyperlink>
      <w:r>
        <w:rPr>
          <w:sz w:val="20"/>
        </w:rPr>
        <w:t>. .</w:t>
      </w:r>
    </w:p>
    <w:p>
      <w:pPr>
        <w:pStyle w:val="ListParagraph"/>
        <w:numPr>
          <w:ilvl w:val="0"/>
          <w:numId w:val="1"/>
        </w:numPr>
        <w:tabs>
          <w:tab w:pos="754" w:val="left" w:leader="none"/>
        </w:tabs>
        <w:spacing w:line="247" w:lineRule="auto" w:before="124" w:after="0"/>
        <w:ind w:left="753" w:right="597" w:hanging="240"/>
        <w:jc w:val="left"/>
        <w:rPr>
          <w:sz w:val="20"/>
        </w:rPr>
      </w:pPr>
      <w:r>
        <w:rPr>
          <w:b/>
          <w:sz w:val="20"/>
        </w:rPr>
        <w:t>Clauser, 1974</w:t>
      </w:r>
      <w:r>
        <w:rPr>
          <w:sz w:val="20"/>
        </w:rPr>
        <w:t>: J. F. Clauser and M. A. Horne, </w:t>
      </w:r>
      <w:r>
        <w:rPr>
          <w:i/>
          <w:sz w:val="20"/>
        </w:rPr>
        <w:t>Experimental consequences of objective local theories</w:t>
      </w:r>
      <w:r>
        <w:rPr>
          <w:sz w:val="20"/>
        </w:rPr>
        <w:t>, Phys. </w:t>
      </w:r>
      <w:r>
        <w:rPr>
          <w:spacing w:val="-4"/>
          <w:sz w:val="20"/>
        </w:rPr>
        <w:t>Rev. </w:t>
      </w:r>
      <w:r>
        <w:rPr>
          <w:sz w:val="20"/>
        </w:rPr>
        <w:t>D </w:t>
      </w:r>
      <w:r>
        <w:rPr>
          <w:b/>
          <w:sz w:val="20"/>
        </w:rPr>
        <w:t>10</w:t>
      </w:r>
      <w:r>
        <w:rPr>
          <w:sz w:val="20"/>
        </w:rPr>
        <w:t>, 526-535 (1974). </w:t>
      </w:r>
      <w:hyperlink r:id="rId36">
        <w:r>
          <w:rPr>
            <w:sz w:val="20"/>
          </w:rPr>
          <w:t>Bibcode</w:t>
        </w:r>
      </w:hyperlink>
      <w:r>
        <w:rPr>
          <w:sz w:val="20"/>
        </w:rPr>
        <w:t>:1974PhRvD..10..526C </w:t>
      </w:r>
      <w:hyperlink r:id="rId46">
        <w:r>
          <w:rPr>
            <w:position w:val="10"/>
            <w:sz w:val="16"/>
          </w:rPr>
          <w:t>[9]</w:t>
        </w:r>
      </w:hyperlink>
      <w:r>
        <w:rPr>
          <w:sz w:val="20"/>
        </w:rPr>
        <w:t>. </w:t>
      </w:r>
      <w:hyperlink r:id="rId38">
        <w:r>
          <w:rPr>
            <w:sz w:val="20"/>
          </w:rPr>
          <w:t>doi</w:t>
        </w:r>
      </w:hyperlink>
      <w:r>
        <w:rPr>
          <w:sz w:val="20"/>
        </w:rPr>
        <w:t>:10.1103/PhysRevD.10.526 </w:t>
      </w:r>
      <w:hyperlink r:id="rId47">
        <w:r>
          <w:rPr>
            <w:position w:val="10"/>
            <w:sz w:val="16"/>
          </w:rPr>
          <w:t>[10]</w:t>
        </w:r>
      </w:hyperlink>
      <w:r>
        <w:rPr>
          <w:sz w:val="20"/>
        </w:rPr>
        <w:t>. .</w:t>
      </w:r>
    </w:p>
    <w:p>
      <w:pPr>
        <w:spacing w:after="0" w:line="247" w:lineRule="auto"/>
        <w:jc w:val="left"/>
        <w:rPr>
          <w:sz w:val="20"/>
        </w:rPr>
        <w:sectPr>
          <w:pgSz w:w="11910" w:h="16840"/>
          <w:pgMar w:header="587" w:footer="650" w:top="840" w:bottom="840" w:left="740" w:right="720"/>
        </w:sectPr>
      </w:pPr>
    </w:p>
    <w:p>
      <w:pPr>
        <w:pStyle w:val="BodyText"/>
        <w:spacing w:before="7"/>
        <w:rPr>
          <w:sz w:val="23"/>
        </w:rPr>
      </w:pPr>
    </w:p>
    <w:p>
      <w:pPr>
        <w:pStyle w:val="Heading2"/>
        <w:spacing w:before="91"/>
      </w:pPr>
      <w:r>
        <w:rPr/>
        <w:t>References</w:t>
      </w:r>
    </w:p>
    <w:p>
      <w:pPr>
        <w:pStyle w:val="ListParagraph"/>
        <w:numPr>
          <w:ilvl w:val="0"/>
          <w:numId w:val="2"/>
        </w:numPr>
        <w:tabs>
          <w:tab w:pos="797" w:val="left" w:leader="none"/>
        </w:tabs>
        <w:spacing w:line="240" w:lineRule="auto" w:before="134" w:after="0"/>
        <w:ind w:left="796" w:right="0" w:hanging="284"/>
        <w:jc w:val="left"/>
        <w:rPr>
          <w:sz w:val="16"/>
        </w:rPr>
      </w:pPr>
      <w:hyperlink r:id="rId37">
        <w:r>
          <w:rPr>
            <w:sz w:val="16"/>
          </w:rPr>
          <w:t>http://adsabs.harvard.edu/abs/1981PhRvL..47..460A</w:t>
        </w:r>
      </w:hyperlink>
    </w:p>
    <w:p>
      <w:pPr>
        <w:pStyle w:val="ListParagraph"/>
        <w:numPr>
          <w:ilvl w:val="0"/>
          <w:numId w:val="2"/>
        </w:numPr>
        <w:tabs>
          <w:tab w:pos="797" w:val="left" w:leader="none"/>
        </w:tabs>
        <w:spacing w:line="240" w:lineRule="auto" w:before="56" w:after="0"/>
        <w:ind w:left="796" w:right="0" w:hanging="284"/>
        <w:jc w:val="left"/>
        <w:rPr>
          <w:sz w:val="16"/>
        </w:rPr>
      </w:pPr>
      <w:hyperlink r:id="rId39">
        <w:r>
          <w:rPr>
            <w:sz w:val="16"/>
          </w:rPr>
          <w:t>http://dx.doi.org/10.1103%2FPhysRevLett.47.460</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0">
        <w:r>
          <w:rPr>
            <w:sz w:val="16"/>
          </w:rPr>
          <w:t>http://adsabs.harvard.edu/abs/1982PhRvL..49...91A</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1">
        <w:r>
          <w:rPr>
            <w:sz w:val="16"/>
          </w:rPr>
          <w:t>http://dx.doi.org/10.1103%2FPhysRevLett.49.91</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2">
        <w:r>
          <w:rPr>
            <w:sz w:val="16"/>
          </w:rPr>
          <w:t>http://adsabs.harvard.edu/abs/1982PhRvL..49.1804A</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3">
        <w:r>
          <w:rPr>
            <w:sz w:val="16"/>
          </w:rPr>
          <w:t>http://dx.doi.org/10.1103%2FPhysRevLett.49.1804</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4">
        <w:r>
          <w:rPr>
            <w:sz w:val="16"/>
          </w:rPr>
          <w:t>http://adsabs.harvard.edu/abs/1969PhRvL..23..880C</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5">
        <w:r>
          <w:rPr>
            <w:sz w:val="16"/>
          </w:rPr>
          <w:t>http://dx.doi.org/10.1103%2FPhysRevLett.23.880</w:t>
        </w:r>
      </w:hyperlink>
    </w:p>
    <w:p>
      <w:pPr>
        <w:pStyle w:val="ListParagraph"/>
        <w:numPr>
          <w:ilvl w:val="0"/>
          <w:numId w:val="2"/>
        </w:numPr>
        <w:tabs>
          <w:tab w:pos="797" w:val="left" w:leader="none"/>
        </w:tabs>
        <w:spacing w:line="240" w:lineRule="auto" w:before="56" w:after="0"/>
        <w:ind w:left="796" w:right="0" w:hanging="284"/>
        <w:jc w:val="left"/>
        <w:rPr>
          <w:sz w:val="16"/>
        </w:rPr>
      </w:pPr>
      <w:hyperlink r:id="rId46">
        <w:r>
          <w:rPr>
            <w:sz w:val="16"/>
          </w:rPr>
          <w:t>http://adsabs.harvard.edu/abs/1974PhRvD..10..526C</w:t>
        </w:r>
      </w:hyperlink>
    </w:p>
    <w:p>
      <w:pPr>
        <w:spacing w:before="56"/>
        <w:ind w:left="513" w:right="0" w:firstLine="0"/>
        <w:jc w:val="left"/>
        <w:rPr>
          <w:sz w:val="16"/>
        </w:rPr>
      </w:pPr>
      <w:r>
        <w:rPr>
          <w:sz w:val="16"/>
        </w:rPr>
        <w:t>[10] </w:t>
      </w:r>
      <w:hyperlink r:id="rId47">
        <w:r>
          <w:rPr>
            <w:sz w:val="16"/>
          </w:rPr>
          <w:t>http://dx.doi.org/10.1103%2FPhysRevD.10.526</w:t>
        </w:r>
      </w:hyperlink>
    </w:p>
    <w:p>
      <w:pPr>
        <w:spacing w:after="0"/>
        <w:jc w:val="left"/>
        <w:rPr>
          <w:sz w:val="16"/>
        </w:rPr>
        <w:sectPr>
          <w:headerReference w:type="default" r:id="rId48"/>
          <w:footerReference w:type="default" r:id="rId49"/>
          <w:pgSz w:w="11910" w:h="16840"/>
          <w:pgMar w:header="587" w:footer="650" w:top="840" w:bottom="840" w:left="740" w:right="720"/>
          <w:pgNumType w:start="4"/>
        </w:sectPr>
      </w:pPr>
    </w:p>
    <w:p>
      <w:pPr>
        <w:pStyle w:val="BodyText"/>
        <w:spacing w:before="3"/>
        <w:rPr>
          <w:sz w:val="22"/>
        </w:rPr>
      </w:pPr>
    </w:p>
    <w:p>
      <w:pPr>
        <w:pStyle w:val="Heading1"/>
        <w:spacing w:before="85"/>
      </w:pPr>
      <w:r>
        <w:rPr/>
        <w:t>Article Sources and Contributors</w:t>
      </w:r>
    </w:p>
    <w:p>
      <w:pPr>
        <w:spacing w:line="278" w:lineRule="auto" w:before="217"/>
        <w:ind w:left="513" w:right="682" w:firstLine="0"/>
        <w:jc w:val="left"/>
        <w:rPr>
          <w:sz w:val="12"/>
        </w:rPr>
      </w:pPr>
      <w:r>
        <w:rPr>
          <w:b/>
          <w:sz w:val="12"/>
        </w:rPr>
        <w:t>CHSH inequality </w:t>
      </w:r>
      <w:r>
        <w:rPr>
          <w:i/>
          <w:sz w:val="12"/>
        </w:rPr>
        <w:t>Source</w:t>
      </w:r>
      <w:r>
        <w:rPr>
          <w:sz w:val="12"/>
        </w:rPr>
        <w:t>: </w:t>
      </w:r>
      <w:hyperlink r:id="rId52">
        <w:r>
          <w:rPr>
            <w:sz w:val="12"/>
          </w:rPr>
          <w:t>http://en.wikipedia.org/w/index.php?oldid=539799047</w:t>
        </w:r>
      </w:hyperlink>
      <w:r>
        <w:rPr>
          <w:sz w:val="12"/>
        </w:rPr>
        <w:t> </w:t>
      </w:r>
      <w:r>
        <w:rPr>
          <w:i/>
          <w:sz w:val="12"/>
        </w:rPr>
        <w:t>Contributors</w:t>
      </w:r>
      <w:r>
        <w:rPr>
          <w:sz w:val="12"/>
        </w:rPr>
        <w:t>: Agge1000, Alureiter, CYD, Caroline Thompson, ChrisGualtieri, Daniel11, Deathphoenix, DrChinese, Etnoy, Falcor84, Fwappler, George.ad.stamatiou, Gill110951, Headbomb, Hypnosifl, Ike9898, Jheald, Keenan Pepper, Lethe, Linas, Lox, Markherm, Michael Hardy, Narayan82es, Nathanielvirgo, Oakwood, Oleg Alexandrov, Rich Farmbrough, Sam Hocevar, StanS, The Gnome, XJaM, 22 anonymous edits</w:t>
      </w:r>
    </w:p>
    <w:p>
      <w:pPr>
        <w:pStyle w:val="BodyText"/>
        <w:rPr>
          <w:sz w:val="14"/>
        </w:rPr>
      </w:pPr>
    </w:p>
    <w:p>
      <w:pPr>
        <w:pStyle w:val="BodyText"/>
        <w:rPr>
          <w:sz w:val="17"/>
        </w:rPr>
      </w:pPr>
    </w:p>
    <w:p>
      <w:pPr>
        <w:pStyle w:val="Heading1"/>
      </w:pPr>
      <w:r>
        <w:rPr/>
        <w:t>Image Sources, Licenses and Contributors</w:t>
      </w:r>
    </w:p>
    <w:p>
      <w:pPr>
        <w:spacing w:line="278" w:lineRule="auto" w:before="137"/>
        <w:ind w:left="513" w:right="682" w:firstLine="0"/>
        <w:jc w:val="left"/>
        <w:rPr>
          <w:sz w:val="12"/>
        </w:rPr>
      </w:pPr>
      <w:r>
        <w:rPr>
          <w:b/>
          <w:sz w:val="12"/>
        </w:rPr>
        <w:t>Image:Two_channel_bell_test.svg </w:t>
      </w:r>
      <w:r>
        <w:rPr>
          <w:i/>
          <w:sz w:val="12"/>
        </w:rPr>
        <w:t>Source</w:t>
      </w:r>
      <w:r>
        <w:rPr>
          <w:sz w:val="12"/>
        </w:rPr>
        <w:t>: </w:t>
      </w:r>
      <w:hyperlink r:id="rId53">
        <w:r>
          <w:rPr>
            <w:sz w:val="12"/>
          </w:rPr>
          <w:t>http://en.wikipedia.org/w/index.php?title=File:Two_channel_bell_test.svg</w:t>
        </w:r>
      </w:hyperlink>
      <w:r>
        <w:rPr>
          <w:sz w:val="12"/>
        </w:rPr>
        <w:t> </w:t>
      </w:r>
      <w:r>
        <w:rPr>
          <w:i/>
          <w:sz w:val="12"/>
        </w:rPr>
        <w:t>License</w:t>
      </w:r>
      <w:r>
        <w:rPr>
          <w:sz w:val="12"/>
        </w:rPr>
        <w:t>: GNU Free Documentation License </w:t>
      </w:r>
      <w:r>
        <w:rPr>
          <w:i/>
          <w:sz w:val="12"/>
        </w:rPr>
        <w:t>Contributors</w:t>
      </w:r>
      <w:r>
        <w:rPr>
          <w:sz w:val="12"/>
        </w:rPr>
        <w:t>: George.ad.stamatiou</w:t>
      </w:r>
    </w:p>
    <w:p>
      <w:pPr>
        <w:pStyle w:val="BodyText"/>
        <w:rPr>
          <w:sz w:val="14"/>
        </w:rPr>
      </w:pPr>
    </w:p>
    <w:p>
      <w:pPr>
        <w:pStyle w:val="BodyText"/>
        <w:spacing w:before="1"/>
        <w:rPr>
          <w:sz w:val="17"/>
        </w:rPr>
      </w:pPr>
    </w:p>
    <w:p>
      <w:pPr>
        <w:pStyle w:val="Heading1"/>
      </w:pPr>
      <w:r>
        <w:rPr/>
        <w:pict>
          <v:shape style="position:absolute;margin-left:62.692909pt;margin-top:31.939087pt;width:469.9pt;height:.1pt;mso-position-horizontal-relative:page;mso-position-vertical-relative:paragraph;z-index:-15721472;mso-wrap-distance-left:0;mso-wrap-distance-right:0" coordorigin="1254,639" coordsize="9398,0" path="m1254,639l10652,639e" filled="false" stroked="true" strokeweight="1pt" strokecolor="#000000">
            <v:path arrowok="t"/>
            <v:stroke dashstyle="solid"/>
            <w10:wrap type="topAndBottom"/>
          </v:shape>
        </w:pict>
      </w:r>
      <w:bookmarkStart w:name="License" w:id="9"/>
      <w:bookmarkEnd w:id="9"/>
      <w:r>
        <w:rPr>
          <w:b w:val="0"/>
        </w:rPr>
      </w:r>
      <w:r>
        <w:rPr/>
        <w:t>License</w:t>
      </w:r>
    </w:p>
    <w:p>
      <w:pPr>
        <w:pStyle w:val="BodyText"/>
        <w:spacing w:before="9"/>
        <w:rPr>
          <w:b/>
          <w:sz w:val="12"/>
        </w:rPr>
      </w:pPr>
    </w:p>
    <w:p>
      <w:pPr>
        <w:spacing w:line="107" w:lineRule="exact" w:before="0"/>
        <w:ind w:left="513" w:right="0" w:firstLine="0"/>
        <w:jc w:val="left"/>
        <w:rPr>
          <w:sz w:val="10"/>
        </w:rPr>
      </w:pPr>
      <w:r>
        <w:rPr>
          <w:sz w:val="10"/>
        </w:rPr>
        <w:t>Creative Commons Attribution-Share Alike 3.0 Unported</w:t>
      </w:r>
    </w:p>
    <w:p>
      <w:pPr>
        <w:spacing w:line="107" w:lineRule="exact" w:before="0"/>
        <w:ind w:left="513" w:right="0" w:firstLine="0"/>
        <w:jc w:val="left"/>
        <w:rPr>
          <w:sz w:val="10"/>
        </w:rPr>
      </w:pPr>
      <w:r>
        <w:rPr>
          <w:sz w:val="10"/>
        </w:rPr>
        <w:t>//creativecommons.org/licenses/by-sa/3.0/</w:t>
      </w:r>
    </w:p>
    <w:sectPr>
      <w:headerReference w:type="default" r:id="rId50"/>
      <w:footerReference w:type="default" r:id="rId51"/>
      <w:pgSz w:w="11910" w:h="16840"/>
      <w:pgMar w:header="587" w:footer="650" w:top="840" w:bottom="840" w:left="740" w:right="720"/>
      <w:pgNumType w:start="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81216" from="42.519691pt,799.370056pt" to="552.755901pt,799.370056pt" stroked="true" strokeweight="0pt" strokecolor="#000000">
          <v:stroke dashstyle="solid"/>
          <w10:wrap type="non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79168" from="42.519691pt,799.370056pt" to="552.755901pt,799.370056pt" stroked="true" strokeweight="0pt" strokecolor="#000000">
          <v:stroke dashstyle="solid"/>
          <w10:wrap type="none"/>
        </v:lin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77120" from="42.519691pt,799.370056pt" to="552.755901pt,799.370056pt" stroked="true" strokeweight="0pt" strokecolor="#000000">
          <v:stroke dashstyle="solid"/>
          <w10:wrap type="none"/>
        </v:lin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75072" from="42.519691pt,799.370056pt" to="552.755901pt,799.370056pt" stroked="true" strokeweight="0pt" strokecolor="#000000">
          <v:stroke dashstyle="solid"/>
          <w10:wrap type="none"/>
        </v:lin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80704" from="42.519691pt,42.519672pt" to="552.755901pt,42.519672pt" stroked="true" strokeweight="0pt" strokecolor="#000000">
          <v:stroke dashstyle="solid"/>
          <w10:wrap type="none"/>
        </v:line>
      </w:pict>
    </w:r>
    <w:r>
      <w:rPr/>
      <w:pict>
        <v:shape style="position:absolute;margin-left:41.519691pt;margin-top:28.35437pt;width:71.2pt;height:14pt;mso-position-horizontal-relative:page;mso-position-vertical-relative:page;z-index:-15880192" type="#_x0000_t202" filled="false" stroked="false">
          <v:textbox inset="0,0,0,0">
            <w:txbxContent>
              <w:p>
                <w:pPr>
                  <w:pStyle w:val="BodyText"/>
                  <w:spacing w:before="13"/>
                  <w:ind w:left="20"/>
                </w:pPr>
                <w:r>
                  <w:rPr/>
                  <w:t>CHSH inequality</w:t>
                </w:r>
              </w:p>
            </w:txbxContent>
          </v:textbox>
          <w10:wrap type="none"/>
        </v:shape>
      </w:pict>
    </w:r>
    <w:r>
      <w:rPr/>
      <w:pict>
        <v:shape style="position:absolute;margin-left:544.755920pt;margin-top:29.68507pt;width:11pt;height:14pt;mso-position-horizontal-relative:page;mso-position-vertical-relative:page;z-index:-15879680" type="#_x0000_t202" filled="false" stroked="false">
          <v:textbox inset="0,0,0,0">
            <w:txbxContent>
              <w:p>
                <w:pPr>
                  <w:pStyle w:val="BodyText"/>
                  <w:spacing w:before="13"/>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78656" from="42.519691pt,42.519672pt" to="552.755901pt,42.519672pt" stroked="true" strokeweight="0pt" strokecolor="#000000">
          <v:stroke dashstyle="solid"/>
          <w10:wrap type="none"/>
        </v:line>
      </w:pict>
    </w:r>
    <w:r>
      <w:rPr/>
      <w:pict>
        <v:shape style="position:absolute;margin-left:41.519691pt;margin-top:28.35437pt;width:71.2pt;height:14pt;mso-position-horizontal-relative:page;mso-position-vertical-relative:page;z-index:-15878144" type="#_x0000_t202" filled="false" stroked="false">
          <v:textbox inset="0,0,0,0">
            <w:txbxContent>
              <w:p>
                <w:pPr>
                  <w:pStyle w:val="BodyText"/>
                  <w:spacing w:before="13"/>
                  <w:ind w:left="20"/>
                </w:pPr>
                <w:r>
                  <w:rPr/>
                  <w:t>CHSH inequality</w:t>
                </w:r>
              </w:p>
            </w:txbxContent>
          </v:textbox>
          <w10:wrap type="none"/>
        </v:shape>
      </w:pict>
    </w:r>
    <w:r>
      <w:rPr/>
      <w:pict>
        <v:shape style="position:absolute;margin-left:544.755920pt;margin-top:29.68507pt;width:11pt;height:14pt;mso-position-horizontal-relative:page;mso-position-vertical-relative:page;z-index:-15877632" type="#_x0000_t202" filled="false" stroked="false">
          <v:textbox inset="0,0,0,0">
            <w:txbxContent>
              <w:p>
                <w:pPr>
                  <w:pStyle w:val="BodyText"/>
                  <w:spacing w:before="13"/>
                  <w:ind w:left="60"/>
                </w:pPr>
                <w:r>
                  <w:rPr/>
                  <w:fldChar w:fldCharType="begin"/>
                </w:r>
                <w:r>
                  <w:rPr/>
                  <w:instrText> PAGE </w:instrText>
                </w:r>
                <w:r>
                  <w:rPr/>
                  <w:fldChar w:fldCharType="separate"/>
                </w:r>
                <w:r>
                  <w:rPr/>
                  <w:t>4</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76608" from="42.519691pt,42.519672pt" to="552.755901pt,42.519672pt" stroked="true" strokeweight="0pt" strokecolor="#000000">
          <v:stroke dashstyle="solid"/>
          <w10:wrap type="none"/>
        </v:line>
      </w:pict>
    </w:r>
    <w:r>
      <w:rPr/>
      <w:pict>
        <v:shape style="position:absolute;margin-left:41.519691pt;margin-top:28.35437pt;width:133.950pt;height:14pt;mso-position-horizontal-relative:page;mso-position-vertical-relative:page;z-index:-15876096" type="#_x0000_t202" filled="false" stroked="false">
          <v:textbox inset="0,0,0,0">
            <w:txbxContent>
              <w:p>
                <w:pPr>
                  <w:pStyle w:val="BodyText"/>
                  <w:spacing w:before="13"/>
                  <w:ind w:left="20"/>
                </w:pPr>
                <w:r>
                  <w:rPr/>
                  <w:t>Article Sources and Contributors</w:t>
                </w:r>
              </w:p>
            </w:txbxContent>
          </v:textbox>
          <w10:wrap type="none"/>
        </v:shape>
      </w:pict>
    </w:r>
    <w:r>
      <w:rPr/>
      <w:pict>
        <v:shape style="position:absolute;margin-left:544.755920pt;margin-top:29.68507pt;width:11pt;height:14pt;mso-position-horizontal-relative:page;mso-position-vertical-relative:page;z-index:-15875584" type="#_x0000_t202" filled="false" stroked="false">
          <v:textbox inset="0,0,0,0">
            <w:txbxContent>
              <w:p>
                <w:pPr>
                  <w:pStyle w:val="BodyText"/>
                  <w:spacing w:before="13"/>
                  <w:ind w:left="60"/>
                </w:pPr>
                <w:r>
                  <w:rPr/>
                  <w:fldChar w:fldCharType="begin"/>
                </w:r>
                <w:r>
                  <w:rPr/>
                  <w:instrText> PAGE </w:instrText>
                </w:r>
                <w:r>
                  <w:rPr/>
                  <w:fldChar w:fldCharType="separate"/>
                </w:r>
                <w:r>
                  <w:rPr/>
                  <w:t>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6" w:hanging="283"/>
        <w:jc w:val="lef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1764" w:hanging="283"/>
      </w:pPr>
      <w:rPr>
        <w:rFonts w:hint="default"/>
        <w:lang w:val="en-US" w:eastAsia="en-US" w:bidi="en-US"/>
      </w:rPr>
    </w:lvl>
    <w:lvl w:ilvl="2">
      <w:start w:val="0"/>
      <w:numFmt w:val="bullet"/>
      <w:lvlText w:val="•"/>
      <w:lvlJc w:val="left"/>
      <w:pPr>
        <w:ind w:left="2729" w:hanging="283"/>
      </w:pPr>
      <w:rPr>
        <w:rFonts w:hint="default"/>
        <w:lang w:val="en-US" w:eastAsia="en-US" w:bidi="en-US"/>
      </w:rPr>
    </w:lvl>
    <w:lvl w:ilvl="3">
      <w:start w:val="0"/>
      <w:numFmt w:val="bullet"/>
      <w:lvlText w:val="•"/>
      <w:lvlJc w:val="left"/>
      <w:pPr>
        <w:ind w:left="3693" w:hanging="283"/>
      </w:pPr>
      <w:rPr>
        <w:rFonts w:hint="default"/>
        <w:lang w:val="en-US" w:eastAsia="en-US" w:bidi="en-US"/>
      </w:rPr>
    </w:lvl>
    <w:lvl w:ilvl="4">
      <w:start w:val="0"/>
      <w:numFmt w:val="bullet"/>
      <w:lvlText w:val="•"/>
      <w:lvlJc w:val="left"/>
      <w:pPr>
        <w:ind w:left="4658" w:hanging="283"/>
      </w:pPr>
      <w:rPr>
        <w:rFonts w:hint="default"/>
        <w:lang w:val="en-US" w:eastAsia="en-US" w:bidi="en-US"/>
      </w:rPr>
    </w:lvl>
    <w:lvl w:ilvl="5">
      <w:start w:val="0"/>
      <w:numFmt w:val="bullet"/>
      <w:lvlText w:val="•"/>
      <w:lvlJc w:val="left"/>
      <w:pPr>
        <w:ind w:left="5622" w:hanging="283"/>
      </w:pPr>
      <w:rPr>
        <w:rFonts w:hint="default"/>
        <w:lang w:val="en-US" w:eastAsia="en-US" w:bidi="en-US"/>
      </w:rPr>
    </w:lvl>
    <w:lvl w:ilvl="6">
      <w:start w:val="0"/>
      <w:numFmt w:val="bullet"/>
      <w:lvlText w:val="•"/>
      <w:lvlJc w:val="left"/>
      <w:pPr>
        <w:ind w:left="6587" w:hanging="283"/>
      </w:pPr>
      <w:rPr>
        <w:rFonts w:hint="default"/>
        <w:lang w:val="en-US" w:eastAsia="en-US" w:bidi="en-US"/>
      </w:rPr>
    </w:lvl>
    <w:lvl w:ilvl="7">
      <w:start w:val="0"/>
      <w:numFmt w:val="bullet"/>
      <w:lvlText w:val="•"/>
      <w:lvlJc w:val="left"/>
      <w:pPr>
        <w:ind w:left="7551" w:hanging="283"/>
      </w:pPr>
      <w:rPr>
        <w:rFonts w:hint="default"/>
        <w:lang w:val="en-US" w:eastAsia="en-US" w:bidi="en-US"/>
      </w:rPr>
    </w:lvl>
    <w:lvl w:ilvl="8">
      <w:start w:val="0"/>
      <w:numFmt w:val="bullet"/>
      <w:lvlText w:val="•"/>
      <w:lvlJc w:val="left"/>
      <w:pPr>
        <w:ind w:left="8516" w:hanging="283"/>
      </w:pPr>
      <w:rPr>
        <w:rFonts w:hint="default"/>
        <w:lang w:val="en-US" w:eastAsia="en-US" w:bidi="en-US"/>
      </w:rPr>
    </w:lvl>
  </w:abstractNum>
  <w:abstractNum w:abstractNumId="0">
    <w:multiLevelType w:val="hybridMultilevel"/>
    <w:lvl w:ilvl="0">
      <w:start w:val="0"/>
      <w:numFmt w:val="bullet"/>
      <w:lvlText w:val="•"/>
      <w:lvlJc w:val="left"/>
      <w:pPr>
        <w:ind w:left="753" w:hanging="240"/>
      </w:pPr>
      <w:rPr>
        <w:rFonts w:hint="default" w:ascii="Times New Roman" w:hAnsi="Times New Roman" w:eastAsia="Times New Roman" w:cs="Times New Roman"/>
        <w:w w:val="135"/>
        <w:sz w:val="20"/>
        <w:szCs w:val="20"/>
        <w:lang w:val="en-US" w:eastAsia="en-US" w:bidi="en-US"/>
      </w:rPr>
    </w:lvl>
    <w:lvl w:ilvl="1">
      <w:start w:val="0"/>
      <w:numFmt w:val="bullet"/>
      <w:lvlText w:val="•"/>
      <w:lvlJc w:val="left"/>
      <w:pPr>
        <w:ind w:left="1728" w:hanging="240"/>
      </w:pPr>
      <w:rPr>
        <w:rFonts w:hint="default"/>
        <w:lang w:val="en-US" w:eastAsia="en-US" w:bidi="en-US"/>
      </w:rPr>
    </w:lvl>
    <w:lvl w:ilvl="2">
      <w:start w:val="0"/>
      <w:numFmt w:val="bullet"/>
      <w:lvlText w:val="•"/>
      <w:lvlJc w:val="left"/>
      <w:pPr>
        <w:ind w:left="2697" w:hanging="240"/>
      </w:pPr>
      <w:rPr>
        <w:rFonts w:hint="default"/>
        <w:lang w:val="en-US" w:eastAsia="en-US" w:bidi="en-US"/>
      </w:rPr>
    </w:lvl>
    <w:lvl w:ilvl="3">
      <w:start w:val="0"/>
      <w:numFmt w:val="bullet"/>
      <w:lvlText w:val="•"/>
      <w:lvlJc w:val="left"/>
      <w:pPr>
        <w:ind w:left="3665" w:hanging="240"/>
      </w:pPr>
      <w:rPr>
        <w:rFonts w:hint="default"/>
        <w:lang w:val="en-US" w:eastAsia="en-US" w:bidi="en-US"/>
      </w:rPr>
    </w:lvl>
    <w:lvl w:ilvl="4">
      <w:start w:val="0"/>
      <w:numFmt w:val="bullet"/>
      <w:lvlText w:val="•"/>
      <w:lvlJc w:val="left"/>
      <w:pPr>
        <w:ind w:left="4634" w:hanging="240"/>
      </w:pPr>
      <w:rPr>
        <w:rFonts w:hint="default"/>
        <w:lang w:val="en-US" w:eastAsia="en-US" w:bidi="en-US"/>
      </w:rPr>
    </w:lvl>
    <w:lvl w:ilvl="5">
      <w:start w:val="0"/>
      <w:numFmt w:val="bullet"/>
      <w:lvlText w:val="•"/>
      <w:lvlJc w:val="left"/>
      <w:pPr>
        <w:ind w:left="5602" w:hanging="240"/>
      </w:pPr>
      <w:rPr>
        <w:rFonts w:hint="default"/>
        <w:lang w:val="en-US" w:eastAsia="en-US" w:bidi="en-US"/>
      </w:rPr>
    </w:lvl>
    <w:lvl w:ilvl="6">
      <w:start w:val="0"/>
      <w:numFmt w:val="bullet"/>
      <w:lvlText w:val="•"/>
      <w:lvlJc w:val="left"/>
      <w:pPr>
        <w:ind w:left="6571" w:hanging="240"/>
      </w:pPr>
      <w:rPr>
        <w:rFonts w:hint="default"/>
        <w:lang w:val="en-US" w:eastAsia="en-US" w:bidi="en-US"/>
      </w:rPr>
    </w:lvl>
    <w:lvl w:ilvl="7">
      <w:start w:val="0"/>
      <w:numFmt w:val="bullet"/>
      <w:lvlText w:val="•"/>
      <w:lvlJc w:val="left"/>
      <w:pPr>
        <w:ind w:left="7539" w:hanging="240"/>
      </w:pPr>
      <w:rPr>
        <w:rFonts w:hint="default"/>
        <w:lang w:val="en-US" w:eastAsia="en-US" w:bidi="en-US"/>
      </w:rPr>
    </w:lvl>
    <w:lvl w:ilvl="8">
      <w:start w:val="0"/>
      <w:numFmt w:val="bullet"/>
      <w:lvlText w:val="•"/>
      <w:lvlJc w:val="left"/>
      <w:pPr>
        <w:ind w:left="8508" w:hanging="24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513"/>
      <w:outlineLvl w:val="1"/>
    </w:pPr>
    <w:rPr>
      <w:rFonts w:ascii="Times New Roman" w:hAnsi="Times New Roman" w:eastAsia="Times New Roman" w:cs="Times New Roman"/>
      <w:b/>
      <w:bCs/>
      <w:sz w:val="44"/>
      <w:szCs w:val="44"/>
      <w:lang w:val="en-US" w:eastAsia="en-US" w:bidi="en-US"/>
    </w:rPr>
  </w:style>
  <w:style w:styleId="Heading2" w:type="paragraph">
    <w:name w:val="Heading 2"/>
    <w:basedOn w:val="Normal"/>
    <w:uiPriority w:val="1"/>
    <w:qFormat/>
    <w:pPr>
      <w:ind w:left="513"/>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ind w:left="513"/>
      <w:jc w:val="both"/>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56"/>
      <w:ind w:left="796" w:hanging="28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en.wikipedia.org/w/index.php?title=Physics" TargetMode="External"/><Relationship Id="rId7" Type="http://schemas.openxmlformats.org/officeDocument/2006/relationships/hyperlink" Target="http://en.wikipedia.org/w/index.php?title=Bell%27s_theorem" TargetMode="External"/><Relationship Id="rId8" Type="http://schemas.openxmlformats.org/officeDocument/2006/relationships/hyperlink" Target="http://en.wikipedia.org/w/index.php?title=Quantum_entanglement" TargetMode="External"/><Relationship Id="rId9" Type="http://schemas.openxmlformats.org/officeDocument/2006/relationships/hyperlink" Target="http://en.wikipedia.org/w/index.php?title=Quantum_mechanics" TargetMode="External"/><Relationship Id="rId10" Type="http://schemas.openxmlformats.org/officeDocument/2006/relationships/hyperlink" Target="http://en.wikipedia.org/w/index.php?title=Local_hidden_variable_theory" TargetMode="External"/><Relationship Id="rId11" Type="http://schemas.openxmlformats.org/officeDocument/2006/relationships/hyperlink" Target="http://en.wikipedia.org/w/index.php?title=John_Clauser" TargetMode="External"/><Relationship Id="rId12" Type="http://schemas.openxmlformats.org/officeDocument/2006/relationships/hyperlink" Target="http://en.wikipedia.org/w/index.php?title=Michael_Horne" TargetMode="External"/><Relationship Id="rId13" Type="http://schemas.openxmlformats.org/officeDocument/2006/relationships/hyperlink" Target="http://en.wikipedia.org/w/index.php?title=Abner_Shimony" TargetMode="External"/><Relationship Id="rId14" Type="http://schemas.openxmlformats.org/officeDocument/2006/relationships/hyperlink" Target="http://en.wikipedia.org/w/index.php?title=Richard_Holt_%28physicist%29" TargetMode="External"/><Relationship Id="rId15" Type="http://schemas.openxmlformats.org/officeDocument/2006/relationships/hyperlink" Target="http://en.wikipedia.org/w/index.php?title=John_Stewart_Bell" TargetMode="External"/><Relationship Id="rId16" Type="http://schemas.openxmlformats.org/officeDocument/2006/relationships/hyperlink" Target="http://en.wikipedia.org/w/index.php?title=Bell_test_experiments" TargetMode="External"/><Relationship Id="rId17" Type="http://schemas.openxmlformats.org/officeDocument/2006/relationships/hyperlink" Target="http://en.wikipedia.org/w/index.php?title=Local_realism" TargetMode="External"/><Relationship Id="rId18" Type="http://schemas.openxmlformats.org/officeDocument/2006/relationships/hyperlink" Target="http://en.wikipedia.org/w/index.php?title=Quantum_correlation"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en.wikipedia.org/w/index.php?title=Alain_Aspect" TargetMode="Externa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yperlink" Target="http://en.wikipedia.org/w/index.php?title=Quantum_Mechanics" TargetMode="External"/><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hyperlink" Target="http://en.wikipedia.org/w/index.php?title=Triangle_inequality"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hyperlink" Target="http://en.wikipedia.org/w/index.php?title=Bibcode" TargetMode="External"/><Relationship Id="rId37" Type="http://schemas.openxmlformats.org/officeDocument/2006/relationships/hyperlink" Target="http://adsabs.harvard.edu/abs/1981PhRvL..47..460A" TargetMode="External"/><Relationship Id="rId38" Type="http://schemas.openxmlformats.org/officeDocument/2006/relationships/hyperlink" Target="http://en.wikipedia.org/w/index.php?title=Digital_object_identifier" TargetMode="External"/><Relationship Id="rId39" Type="http://schemas.openxmlformats.org/officeDocument/2006/relationships/hyperlink" Target="http://dx.doi.org/10.1103%2FPhysRevLett.47.460" TargetMode="External"/><Relationship Id="rId40" Type="http://schemas.openxmlformats.org/officeDocument/2006/relationships/hyperlink" Target="http://adsabs.harvard.edu/abs/1982PhRvL..49...91A" TargetMode="External"/><Relationship Id="rId41" Type="http://schemas.openxmlformats.org/officeDocument/2006/relationships/hyperlink" Target="http://dx.doi.org/10.1103%2FPhysRevLett.49.91" TargetMode="External"/><Relationship Id="rId42" Type="http://schemas.openxmlformats.org/officeDocument/2006/relationships/hyperlink" Target="http://adsabs.harvard.edu/abs/1982PhRvL..49.1804A" TargetMode="External"/><Relationship Id="rId43" Type="http://schemas.openxmlformats.org/officeDocument/2006/relationships/hyperlink" Target="http://dx.doi.org/10.1103%2FPhysRevLett.49.1804" TargetMode="External"/><Relationship Id="rId44" Type="http://schemas.openxmlformats.org/officeDocument/2006/relationships/hyperlink" Target="http://adsabs.harvard.edu/abs/1969PhRvL..23..880C" TargetMode="External"/><Relationship Id="rId45" Type="http://schemas.openxmlformats.org/officeDocument/2006/relationships/hyperlink" Target="http://dx.doi.org/10.1103%2FPhysRevLett.23.880" TargetMode="External"/><Relationship Id="rId46" Type="http://schemas.openxmlformats.org/officeDocument/2006/relationships/hyperlink" Target="http://adsabs.harvard.edu/abs/1974PhRvD..10..526C" TargetMode="External"/><Relationship Id="rId47" Type="http://schemas.openxmlformats.org/officeDocument/2006/relationships/hyperlink" Target="http://dx.doi.org/10.1103%2FPhysRevD.10.526" TargetMode="External"/><Relationship Id="rId48" Type="http://schemas.openxmlformats.org/officeDocument/2006/relationships/header" Target="header2.xml"/><Relationship Id="rId49" Type="http://schemas.openxmlformats.org/officeDocument/2006/relationships/footer" Target="footer3.xml"/><Relationship Id="rId50" Type="http://schemas.openxmlformats.org/officeDocument/2006/relationships/header" Target="header3.xml"/><Relationship Id="rId51" Type="http://schemas.openxmlformats.org/officeDocument/2006/relationships/footer" Target="footer4.xml"/><Relationship Id="rId52" Type="http://schemas.openxmlformats.org/officeDocument/2006/relationships/hyperlink" Target="http://en.wikipedia.org/w/index.php?oldid=539799047" TargetMode="External"/><Relationship Id="rId53" Type="http://schemas.openxmlformats.org/officeDocument/2006/relationships/hyperlink" Target="http://en.wikipedia.org/w/index.php?title=File%3ATwo_channel_bell_test.svg"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2019-10-14T10:58:13Z</dcterms:created>
  <dcterms:modified xsi:type="dcterms:W3CDTF">2019-10-14T10:58:13Z</dcterms:modified>
</cp:coreProperties>
</file>