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before="0"/>
        <w:jc w:val="center"/>
      </w:pPr>
      <w:r>
        <w:rPr>
          <w:b/>
          <w:sz w:val="44"/>
        </w:rPr>
        <w:t>Soft Spaces - Phase 3.2</w:t>
      </w:r>
    </w:p>
    <w:p>
      <w:pPr>
        <w:spacing w:after="30" w:before="0"/>
        <w:jc w:val="center"/>
      </w:pPr>
      <w:r>
        <w:rPr>
          <w:b/>
          <w:sz w:val="32"/>
        </w:rPr>
        <w:t>Checkpoint: Global ±E Symmetry and Local Hotspot Mechanism</w:t>
      </w:r>
    </w:p>
    <w:p>
      <w:pPr>
        <w:spacing w:after="30" w:before="0"/>
        <w:jc w:val="center"/>
      </w:pPr>
      <w:r>
        <w:rPr>
          <w:i/>
          <w:sz w:val="20"/>
        </w:rPr>
        <w:t>Working checkpoint - 10 September 2026</w:t>
      </w:r>
    </w:p>
    <w:p>
      <w:pPr>
        <w:spacing w:after="30" w:before="0"/>
      </w:pPr>
      <w:r>
        <w:rPr>
          <w:b/>
        </w:rPr>
        <w:t xml:space="preserve">Purpose. </w:t>
      </w:r>
      <w:r>
        <w:t>This checkpoint records the current Phase 3.2 result chain before further mechanism work. It separates what is numerically established from what remains a working law. The central outcome is that the global ±E organization is algebraically explained, while local hotspot prominence is statistically linked to excess constructive coherence among the virtual P→Q→P pathways.</w:t>
      </w:r>
    </w:p>
    <w:p>
      <w:pPr>
        <w:pStyle w:val="Heading1"/>
        <w:spacing w:after="30" w:before="0"/>
      </w:pPr>
      <w:r>
        <w:t>1. Frozen Phase 3.2 setting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Item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Frozen choice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Hilbert space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8 qubits, dimension 256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Hamiltonian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Frozen 11-term random-Pauli model inherited from Phase 3.1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Seeds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25042000-25042011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Eigenspaces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Complete degeneracy-closed P subspaces; 64 groups of dimension 4 for reference seed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Perturbation families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Dephasing Z/ZZ and transverse X/XX; five perturbation terms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Regularization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g_eta(x)=x/(x^2+eta^2), eta=1e-3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Primary response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Frozen Phase-3.1 hotspot prominence</w:t>
            </w:r>
          </w:p>
        </w:tc>
      </w:tr>
    </w:tbl>
    <w:p>
      <w:pPr>
        <w:pStyle w:val="Heading1"/>
        <w:spacing w:after="30" w:before="0"/>
      </w:pPr>
      <w:r>
        <w:t>2. Global layer: the ±E structure is explained</w:t>
      </w:r>
    </w:p>
    <w:p>
      <w:pPr>
        <w:spacing w:after="30" w:before="0"/>
        <w:jc w:val="center"/>
      </w:pPr>
      <w:r>
        <w:t>The decisive Phase 3.2 symmetry result is the existence, for the reference frozen Hamiltonian, of a Pauli-string generator Γ = XIXXIIXX with</w:t>
      </w:r>
    </w:p>
    <w:p>
      <w:pPr>
        <w:spacing w:after="30" w:before="0"/>
        <w:jc w:val="center"/>
      </w:pPr>
      <w:r>
        <w:rPr>
          <w:b/>
          <w:sz w:val="26"/>
        </w:rPr>
        <w:t>Γ H Γ† = -H</w:t>
      </w:r>
    </w:p>
    <w:p>
      <w:pPr>
        <w:spacing w:after="30" w:before="0"/>
        <w:jc w:val="center"/>
      </w:pPr>
      <w:r>
        <w:t>and exact perturbation covariance</w:t>
      </w:r>
    </w:p>
    <w:p>
      <w:pPr>
        <w:spacing w:after="30" w:before="0"/>
        <w:jc w:val="center"/>
      </w:pPr>
      <w:r>
        <w:rPr>
          <w:b/>
        </w:rPr>
        <w:t>Γ V Γ† = s V,   s = -1 (dephasing), +1 (transverse)</w:t>
      </w:r>
    </w:p>
    <w:p>
      <w:pPr>
        <w:spacing w:after="30" w:before="0"/>
      </w:pPr>
      <w:r>
        <w:t>This induces the projector mapping P_-E = Γ P_E Γ† and Q_-E = Γ Q_E Γ†. For the regularized second-order effective operator</w:t>
      </w:r>
    </w:p>
    <w:p>
      <w:pPr>
        <w:spacing w:after="30" w:before="0"/>
        <w:jc w:val="center"/>
      </w:pPr>
      <w:r>
        <w:rPr>
          <w:b/>
        </w:rPr>
        <w:t>Σ_E = P V Q g_eta(E - QHQ) Q V P</w:t>
      </w:r>
    </w:p>
    <w:p>
      <w:pPr>
        <w:spacing w:after="30" w:before="0"/>
      </w:pPr>
      <w:r>
        <w:t>the sign is fixed, not ambiguous:</w:t>
      </w:r>
    </w:p>
    <w:p>
      <w:pPr>
        <w:spacing w:after="30" w:before="0"/>
        <w:jc w:val="center"/>
      </w:pPr>
      <w:r>
        <w:rPr>
          <w:b/>
          <w:sz w:val="24"/>
        </w:rPr>
        <w:t>Σ_-E = - Γ Σ_E Γ†</w:t>
      </w:r>
    </w:p>
    <w:p>
      <w:pPr>
        <w:spacing w:after="30" w:before="0"/>
      </w:pPr>
      <w:r>
        <w:t>The v32.2 residuals for the required mapping chain were at approximately 10^-12 or below, while the deliberately wrong plus-sign test produced residual 2.0. Therefore the equal Frobenius norms at ±E are a consequence of algebraic covariance rather than an empirical coincidence.</w:t>
      </w:r>
    </w:p>
    <w:p>
      <w:pPr>
        <w:pStyle w:val="Heading1"/>
        <w:spacing w:after="30" w:before="0"/>
      </w:pPr>
      <w:r>
        <w:t>3. What v32.3-v32.7 ruled in and ruled 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Version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Test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Key result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Interpretation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v32.3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Reference-seed local mechanism scan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Σ-based descriptors correlated with prominence; transverse signal appeared strong.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Promising but seed-specific.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v32.4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Across-seed confirmation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Transverse real_sigma median Spearman +0.4222; real_sigma/gap only +0.1882.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Σ contains information, but no single scalar law.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v32.5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Low-dimensional multivariate LOSO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Transverse pooled LOSO rho +0.2991, R² +0.0693; positive fold rho in 12/12 seeds.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Reproducible ranking signal, weak amplitude prediction.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v32.6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Weighted Q-spectrum descriptors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Transverse pooled LOSO rho +0.2571, R² -0.0578.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Simple Q-density/gap descriptors do not supply the missing variable.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v32.7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Internal matrix shape of Σ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Transverse pooled LOSO rho +0.2846, R² -0.2352.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Static matrix anisotropy/rank is not sufficient.</w:t>
            </w:r>
          </w:p>
        </w:tc>
      </w:tr>
    </w:tbl>
    <w:p>
      <w:pPr>
        <w:pStyle w:val="Heading1"/>
        <w:spacing w:after="30" w:before="0"/>
      </w:pPr>
      <w:r>
        <w:t>4. v32.8-v32.9: interference/coherence emerges</w:t>
      </w:r>
    </w:p>
    <w:p>
      <w:pPr>
        <w:spacing w:after="30" w:before="0"/>
      </w:pPr>
      <w:r>
        <w:t>The key conceptual shift was to stop treating Σ only as a final operator and instead decompose it into individual virtual Q-state contributions:</w:t>
      </w:r>
    </w:p>
    <w:p>
      <w:pPr>
        <w:spacing w:after="30" w:before="0"/>
        <w:jc w:val="center"/>
      </w:pPr>
      <w:r>
        <w:rPr>
          <w:b/>
        </w:rPr>
        <w:t>Σ_E = Σ_q T_q,   T_q = g_eta(E-E_q) P V |q&gt;&lt;q| V P</w:t>
      </w:r>
    </w:p>
    <w:p>
      <w:pPr>
        <w:spacing w:after="30" w:before="0"/>
      </w:pPr>
      <w:r>
        <w:t>This permits a dimensionless coherence factor</w:t>
      </w:r>
    </w:p>
    <w:p>
      <w:pPr>
        <w:spacing w:after="30" w:before="0"/>
        <w:jc w:val="center"/>
      </w:pPr>
      <w:r>
        <w:rPr>
          <w:b/>
          <w:sz w:val="26"/>
        </w:rPr>
        <w:t>C_E = ||Σ_q T_q||_F / Σ_q ||T_q||_F</w:t>
      </w:r>
    </w:p>
    <w:p>
      <w:pPr>
        <w:spacing w:after="30" w:before="0"/>
      </w:pPr>
      <w:r>
        <w:t>C_E is high when the virtual pathways reinforce one another and low when they cancel strongly. v32.8 improved the cross-seed model for both families, and v32.9 then removed the multivariate fit and tested C_E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Family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Metric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Median Spearman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Consistency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Dephasing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C_E seed-median rho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+0.3088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11/12 positive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Transverse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C_E seed-median rho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+0.5423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11/12 positive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Transverse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positive/negative balance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+0.4987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12/12 positive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Transverse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scalar cancellation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-0.4987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>
              <w:rPr>
                <w:sz w:val="15"/>
              </w:rPr>
              <w:t>12/12 negative</w:t>
            </w:r>
          </w:p>
        </w:tc>
      </w:tr>
    </w:tbl>
    <w:p>
      <w:pPr>
        <w:pStyle w:val="Heading1"/>
        <w:spacing w:after="30" w:before="0"/>
      </w:pPr>
      <w:r>
        <w:t>5. v32.10-v32.11: intervention against a norm-preserving null</w:t>
      </w:r>
    </w:p>
    <w:p>
      <w:pPr>
        <w:spacing w:after="30" w:before="0"/>
      </w:pPr>
      <w:r>
        <w:t>To test whether the association was genuinely about alignment/cancellation rather than the magnitudes of the individual pathways, the signs of the T_q contributions were randomized independently while every individual ||T_q||_F was kept unchanged. This destroys constructive/destructive alignment but preserves pathway strength.</w:t>
      </w:r>
    </w:p>
    <w:p>
      <w:pPr>
        <w:spacing w:after="30" w:before="0"/>
      </w:pPr>
      <w:r>
        <w:t>The strict v32.11 confirmation used 1000 norm-preserving sign randomizations per pair and seed-level permutation tests. Its primary endpoint was the coherence excess</w:t>
      </w:r>
    </w:p>
    <w:p>
      <w:pPr>
        <w:spacing w:after="30" w:before="0"/>
        <w:jc w:val="center"/>
      </w:pPr>
      <w:r>
        <w:rPr>
          <w:b/>
          <w:sz w:val="26"/>
        </w:rPr>
        <w:t>H_E = C_E - &lt;C_E&gt;_null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Family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Median seed rho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Positive seeds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Sign-test p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Pooled rho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Gate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Dephasing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+0.3292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11/12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0.00317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+0.3039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5/5 - STRONG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Transverse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+0.3713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10/12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0.01929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+0.3068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5/5 - STRONG</w:t>
            </w:r>
          </w:p>
        </w:tc>
      </w:tr>
    </w:tbl>
    <w:p>
      <w:pPr>
        <w:spacing w:after="30" w:before="0"/>
      </w:pPr>
      <w:r>
        <w:t>Interpretation: after the individual pathway norms are held fixed, the excess coherence above the randomized alignment null still tracks hotspot prominence. This is stronger evidence than a static correlation, although it remains a computational intervention rather than an analytic derivation.</w:t>
      </w:r>
    </w:p>
    <w:p>
      <w:pPr>
        <w:pStyle w:val="Heading1"/>
        <w:spacing w:after="30" w:before="0"/>
      </w:pPr>
      <w:r>
        <w:t>6. v32.12: provisional local hotspot law</w:t>
      </w:r>
    </w:p>
    <w:p>
      <w:pPr>
        <w:spacing w:after="30" w:before="0"/>
      </w:pPr>
      <w:r>
        <w:t>Phase 3.2 can now state a compact empirical local-law parameter:</w:t>
      </w:r>
    </w:p>
    <w:p>
      <w:pPr>
        <w:spacing w:after="30" w:before="0"/>
        <w:jc w:val="center"/>
      </w:pPr>
      <w:r>
        <w:rPr>
          <w:b/>
          <w:sz w:val="28"/>
        </w:rPr>
        <w:t>H_E = C_E - &lt;C_E&gt;_null</w:t>
      </w:r>
    </w:p>
    <w:p>
      <w:pPr>
        <w:spacing w:after="30" w:before="0"/>
        <w:jc w:val="center"/>
      </w:pPr>
      <w:r>
        <w:rPr>
          <w:b/>
          <w:sz w:val="24"/>
        </w:rPr>
        <w:t>C_E = ||Σ_q T_q||_F / Σ_q ||T_q||_F</w:t>
      </w:r>
    </w:p>
    <w:p>
      <w:pPr>
        <w:spacing w:after="30" w:before="0"/>
      </w:pPr>
      <w:r>
        <w:t>The tested statement is monotonic rather than an exact amplitude equation:</w:t>
      </w:r>
    </w:p>
    <w:p>
      <w:pPr>
        <w:spacing w:after="30" w:before="0"/>
        <w:jc w:val="center"/>
      </w:pPr>
      <w:r>
        <w:rPr>
          <w:b/>
        </w:rPr>
        <w:t>hotspot prominence(E) increases statistically as H_E increases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Family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Median seed rho(H_E)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Positive seeds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Sign-test p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Pooled rho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Median H_E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Dephasing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+0.3294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12/12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0.00024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+0.3029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+0.01710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Transverse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+0.3630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10/12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0.01929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+0.3054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>
              <w:rPr>
                <w:sz w:val="15"/>
              </w:rPr>
              <w:t>+0.01974</w:t>
            </w:r>
          </w:p>
        </w:tc>
      </w:tr>
    </w:tbl>
    <w:p>
      <w:pPr>
        <w:spacing w:after="30" w:before="0"/>
      </w:pPr>
      <w:r>
        <w:t>The strict TOP/MIDDLE/BOTTOM ordering is not universal: it is monotone in 5/12 dephasing seeds and 4/12 transverse seeds. Therefore H_E is currently a statistically reproducible ranking parameter, not a deterministic per-hotspot law.</w:t>
      </w:r>
    </w:p>
    <w:p>
      <w:pPr>
        <w:pStyle w:val="Heading1"/>
        <w:spacing w:after="30" w:before="0"/>
      </w:pPr>
      <w:r>
        <w:t>7. Current two-layer Phase 3.2 picture</w:t>
      </w:r>
    </w:p>
    <w:p>
      <w:pPr>
        <w:spacing w:after="30" w:before="0"/>
        <w:jc w:val="center"/>
      </w:pPr>
      <w:r>
        <w:rPr>
          <w:b/>
        </w:rPr>
        <w:t>GLOBAL LAYER</w:t>
      </w:r>
    </w:p>
    <w:p>
      <w:pPr>
        <w:spacing w:after="30" w:before="0"/>
        <w:jc w:val="center"/>
      </w:pPr>
      <w:r>
        <w:rPr>
          <w:b/>
        </w:rPr>
        <w:t>Γ H Γ† = -H  ⇒  E ↔ -E  ⇒  P_-E = ΓP_EΓ†  and  Σ_-E = -ΓΣ_EΓ†</w:t>
      </w:r>
    </w:p>
    <w:p>
      <w:pPr>
        <w:spacing w:after="30" w:before="0"/>
        <w:jc w:val="center"/>
      </w:pPr>
      <w:r>
        <w:rPr>
          <w:b/>
        </w:rPr>
        <w:t>LOCAL LAYER</w:t>
      </w:r>
    </w:p>
    <w:p>
      <w:pPr>
        <w:spacing w:after="30" w:before="0"/>
        <w:jc w:val="center"/>
      </w:pPr>
      <w:r>
        <w:rPr>
          <w:b/>
        </w:rPr>
        <w:t>H_E = C_E - &lt;C_E&gt;_null,   prominence ↑ statistically with H_E ↑</w:t>
      </w:r>
    </w:p>
    <w:p>
      <w:pPr>
        <w:spacing w:after="30" w:before="0"/>
      </w:pPr>
      <w:r>
        <w:t>The first layer explains why ±E partners are organized symmetrically. The second layer is the current mechanism candidate for why some of those symmetry-related pairs become stronger hotspots than others.</w:t>
      </w:r>
    </w:p>
    <w:p>
      <w:pPr>
        <w:pStyle w:val="Heading1"/>
        <w:spacing w:after="30" w:before="0"/>
      </w:pPr>
      <w:r>
        <w:t>8. Established, supported, and still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Statement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Established for reference symmetry chain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Exact Γ anticommutation; ±E projector mapping; fixed minus sign for Σ covariance; Frobenius-norm symmetry follows algebraically.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Strongly supported across 12 seeds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Interference/coherence descriptors track prominence; norm-preserving randomization leaves a significant coherence-excess signal; H_E passes the current cross-seed gates.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Not established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A closed analytic equation predicting the numerical prominence amplitude; universal strict TOP/MID/BOTTOM ordering; proof that the same explicit Γ string applies unchanged to every seed.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Next scientific target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5"/>
              </w:rPr>
              <w:t>Derive or constrain the mapping prominence = f(H_E, …) from operator perturbation structure, or identify the minimal additional variable needed for amplitude prediction.</w:t>
            </w:r>
          </w:p>
        </w:tc>
      </w:tr>
    </w:tbl>
    <w:p>
      <w:pPr>
        <w:pStyle w:val="Heading1"/>
        <w:spacing w:after="30" w:before="0"/>
      </w:pPr>
      <w:r>
        <w:t>9. Checkpoint conclusion</w:t>
      </w:r>
    </w:p>
    <w:p>
      <w:pPr>
        <w:spacing w:after="30" w:before="0"/>
      </w:pPr>
      <w:r>
        <w:t>Phase 3.2 has moved from an empirical observation of ±E organization to a coherent two-layer mechanism. The global layer is algebraic: an anticommuting symmetry organizes the spectrum and the effective second-order operator. The local layer is now represented by excess pathway coherence H_E: hotspots are statistically stronger where the actual virtual Q pathways add more coherently than in a norm-preserving randomized reference. This is sufficiently stable to freeze as a checkpoint, but not yet sufficient to claim a complete analytic hotspot law.</w:t>
      </w:r>
    </w:p>
    <w:sectPr w:rsidR="00FC693F" w:rsidRPr="0006063C" w:rsidSect="00034616">
      <w:footerReference w:type="default" r:id="rId9"/>
      <w:pgSz w:w="12240" w:h="15840"/>
      <w:pgMar w:top="691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Soft Spaces Phase 3.2 - Working Checkpoint - 10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