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 Spaces in Small Quantum Hilbert Spaces</w:t>
      </w:r>
    </w:p>
    <w:p>
      <w:pPr>
        <w:jc w:val="center"/>
      </w:pPr>
      <w:r>
        <w:rPr>
          <w:i/>
          <w:sz w:val="26"/>
        </w:rPr>
        <w:t>Discovery, Formalization, Transfer, Application Tests, and Scientific Limits</w:t>
      </w:r>
    </w:p>
    <w:p>
      <w:pPr>
        <w:jc w:val="center"/>
      </w:pPr>
      <w:r>
        <w:rPr>
          <w:sz w:val="20"/>
        </w:rPr>
        <w:t>Soft Spaces Research Project - Closing Preprint Series</w:t>
      </w:r>
    </w:p>
    <w:p>
      <w:pPr>
        <w:jc w:val="center"/>
      </w:pPr>
      <w:r>
        <w:rPr>
          <w:sz w:val="20"/>
        </w:rPr>
        <w:t>September 2026</w:t>
      </w:r>
    </w:p>
    <w:p/>
    <w:tbl>
      <w:tblPr>
        <w:tblW w:type="auto" w:w="0"/>
        <w:jc w:val="center"/>
        <w:tblLook w:firstColumn="1" w:firstRow="1" w:lastColumn="0" w:lastRow="0" w:noHBand="0" w:noVBand="1" w:val="04A0"/>
      </w:tblPr>
      <w:tblGrid>
        <w:gridCol w:w="9878"/>
      </w:tblGrid>
      <w:tr>
        <w:tc>
          <w:tcPr>
            <w:tcW w:type="dxa" w:w="9878"/>
            <w:shd w:fill="EEF2F6"/>
          </w:tcPr>
          <w:p>
            <w:r>
              <w:rPr>
                <w:sz w:val="19"/>
              </w:rPr>
              <w:t>Scientific status: archival closure draft. Positive, null and negative results are reported together. No claim of quantum advantage, deployment readiness, or commercial utility is made.</w:t>
            </w:r>
          </w:p>
        </w:tc>
      </w:tr>
    </w:tbl>
    <w:p>
      <w:r>
        <w:br w:type="page"/>
      </w:r>
    </w:p>
    <w:p>
      <w:pPr>
        <w:pStyle w:val="Heading1"/>
      </w:pPr>
      <w:r>
        <w:t>Abstract</w:t>
      </w:r>
    </w:p>
    <w:p>
      <w:pPr>
        <w:spacing w:after="180"/>
      </w:pPr>
      <w:r>
        <w:t>This paper provides the integrative scientific closure of the Soft Spaces research program. The program began with the observation of reproducible, localized REAL-versus-NULL differences in perturbative response within low-qubit Hilbert spaces and developed these observations into a frozen matrix-cancellation and local-prominence framework. Subsequent phases tested robustness, hardware-oriented proxies, molecular transfer, comparison with Epstein-Nesbet second-order perturbation theory (EN2), matched-budget determinant selection, held-out perturbative prediction, independent LiH replication, and quantum-sensing-like susceptibility. The central positive result survives: a reproducible perturbative eigenstructure can be identified under controlled REAL-versus-NULL comparisons. The central application hypothesis does not survive: across the tested molecular and sensing tasks, no robust, transferable computational or predictive advantage over EN2 was demonstrated. The final contribution is therefore twofold: identification and characterization of a reproducible structure, and a systematic empirical map of the limits of its downstream utility.</w:t>
      </w:r>
    </w:p>
    <w:p>
      <w:r>
        <w:rPr>
          <w:b/>
        </w:rPr>
        <w:t xml:space="preserve">Keywords: </w:t>
      </w:r>
      <w:r>
        <w:t>quantum Hilbert space, perturbation theory, eigenstate subspaces, REAL versus NULL, EN2, negative results, reproducibility</w:t>
      </w:r>
    </w:p>
    <w:p>
      <w:pPr>
        <w:pStyle w:val="Heading1"/>
      </w:pPr>
      <w:r>
        <w:t>1. Research question and scientific arc</w:t>
      </w:r>
    </w:p>
    <w:p>
      <w:r>
        <w:t>The project asked a deceptively simple question: can small quantum Hilbert spaces contain localized regions whose perturbative response is systematically more structured than an isospectral random-eigenbasis control, and if so, can that structure be converted into predictive or computational value? The work ultimately separated these into two different questions. The first concerns existence and reproducibility of structure. The second concerns utility. The closing evidence supports the first more strongly than the second.</w:t>
      </w:r>
    </w:p>
    <w:p>
      <w:pPr>
        <w:pStyle w:val="ListNumber"/>
      </w:pPr>
      <w:r>
        <w:t>Phase 2: detect and reproduce localized REAL-versus-NULL perturbative structure in low-qubit spaces.</w:t>
      </w:r>
    </w:p>
    <w:p>
      <w:pPr>
        <w:pStyle w:val="ListNumber"/>
      </w:pPr>
      <w:r>
        <w:t>Phase 3: freeze the mathematical mechanism, robustness criteria, controls, and recurrence logic sufficiently for closure.</w:t>
      </w:r>
    </w:p>
    <w:p>
      <w:pPr>
        <w:pStyle w:val="ListNumber"/>
      </w:pPr>
      <w:r>
        <w:t>Phase 4: test application-facing and hardware-proxy robustness, including noisy-circuit behavior.</w:t>
      </w:r>
    </w:p>
    <w:p>
      <w:pPr>
        <w:pStyle w:val="ListNumber"/>
      </w:pPr>
      <w:r>
        <w:t>Phase 5: transfer the mechanism to molecular Hamiltonians and compare downstream value against chemistry-informed baselines, especially EN2.</w:t>
      </w:r>
    </w:p>
    <w:p>
      <w:pPr>
        <w:pStyle w:val="ListNumber"/>
      </w:pPr>
      <w:r>
        <w:t>Phase 6: test one remaining natural application class - sensing/metrology-like spectral susceptibility - under preregistered criteria and stop if the signal fails to generalize.</w:t>
      </w:r>
    </w:p>
    <w:p>
      <w:pPr>
        <w:pStyle w:val="Heading1"/>
      </w:pPr>
      <w:r>
        <w:t>2. What a Soft Space means in this project</w:t>
      </w:r>
    </w:p>
    <w:p>
      <w:r>
        <w:t>The operational definition is not a vague region of "high quantum activity." It is a local eigenstate neighborhood in which a frozen perturbative coherence/cancellation statistic differs systematically between the REAL eigensystem and an isospectral NULL control, with robustness across perturbation families and seeds and with local prominence relative to nearby candidate pairs.</w:t>
      </w:r>
    </w:p>
    <w:p>
      <w:r>
        <w:t>The core statistic is based on a normalized Frobenius-norm ratio, here denoted C_matrix, constructed from regularized perturbative contributions coupling a two-dimensional adjacent-eigenstate subspace P to its complement Q. Large values correspond to stronger coherent reinforcement and less destructive cancellation among the contributions. The primary REAL-versus-NULL object is DeltaC. Robustness is enforced across dephasing-type and transverse-type perturbations, and a local prominence score asks whether a candidate stands out relative to nearby candidates rather than merely being globally shifted.</w:t>
      </w:r>
    </w:p>
    <w:p>
      <w:pPr>
        <w:pStyle w:val="Heading1"/>
      </w:pPr>
      <w:r>
        <w:t>3. Strongest positive evidence</w:t>
      </w:r>
    </w:p>
    <w:p>
      <w:pPr>
        <w:pStyle w:val="ListBullet"/>
      </w:pPr>
      <w:r>
        <w:t>Repeated low-qubit REAL-versus-NULL experiments found localized perturbative structure under fixed seeds and frozen controls.</w:t>
      </w:r>
    </w:p>
    <w:p>
      <w:pPr>
        <w:pStyle w:val="ListBullet"/>
      </w:pPr>
      <w:r>
        <w:t>Phase 3 treated exact identities separately from empirical/statistical tendencies, reducing the risk of presenting fitted regularities as mathematical necessities.</w:t>
      </w:r>
    </w:p>
    <w:p>
      <w:pPr>
        <w:pStyle w:val="ListBullet"/>
      </w:pPr>
      <w:r>
        <w:t>Hardware proxy: largest tested N2q depth with PASS for all four Precision@8 gates = 400; example seed 25043000 at N2q=20: REAL P@K 0.9825 vs NULL 0.7718, delta +0.2108; NDCG delta +0.0185.</w:t>
      </w:r>
    </w:p>
    <w:p>
      <w:pPr>
        <w:pStyle w:val="ListBullet"/>
      </w:pPr>
      <w:r>
        <w:t>H4/STO-3G dual-gate molecular transfer: 182 candidate-geometry rows, 23 DUAL-PASS rows, at least one DUAL PASS in 7/8 geometries. DUAL PASS required both prominence-positive rate &gt;=0.75 and robust DeltaC-positive rate &gt;=0.75 across 12 seeds.</w:t>
      </w:r>
    </w:p>
    <w:p>
      <w:pPr>
        <w:pStyle w:val="ListBullet"/>
      </w:pPr>
      <w:r>
        <w:t>The molecular dual-gate result is important because it shows that the Phase-2/3-style structure can be reconstructed in a chemically generated Hamiltonian rather than only in the earlier synthetic setting.</w:t>
      </w:r>
    </w:p>
    <w:p>
      <w:pPr>
        <w:pStyle w:val="Heading1"/>
      </w:pPr>
      <w:r>
        <w:t>4. The decisive application tests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vAlign w:val="center"/>
          </w:tcPr>
          <w:p>
            <w:r>
              <w:rPr>
                <w:b/>
              </w:rPr>
              <w:t>Test</w:t>
            </w:r>
          </w:p>
        </w:tc>
        <w:tc>
          <w:tcPr>
            <w:tcW w:type="dxa" w:w="3293"/>
            <w:shd w:fill="D9E2F3"/>
            <w:vAlign w:val="center"/>
          </w:tcPr>
          <w:p>
            <w:r>
              <w:rPr>
                <w:b/>
              </w:rPr>
              <w:t>Soft-Spaces outcome</w:t>
            </w:r>
          </w:p>
        </w:tc>
        <w:tc>
          <w:tcPr>
            <w:tcW w:type="dxa" w:w="3293"/>
            <w:shd w:fill="D9E2F3"/>
            <w:vAlign w:val="center"/>
          </w:tcPr>
          <w:p>
            <w:r>
              <w:rPr>
                <w:b/>
              </w:rPr>
              <w:t>Interpretation</w:t>
            </w:r>
          </w:p>
        </w:tc>
      </w:tr>
      <w:tr>
        <w:trPr>
          <w:cantSplit/>
        </w:trPr>
        <w:tc>
          <w:tcPr>
            <w:tcW w:type="dxa" w:w="3293"/>
          </w:tcPr>
          <w:p>
            <w:r>
              <w:t>Current molecular REAL proxy vs EN2</w:t>
            </w:r>
          </w:p>
        </w:tc>
        <w:tc>
          <w:tcPr>
            <w:tcW w:type="dxa" w:w="3293"/>
          </w:tcPr>
          <w:p>
            <w:r>
              <w:t>Rankings were nearly indistinguishable across H4 and LiH screening.</w:t>
            </w:r>
          </w:p>
        </w:tc>
        <w:tc>
          <w:tcPr>
            <w:tcW w:type="dxa" w:w="3293"/>
          </w:tcPr>
          <w:p>
            <w:r>
              <w:t>The proxy is essentially EN2-like and cannot be used as evidence for a distinct Soft-Spaces advantage.</w:t>
            </w:r>
          </w:p>
        </w:tc>
      </w:tr>
      <w:tr>
        <w:trPr>
          <w:cantSplit/>
        </w:trPr>
        <w:tc>
          <w:tcPr>
            <w:tcW w:type="dxa" w:w="3293"/>
          </w:tcPr>
          <w:p>
            <w:r>
              <w:t>v50_7c original mechanism transfer</w:t>
            </w:r>
          </w:p>
        </w:tc>
        <w:tc>
          <w:tcPr>
            <w:tcW w:type="dxa" w:w="3293"/>
          </w:tcPr>
          <w:p>
            <w:r>
              <w:t>23 DUAL-PASS candidate-geometries; 7/8 H4 geometries had &gt;=1 pass.</w:t>
            </w:r>
          </w:p>
        </w:tc>
        <w:tc>
          <w:tcPr>
            <w:tcW w:type="dxa" w:w="3293"/>
          </w:tcPr>
          <w:p>
            <w:r>
              <w:t>The perturbative eigenstructure transfers to the molecule.</w:t>
            </w:r>
          </w:p>
        </w:tc>
      </w:tr>
      <w:tr>
        <w:trPr>
          <w:cantSplit/>
        </w:trPr>
        <w:tc>
          <w:tcPr>
            <w:tcW w:type="dxa" w:w="3293"/>
          </w:tcPr>
          <w:p>
            <w:r>
              <w:t>v50_9 matched-budget selection</w:t>
            </w:r>
          </w:p>
        </w:tc>
        <w:tc>
          <w:tcPr>
            <w:tcW w:type="dxa" w:w="3293"/>
          </w:tcPr>
          <w:p>
            <w:r>
              <w:t>0/40 Soft-Spaces wins; EN2 40/40.</w:t>
            </w:r>
          </w:p>
        </w:tc>
        <w:tc>
          <w:tcPr>
            <w:tcW w:type="dxa" w:w="3293"/>
          </w:tcPr>
          <w:p>
            <w:r>
              <w:t>No ground-state determinant-selection advantage.</w:t>
            </w:r>
          </w:p>
        </w:tc>
      </w:tr>
      <w:tr>
        <w:trPr>
          <w:cantSplit/>
        </w:trPr>
        <w:tc>
          <w:tcPr>
            <w:tcW w:type="dxa" w:w="3293"/>
          </w:tcPr>
          <w:p>
            <w:r>
              <w:t>v50_10 H4 predictive gauntlet</w:t>
            </w:r>
          </w:p>
        </w:tc>
        <w:tc>
          <w:tcPr>
            <w:tcW w:type="dxa" w:w="3293"/>
          </w:tcPr>
          <w:p>
            <w:r>
              <w:t>Soft Spaces exceeded EN2 on all four pooled AUC comparisons but missed the preregistered threshold.</w:t>
            </w:r>
          </w:p>
        </w:tc>
        <w:tc>
          <w:tcPr>
            <w:tcW w:type="dxa" w:w="3293"/>
          </w:tcPr>
          <w:p>
            <w:r>
              <w:t>Interesting H4 tendency, insufficient confirmatory evidence.</w:t>
            </w:r>
          </w:p>
        </w:tc>
      </w:tr>
      <w:tr>
        <w:trPr>
          <w:cantSplit/>
        </w:trPr>
        <w:tc>
          <w:tcPr>
            <w:tcW w:type="dxa" w:w="3293"/>
          </w:tcPr>
          <w:p>
            <w:r>
              <w:t>v50_11 LiH replication</w:t>
            </w:r>
          </w:p>
        </w:tc>
        <w:tc>
          <w:tcPr>
            <w:tcW w:type="dxa" w:w="3293"/>
          </w:tcPr>
          <w:p>
            <w:r>
              <w:t>No stage passed; the H4 direction did not replicate.</w:t>
            </w:r>
          </w:p>
        </w:tc>
        <w:tc>
          <w:tcPr>
            <w:tcW w:type="dxa" w:w="3293"/>
          </w:tcPr>
          <w:p>
            <w:r>
              <w:t>The apparent H4 predictive tendency is not robustly transferable.</w:t>
            </w:r>
          </w:p>
        </w:tc>
      </w:tr>
      <w:tr>
        <w:trPr>
          <w:cantSplit/>
        </w:trPr>
        <w:tc>
          <w:tcPr>
            <w:tcW w:type="dxa" w:w="3293"/>
          </w:tcPr>
          <w:p>
            <w:r>
              <w:t>v60_1 sensing gauntlet</w:t>
            </w:r>
          </w:p>
        </w:tc>
        <w:tc>
          <w:tcPr>
            <w:tcW w:type="dxa" w:w="3293"/>
          </w:tcPr>
          <w:p>
            <w:r>
              <w:t>No sensing metric passed; pooled AUCs near chance to modest.</w:t>
            </w:r>
          </w:p>
        </w:tc>
        <w:tc>
          <w:tcPr>
            <w:tcW w:type="dxa" w:w="3293"/>
          </w:tcPr>
          <w:p>
            <w:r>
              <w:t>Quantum-sensing-like predictive utility not demonstrated.</w:t>
            </w:r>
          </w:p>
        </w:tc>
      </w:tr>
    </w:tbl>
    <w:p/>
    <w:p>
      <w:pPr>
        <w:pStyle w:val="Heading1"/>
      </w:pPr>
      <w:r>
        <w:t>5. Why the negative results matter</w:t>
      </w:r>
    </w:p>
    <w:p>
      <w:r>
        <w:t>The project would be scientifically weaker if it stopped after the first positive hotspot maps. A structural phenomenon is not automatically an algorithm. The later phases explicitly attempted to convert the structure into an operational advantage. The failure to do so under fixed criteria is therefore not ancillary; it identifies the boundary of the result.</w:t>
      </w:r>
    </w:p>
    <w:p>
      <w:r>
        <w:t>The matched-budget result is especially decisive for one proposed use case. EN2 won every one of the 40 energy-error comparisons in v50_9, and the median Soft-Spaces-minus-EN2 error was positive. Because the Soft-Spaces determinant mapping in that experiment used exact eigenvectors, it was already an information-content or oracle test. Failure there argues against that specific mapping even before implementation cost is considered.</w:t>
      </w:r>
    </w:p>
    <w:p>
      <w:pPr>
        <w:pStyle w:val="Heading1"/>
      </w:pPr>
      <w:r>
        <w:t>6. Interpretation: what survived</w:t>
      </w:r>
    </w:p>
    <w:p>
      <w:pPr>
        <w:pStyle w:val="ListBullet"/>
      </w:pPr>
      <w:r>
        <w:t>A reproducible perturbative eigenstructure signal under REAL-versus-NULL controls.</w:t>
      </w:r>
    </w:p>
    <w:p>
      <w:pPr>
        <w:pStyle w:val="ListBullet"/>
      </w:pPr>
      <w:r>
        <w:t>A concrete matrix-cancellation/prominence methodology for characterizing local eigenstate neighborhoods.</w:t>
      </w:r>
    </w:p>
    <w:p>
      <w:pPr>
        <w:pStyle w:val="ListBullet"/>
      </w:pPr>
      <w:r>
        <w:t>Evidence that the original mechanism is not identical to the simple molecular EN2 proxy.</w:t>
      </w:r>
    </w:p>
    <w:p>
      <w:pPr>
        <w:pStyle w:val="ListBullet"/>
      </w:pPr>
      <w:r>
        <w:t>Evidence that structural reproducibility does not imply practical utility.</w:t>
      </w:r>
    </w:p>
    <w:p>
      <w:pPr>
        <w:pStyle w:val="ListBullet"/>
      </w:pPr>
      <w:r>
        <w:t>A reusable scientific workflow: freeze definitions, compare to matched controls, preregister gates, test transfer, and retain negative outcomes.</w:t>
      </w:r>
    </w:p>
    <w:p>
      <w:pPr>
        <w:pStyle w:val="Heading1"/>
      </w:pPr>
      <w:r>
        <w:t>7. Interpretation: what did not survive</w:t>
      </w:r>
    </w:p>
    <w:p>
      <w:pPr>
        <w:pStyle w:val="ListBullet"/>
      </w:pPr>
      <w:r>
        <w:t>A claim of general computational advantage.</w:t>
      </w:r>
    </w:p>
    <w:p>
      <w:pPr>
        <w:pStyle w:val="ListBullet"/>
      </w:pPr>
      <w:r>
        <w:t>A claim of superior molecular determinant or subspace selection relative to EN2.</w:t>
      </w:r>
    </w:p>
    <w:p>
      <w:pPr>
        <w:pStyle w:val="ListBullet"/>
      </w:pPr>
      <w:r>
        <w:t>A claim of transferable held-out perturbative prediction from H4 to LiH.</w:t>
      </w:r>
    </w:p>
    <w:p>
      <w:pPr>
        <w:pStyle w:val="ListBullet"/>
      </w:pPr>
      <w:r>
        <w:t>A claim of demonstrated sensing or metrological advantage.</w:t>
      </w:r>
    </w:p>
    <w:p>
      <w:pPr>
        <w:pStyle w:val="ListBullet"/>
      </w:pPr>
      <w:r>
        <w:t>A credible present-day business case based on the evidence generated in this project.</w:t>
      </w:r>
    </w:p>
    <w:p>
      <w:pPr>
        <w:pStyle w:val="Heading1"/>
      </w:pPr>
      <w:r>
        <w:t>8. Scientific status</w:t>
      </w:r>
    </w:p>
    <w:p>
      <w:r>
        <w:rPr>
          <w:b/>
        </w:rPr>
        <w:t xml:space="preserve">Final status statement. </w:t>
      </w:r>
      <w:r>
        <w:t>Soft Spaces appears to describe a reproducible perturbative eigenstructure in small quantum Hilbert spaces. The structure survives controlled REAL-versus-NULL tests and can be reconstructed in molecular eigensystems, but the tested structure does not demonstrate robust, transferable computational or sensing utility beyond EN2 or matched baselines. The principal scientific contribution is therefore the structure itself and the empirical delineation of its limits.</w:t>
      </w:r>
    </w:p>
    <w:p>
      <w:pPr>
        <w:pStyle w:val="Heading1"/>
      </w:pPr>
      <w:r>
        <w:t>Cross-cutting limitations</w:t>
      </w:r>
    </w:p>
    <w:p>
      <w:pPr>
        <w:pStyle w:val="ListBullet"/>
      </w:pPr>
      <w:r>
        <w:t>The molecular benchmarks are small and use STO-3G; they do not establish transfer to chemically realistic basis sets or large active spaces.</w:t>
      </w:r>
    </w:p>
    <w:p>
      <w:pPr>
        <w:pStyle w:val="ListBullet"/>
      </w:pPr>
      <w:r>
        <w:t>The fixed-particle projection removes many nominal transverse Pauli terms. In the H4 molecular setting, 9 of 15 projected transverse terms were zero; in the Phase 6 LiH runs, 13 projected transverse terms were zero. This is a structural adaptation, not a cosmetic implementation detail.</w:t>
      </w:r>
    </w:p>
    <w:p>
      <w:pPr>
        <w:pStyle w:val="ListBullet"/>
      </w:pPr>
      <w:r>
        <w:t>The EN2-to-eigenpair mapping is an explicit bridge, not a canonical EN2 observable. It is useful as a comparator but should not be presented as a standard definition of EN2 hotspot prediction.</w:t>
      </w:r>
    </w:p>
    <w:p>
      <w:pPr>
        <w:pStyle w:val="ListBullet"/>
      </w:pPr>
      <w:r>
        <w:t>Several downstream tests use exact eigensystems to evaluate information content. They therefore do not demonstrate end-to-end computational speedup.</w:t>
      </w:r>
    </w:p>
    <w:p>
      <w:pPr>
        <w:pStyle w:val="ListBullet"/>
      </w:pPr>
      <w:r>
        <w:t>The v50_8 hotspot-predictability analysis had an eligibility-set caveat: using all adjacent pairs as negatives can mix in pairs that were not eligible under the v50_7c gap criterion. The closing conclusions therefore do not depend on v50_8 as decisive evidence.</w:t>
      </w:r>
    </w:p>
    <w:p>
      <w:pPr>
        <w:pStyle w:val="ListBullet"/>
      </w:pPr>
      <w:r>
        <w:t>The project deliberately avoids post-hoc threshold relaxation after negative confirmatory outcomes.</w:t>
      </w:r>
    </w:p>
    <w:p>
      <w:pPr>
        <w:pStyle w:val="Heading1"/>
      </w:pPr>
      <w:r>
        <w:t>Traceability</w:t>
      </w:r>
    </w:p>
    <w:p>
      <w:r>
        <w:t>The decision-relevant executable artifacts are retained by version and SHA-256. Detailed result tables are given in the overview paper and in the machine-readable outputs.</w:t>
      </w:r>
    </w:p>
    <w:p>
      <w:pPr>
        <w:pStyle w:val="ListBullet"/>
      </w:pPr>
      <w:r>
        <w:rPr>
          <w:b/>
        </w:rPr>
        <w:t xml:space="preserve">v50_7c dual-gate confirmation: </w:t>
      </w:r>
      <w:r>
        <w:rPr>
          <w:sz w:val="16"/>
        </w:rPr>
        <w:t>72ea9c315aa1fbd59ffaa1a81d1703d7cdaa71e74be8a98dccff7f8d519c7c24</w:t>
      </w:r>
    </w:p>
    <w:p>
      <w:pPr>
        <w:pStyle w:val="ListBullet"/>
      </w:pPr>
      <w:r>
        <w:rPr>
          <w:b/>
        </w:rPr>
        <w:t xml:space="preserve">v50_8 EN2 hotspot predictability: </w:t>
      </w:r>
      <w:r>
        <w:rPr>
          <w:sz w:val="16"/>
        </w:rPr>
        <w:t>ce080b53a03c30f1ded9e60f295211e15ef28bd63eb0b6c437f595e6623f15e6</w:t>
      </w:r>
    </w:p>
    <w:p>
      <w:pPr>
        <w:pStyle w:val="ListBullet"/>
      </w:pPr>
      <w:r>
        <w:rPr>
          <w:b/>
        </w:rPr>
        <w:t xml:space="preserve">v50_9 matched-budget utility: </w:t>
      </w:r>
      <w:r>
        <w:rPr>
          <w:sz w:val="16"/>
        </w:rPr>
        <w:t>b0f140f324c4857eff6d4112badae23a189bba5f247cdcfd9deae9f2142c4cf5</w:t>
      </w:r>
    </w:p>
    <w:p>
      <w:pPr>
        <w:pStyle w:val="ListBullet"/>
      </w:pPr>
      <w:r>
        <w:rPr>
          <w:b/>
        </w:rPr>
        <w:t xml:space="preserve">v50_10 H4 gauntlet: </w:t>
      </w:r>
      <w:r>
        <w:rPr>
          <w:sz w:val="16"/>
        </w:rPr>
        <w:t>0fd38eb8f8a9f33bc13cdb77e4c87d467fbdff8b2600a99da3d0389f6f92e5c5</w:t>
      </w:r>
    </w:p>
    <w:p>
      <w:pPr>
        <w:pStyle w:val="ListBullet"/>
      </w:pPr>
      <w:r>
        <w:rPr>
          <w:b/>
        </w:rPr>
        <w:t xml:space="preserve">v50_11 LiH replication: </w:t>
      </w:r>
      <w:r>
        <w:rPr>
          <w:sz w:val="16"/>
        </w:rPr>
        <w:t>e59e7eeccbb285aaa8d84819e96fb73e59ac7412824ec5bef8f0fda59439cc9a</w:t>
      </w:r>
    </w:p>
    <w:p>
      <w:pPr>
        <w:pStyle w:val="Heading1"/>
      </w:pPr>
      <w:r>
        <w:t>Conclusion</w:t>
      </w:r>
    </w:p>
    <w:p>
      <w:r>
        <w:t>The closing position is intentionally narrower than the project's earlier application ambitions. Soft Spaces should not presently be presented as a quantum-advantage method, a chemistry accelerator, a sensing technology, or a commercial platform. It can be presented as a reproducible perturbative-eigenstructure observation and methodology whose downstream utility was subjected to unusually extensive falsification-oriented testing. That combination - a positive structural result together with explicit negative application boundaries - is the scientifically defensible endpoint of the program.</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Soft Spaces Research Project | Closing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