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Soft Spaces I: Perturbative Eigenstructure in Small Quantum Hilbert Spaces</w:t>
      </w:r>
    </w:p>
    <w:p>
      <w:pPr>
        <w:jc w:val="center"/>
      </w:pPr>
      <w:r>
        <w:rPr>
          <w:i/>
          <w:sz w:val="26"/>
        </w:rPr>
        <w:t>Definition, controls, robustness, recurrence, and methodological closure</w:t>
      </w:r>
    </w:p>
    <w:p>
      <w:pPr>
        <w:jc w:val="center"/>
      </w:pPr>
      <w:r>
        <w:rPr>
          <w:sz w:val="20"/>
        </w:rPr>
        <w:t>Soft Spaces Research Project - Closing Preprint Series</w:t>
      </w:r>
    </w:p>
    <w:p>
      <w:pPr>
        <w:jc w:val="center"/>
      </w:pPr>
      <w:r>
        <w:rPr>
          <w:sz w:val="20"/>
        </w:rPr>
        <w:t>September 2026</w:t>
      </w:r>
    </w:p>
    <w:p/>
    <w:tbl>
      <w:tblPr>
        <w:tblW w:type="auto" w:w="0"/>
        <w:jc w:val="center"/>
        <w:tblLook w:firstColumn="1" w:firstRow="1" w:lastColumn="0" w:lastRow="0" w:noHBand="0" w:noVBand="1" w:val="04A0"/>
      </w:tblPr>
      <w:tblGrid>
        <w:gridCol w:w="9878"/>
      </w:tblGrid>
      <w:tr>
        <w:tc>
          <w:tcPr>
            <w:tcW w:type="dxa" w:w="9878"/>
            <w:shd w:fill="EEF2F6"/>
          </w:tcPr>
          <w:p>
            <w:r>
              <w:rPr>
                <w:sz w:val="19"/>
              </w:rPr>
              <w:t>Scientific status: archival closure draft. Positive, null and negative results are reported together. No claim of quantum advantage, deployment readiness, or commercial utility is made.</w:t>
            </w:r>
          </w:p>
        </w:tc>
      </w:tr>
    </w:tbl>
    <w:p>
      <w:r>
        <w:br w:type="page"/>
      </w:r>
    </w:p>
    <w:p>
      <w:pPr>
        <w:pStyle w:val="Heading1"/>
      </w:pPr>
      <w:r>
        <w:t>Abstract</w:t>
      </w:r>
    </w:p>
    <w:p>
      <w:pPr>
        <w:spacing w:after="180"/>
      </w:pPr>
      <w:r>
        <w:t>This technical paper isolates the positive core of the Soft Spaces program. It describes the frozen perturbative matrix-cancellation statistic, REAL-versus-NULL isospectral controls, dephasing and transverse perturbation families, seed-wise robustness, local prominence, recurrence/lifting observations, and the distinction between exact identities and statistical regularities. Its purpose is not to claim application advantage, but to state precisely what structural phenomenon was observed and what evidentiary conditions are required before calling a candidate a Soft Space.</w:t>
      </w:r>
    </w:p>
    <w:p>
      <w:r>
        <w:rPr>
          <w:b/>
        </w:rPr>
        <w:t xml:space="preserve">Keywords: </w:t>
      </w:r>
      <w:r>
        <w:t>Hilbert-space structure, matrix cancellation, perturbative response, isospectral null model, local prominence, robustness</w:t>
      </w:r>
    </w:p>
    <w:p>
      <w:pPr>
        <w:pStyle w:val="Heading1"/>
      </w:pPr>
      <w:r>
        <w:t>1. Scope</w:t>
      </w:r>
    </w:p>
    <w:p>
      <w:r>
        <w:t>This paper intentionally excludes downstream claims. It asks only whether the project identified a reproducible local perturbative structure under a controlled null model and whether that structure can be specified without post-hoc descriptors or fitted rescue parameters.</w:t>
      </w:r>
    </w:p>
    <w:p>
      <w:pPr>
        <w:pStyle w:val="Heading1"/>
      </w:pPr>
      <w:r>
        <w:t>2. REAL and NULL constructions</w:t>
      </w:r>
    </w:p>
    <w:p>
      <w:r>
        <w:t>In the frozen low-qubit formulation, REAL and NULL share the same eigenvalue spectrum. REAL uses the eigensystem generated by the target Hamiltonian; NULL keeps the eigenvalues but replaces the eigenbasis with a seeded Haar-random basis. This design isolates eigenvector/eigenstructure effects from trivial spectral-density effects. Seed control makes the null ensemble reproducible.</w:t>
      </w:r>
    </w:p>
    <w:p>
      <w:pPr>
        <w:pStyle w:val="Heading1"/>
      </w:pPr>
      <w:r>
        <w:t>3. Perturbation families</w:t>
      </w:r>
    </w:p>
    <w:p>
      <w:r>
        <w:t>Two perturbation families were kept separate: dephasing-type Z/ZZ terms and transverse-type X/XX terms. A candidate is not considered robust merely because it responds strongly to one favorable family. The cross-family construction was designed to penalize one-sided responses.</w:t>
      </w:r>
    </w:p>
    <w:p>
      <w:pPr>
        <w:pStyle w:val="Heading1"/>
      </w:pPr>
      <w:r>
        <w:t>4. Matrix-cancellation statistic</w:t>
      </w:r>
    </w:p>
    <w:p>
      <w:r>
        <w:t>For an adjacent eigenstate pair, the method partitions the eigenspace into a two-dimensional P subspace and its complement Q. The perturbation is transformed to the eigenbasis. Regularized resolvent-weighted contributions from Q into P are accumulated. The normalized statistic C_matrix = ||sum_m A_m||_F / sum_m ||A_m||_F quantifies the extent to which the contributions reinforce coherently rather than cancel destructively. The central comparison is DeltaC_f(k) = C_REAL,f(k) - C_NULL,f(k).</w:t>
      </w:r>
    </w:p>
    <w:p>
      <w:pPr>
        <w:pStyle w:val="Heading1"/>
      </w:pPr>
      <w:r>
        <w:t>5. Robust score and local prominence</w:t>
      </w:r>
    </w:p>
    <w:p>
      <w:r>
        <w:t>The robust candidate score uses the minimum across the dephasing and transverse families, preventing a large response in one family from masking failure in the other. Local prominence subtracts the median score of nearby candidates using a frozen neighborhood rule. The project later tightened molecular confirmation further by evaluating positivity seed-by-seed and requiring both absolute robust positivity and prominence positivity.</w:t>
      </w:r>
    </w:p>
    <w:p>
      <w:pPr>
        <w:pStyle w:val="Heading1"/>
      </w:pPr>
      <w:r>
        <w:t>6. Recurrence and scaling observations</w:t>
      </w:r>
    </w:p>
    <w:p>
      <w:r>
        <w:t>Phase 2 explored structured recurrence from lower- to higher-qubit spaces. One frozen rule used k_next = 2*k + 1, with identified 11Q source hotspots and specified lifted 12Q pairs. These observations were treated as empirical recurrence structure rather than universal mathematical laws. The project explicitly distinguished the ability to locate hotspots from the stronger claim that a simple recurrence rule predicts all hotspot locations.</w:t>
      </w:r>
    </w:p>
    <w:p>
      <w:pPr>
        <w:pStyle w:val="Heading1"/>
      </w:pPr>
      <w:r>
        <w:t>7. Robustness discipline</w:t>
      </w:r>
    </w:p>
    <w:p>
      <w:pPr>
        <w:pStyle w:val="ListBullet"/>
      </w:pPr>
      <w:r>
        <w:t>Fixed seeds and explicit null generation.</w:t>
      </w:r>
    </w:p>
    <w:p>
      <w:pPr>
        <w:pStyle w:val="ListBullet"/>
      </w:pPr>
      <w:r>
        <w:t>Separate perturbation families rather than pooled favorable perturbations.</w:t>
      </w:r>
    </w:p>
    <w:p>
      <w:pPr>
        <w:pStyle w:val="ListBullet"/>
      </w:pPr>
      <w:r>
        <w:t>Local controls around candidate coordinates.</w:t>
      </w:r>
    </w:p>
    <w:p>
      <w:pPr>
        <w:pStyle w:val="ListBullet"/>
      </w:pPr>
      <w:r>
        <w:t>Positive-rate decision gates rather than single-run visual selection.</w:t>
      </w:r>
    </w:p>
    <w:p>
      <w:pPr>
        <w:pStyle w:val="ListBullet"/>
      </w:pPr>
      <w:r>
        <w:t>No post-hoc descriptor changes after a failed criterion.</w:t>
      </w:r>
    </w:p>
    <w:p>
      <w:pPr>
        <w:pStyle w:val="ListBullet"/>
      </w:pPr>
      <w:r>
        <w:t>Separation of exact algebraic identities from statistical tendencies.</w:t>
      </w:r>
    </w:p>
    <w:p>
      <w:pPr>
        <w:pStyle w:val="Heading1"/>
      </w:pPr>
      <w:r>
        <w:t>8. What Phase 3 closure established</w:t>
      </w:r>
    </w:p>
    <w:p>
      <w:r>
        <w:t>Phase 3 closure did not establish a commercial algorithm. It established that the chosen perturbative descriptor, controls and validation logic could generate repeatable REAL-versus-NULL structure across the tested low-qubit settings. That is the correct level at which the positive result should be preserved.</w:t>
      </w:r>
    </w:p>
    <w:p>
      <w:pPr>
        <w:pStyle w:val="Heading1"/>
      </w:pPr>
      <w:r>
        <w:t>9. Hardware-facing robustness</w:t>
      </w:r>
    </w:p>
    <w:p>
      <w:r>
        <w:t>Hardware proxy: largest tested N2q depth with PASS for all four Precision@8 gates = 400; example seed 25043000 at N2q=20: REAL P@K 0.9825 vs NULL 0.7718, delta +0.2108; NDCG delta +0.0185.</w:t>
      </w:r>
    </w:p>
    <w:p>
      <w:r>
        <w:t>This result supports robustness of a particular application-facing ranking signal under the tested proxy noise model. It should not be confused with hardware quantum advantage or with proof that the original Soft-Spaces mechanism gives an operational resource reduction.</w:t>
      </w:r>
    </w:p>
    <w:p>
      <w:pPr>
        <w:pStyle w:val="Heading1"/>
      </w:pPr>
      <w:r>
        <w:t>10. Molecular reconstruction as a structural cross-check</w:t>
      </w:r>
    </w:p>
    <w:p>
      <w:r>
        <w:t>H4/STO-3G dual-gate molecular transfer: 182 candidate-geometry rows, 23 DUAL-PASS rows, at least one DUAL PASS in 7/8 geometries. DUAL PASS required both prominence-positive rate &gt;=0.75 and robust DeltaC-positive rate &gt;=0.75 across 12 seeds.</w:t>
      </w:r>
    </w:p>
    <w:p>
      <w:r>
        <w:t>This is best read as a structural transfer result. It says that a similar REAL-versus-NULL perturbative signature can be reconstructed in a molecular eigensystem after projection into a fixed particle-number sector. It does not say that the resulting hotspots are useful for chemistry.</w:t>
      </w:r>
    </w:p>
    <w:p>
      <w:pPr>
        <w:pStyle w:val="Heading1"/>
      </w:pPr>
      <w:r>
        <w:t>Cross-cutting limitations</w:t>
      </w:r>
    </w:p>
    <w:p>
      <w:pPr>
        <w:pStyle w:val="ListBullet"/>
      </w:pPr>
      <w:r>
        <w:t>The molecular benchmarks are small and use STO-3G; they do not establish transfer to chemically realistic basis sets or large active spaces.</w:t>
      </w:r>
    </w:p>
    <w:p>
      <w:pPr>
        <w:pStyle w:val="ListBullet"/>
      </w:pPr>
      <w:r>
        <w:t>The fixed-particle projection removes many nominal transverse Pauli terms. In the H4 molecular setting, 9 of 15 projected transverse terms were zero; in the Phase 6 LiH runs, 13 projected transverse terms were zero. This is a structural adaptation, not a cosmetic implementation detail.</w:t>
      </w:r>
    </w:p>
    <w:p>
      <w:pPr>
        <w:pStyle w:val="ListBullet"/>
      </w:pPr>
      <w:r>
        <w:t>The EN2-to-eigenpair mapping is an explicit bridge, not a canonical EN2 observable. It is useful as a comparator but should not be presented as a standard definition of EN2 hotspot prediction.</w:t>
      </w:r>
    </w:p>
    <w:p>
      <w:pPr>
        <w:pStyle w:val="ListBullet"/>
      </w:pPr>
      <w:r>
        <w:t>Several downstream tests use exact eigensystems to evaluate information content. They therefore do not demonstrate end-to-end computational speedup.</w:t>
      </w:r>
    </w:p>
    <w:p>
      <w:pPr>
        <w:pStyle w:val="ListBullet"/>
      </w:pPr>
      <w:r>
        <w:t>The v50_8 hotspot-predictability analysis had an eligibility-set caveat: using all adjacent pairs as negatives can mix in pairs that were not eligible under the v50_7c gap criterion. The closing conclusions therefore do not depend on v50_8 as decisive evidence.</w:t>
      </w:r>
    </w:p>
    <w:p>
      <w:pPr>
        <w:pStyle w:val="ListBullet"/>
      </w:pPr>
      <w:r>
        <w:t>The project deliberately avoids post-hoc threshold relaxation after negative confirmatory outcomes.</w:t>
      </w:r>
    </w:p>
    <w:p>
      <w:pPr>
        <w:pStyle w:val="Heading1"/>
      </w:pPr>
      <w:r>
        <w:t>11. Formal scientific claim</w:t>
      </w:r>
    </w:p>
    <w:p>
      <w:r>
        <w:t>Within the tested model classes, seeds, perturbation families and decision rules, Soft Spaces denotes a reproducible local perturbative eigenstructure characterized by unusually positive REAL-versus-NULL coherence/cancellation behavior and local prominence. Generality beyond those settings remains an empirical question.</w:t>
      </w:r>
    </w:p>
    <w:p>
      <w:pPr>
        <w:pStyle w:val="Heading1"/>
      </w:pPr>
      <w:r>
        <w:t>12. Nonclaims</w:t>
      </w:r>
    </w:p>
    <w:p>
      <w:pPr>
        <w:pStyle w:val="ListBullet"/>
      </w:pPr>
      <w:r>
        <w:t>No proof that every quantum Hamiltonian contains Soft Spaces.</w:t>
      </w:r>
    </w:p>
    <w:p>
      <w:pPr>
        <w:pStyle w:val="ListBullet"/>
      </w:pPr>
      <w:r>
        <w:t>No proof of a universal recurrence law across qubit counts.</w:t>
      </w:r>
    </w:p>
    <w:p>
      <w:pPr>
        <w:pStyle w:val="ListBullet"/>
      </w:pPr>
      <w:r>
        <w:t>No demonstrated quantum speedup.</w:t>
      </w:r>
    </w:p>
    <w:p>
      <w:pPr>
        <w:pStyle w:val="ListBullet"/>
      </w:pPr>
      <w:r>
        <w:t>No demonstrated chemistry, sensing, or hardware-control advantage.</w:t>
      </w:r>
    </w:p>
    <w:p>
      <w:pPr>
        <w:pStyle w:val="ListBullet"/>
      </w:pPr>
      <w:r>
        <w:t>No current commercial product claim.</w:t>
      </w:r>
    </w:p>
    <w:p>
      <w:pPr>
        <w:pStyle w:val="Heading1"/>
      </w:pPr>
      <w:r>
        <w:t>Traceability</w:t>
      </w:r>
    </w:p>
    <w:p>
      <w:r>
        <w:t>The decision-relevant executable artifacts are retained by version and SHA-256. Detailed result tables are given in the overview paper and in the machine-readable outputs.</w:t>
      </w:r>
    </w:p>
    <w:p>
      <w:pPr>
        <w:pStyle w:val="ListBullet"/>
      </w:pPr>
      <w:r>
        <w:rPr>
          <w:b/>
        </w:rPr>
        <w:t xml:space="preserve">v50_7c dual-gate confirmation: </w:t>
      </w:r>
      <w:r>
        <w:rPr>
          <w:sz w:val="16"/>
        </w:rPr>
        <w:t>72ea9c315aa1fbd59ffaa1a81d1703d7cdaa71e74be8a98dccff7f8d519c7c24</w:t>
      </w:r>
    </w:p>
    <w:p>
      <w:pPr>
        <w:pStyle w:val="ListBullet"/>
      </w:pPr>
      <w:r>
        <w:rPr>
          <w:b/>
        </w:rPr>
        <w:t xml:space="preserve">v50_8 EN2 hotspot predictability: </w:t>
      </w:r>
      <w:r>
        <w:rPr>
          <w:sz w:val="16"/>
        </w:rPr>
        <w:t>ce080b53a03c30f1ded9e60f295211e15ef28bd63eb0b6c437f595e6623f15e6</w:t>
      </w:r>
    </w:p>
    <w:p>
      <w:pPr>
        <w:pStyle w:val="ListBullet"/>
      </w:pPr>
      <w:r>
        <w:rPr>
          <w:b/>
        </w:rPr>
        <w:t xml:space="preserve">v50_9 matched-budget utility: </w:t>
      </w:r>
      <w:r>
        <w:rPr>
          <w:sz w:val="16"/>
        </w:rPr>
        <w:t>b0f140f324c4857eff6d4112badae23a189bba5f247cdcfd9deae9f2142c4cf5</w:t>
      </w:r>
    </w:p>
    <w:p>
      <w:pPr>
        <w:pStyle w:val="ListBullet"/>
      </w:pPr>
      <w:r>
        <w:rPr>
          <w:b/>
        </w:rPr>
        <w:t xml:space="preserve">v50_10 H4 gauntlet: </w:t>
      </w:r>
      <w:r>
        <w:rPr>
          <w:sz w:val="16"/>
        </w:rPr>
        <w:t>0fd38eb8f8a9f33bc13cdb77e4c87d467fbdff8b2600a99da3d0389f6f92e5c5</w:t>
      </w:r>
    </w:p>
    <w:p>
      <w:pPr>
        <w:pStyle w:val="ListBullet"/>
      </w:pPr>
      <w:r>
        <w:rPr>
          <w:b/>
        </w:rPr>
        <w:t xml:space="preserve">v50_11 LiH replication: </w:t>
      </w:r>
      <w:r>
        <w:rPr>
          <w:sz w:val="16"/>
        </w:rPr>
        <w:t>e59e7eeccbb285aaa8d84819e96fb73e59ac7412824ec5bef8f0fda59439cc9a</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Soft Spaces Research Project | Closing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