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Soft Spaces II: Molecular Transfer and Comparison with EN2</w:t>
      </w:r>
    </w:p>
    <w:p>
      <w:pPr>
        <w:jc w:val="center"/>
      </w:pPr>
      <w:r>
        <w:rPr>
          <w:i/>
          <w:sz w:val="26"/>
        </w:rPr>
        <w:t>H4 and LiH benchmarks, determinant selection, held-out prediction, and replication</w:t>
      </w:r>
    </w:p>
    <w:p>
      <w:pPr>
        <w:jc w:val="center"/>
      </w:pPr>
      <w:r>
        <w:rPr>
          <w:sz w:val="20"/>
        </w:rPr>
        <w:t>Soft Spaces Research Project - Closing Preprint Series</w:t>
      </w:r>
    </w:p>
    <w:p>
      <w:pPr>
        <w:jc w:val="center"/>
      </w:pPr>
      <w:r>
        <w:rPr>
          <w:sz w:val="20"/>
        </w:rPr>
        <w:t>September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EF2F6"/>
          </w:tcPr>
          <w:p>
            <w:r>
              <w:rPr>
                <w:sz w:val="19"/>
              </w:rPr>
              <w:t>Scientific status: archival closure draft. Positive, null and negative results are reported together. No claim of quantum advantage, deployment readiness, or commercial utility is made.</w:t>
            </w:r>
          </w:p>
        </w:tc>
      </w:tr>
    </w:tbl>
    <w:p>
      <w:r>
        <w:br w:type="page"/>
      </w:r>
    </w:p>
    <w:p>
      <w:pPr>
        <w:pStyle w:val="Heading1"/>
      </w:pPr>
      <w:r>
        <w:t>Abstract</w:t>
      </w:r>
    </w:p>
    <w:p>
      <w:pPr>
        <w:spacing w:after="180"/>
      </w:pPr>
      <w:r>
        <w:t>This paper reports the molecular application phase of the Soft Spaces program. It separates an early molecular REAL proxy - mathematically close to EN2 - from the frozen Phase-2/3 Soft-Spaces mechanism, reconstructs the latter in fixed-particle molecular eigenspaces, and tests downstream value on H4 and LiH. The original mechanism produces reproducible molecular DUAL-PASS eigenstate-pair structure, but EN2 decisively outperforms the tested Soft-Spaces mapping for matched-budget ground-state determinant selection, and H4 predictive tendencies do not replicate on LiH. The correct result is structural transfer without demonstrated robust molecular utility.</w:t>
      </w:r>
    </w:p>
    <w:p>
      <w:r>
        <w:rPr>
          <w:b/>
        </w:rPr>
        <w:t xml:space="preserve">Keywords: </w:t>
      </w:r>
      <w:r>
        <w:t>molecular quantum problem, H4, LiH, EN2, selected subspace, eigenstate pair, negative result</w:t>
      </w:r>
    </w:p>
    <w:p>
      <w:pPr>
        <w:pStyle w:val="Heading1"/>
      </w:pPr>
      <w:r>
        <w:t>1. Molecular benchmark design</w:t>
      </w:r>
    </w:p>
    <w:p>
      <w:r>
        <w:t>The primary H4 benchmark used a linear four-hydrogen chain in STO-3G with four electrons and four spatial orbitals. The correct fixed sector is (N_alpha,N_beta)=(2,2), dimension 36. An early exploratory implementation incorrectly used the full N=4 sector of dimension 70; that result was subsequently superseded. The geometry scan covered 0.75 to 3.00 Angstrom. LiH/STO-3G was used as an independent molecular system with fixed (2,2) sector dimension 225 and distances from 1.0 to 4.0 Angstrom.</w:t>
      </w:r>
    </w:p>
    <w:p>
      <w:pPr>
        <w:pStyle w:val="Heading1"/>
      </w:pPr>
      <w:r>
        <w:t>2. The molecular proxy and why it was not enough</w:t>
      </w:r>
    </w:p>
    <w:p>
      <w:r>
        <w:t>The initial molecular REAL proxy ranked determinants using |H_ir|/(|H_ii-H_rr|+eps), while EN2 used |H_ir|^2/(|H_ii-H_rr|+eps). Their empirical rankings became nearly indistinguishable across the screening studies. This was informative but conceptually dangerous: the proxy is not the frozen Soft-Spaces mechanism. Therefore the project stopped treating proxy-vs-EN2 similarity as evidence about the original phenomenon and returned to the Phase-2/3 matrix-cancellation construction.</w:t>
      </w:r>
    </w:p>
    <w:p>
      <w:pPr>
        <w:pStyle w:val="Heading1"/>
      </w:pPr>
      <w:r>
        <w:t>3. Molecular transfer of the frozen mechanism</w:t>
      </w:r>
    </w:p>
    <w:p>
      <w:r>
        <w:t>H4/STO-3G dual-gate molecular transfer: 182 candidate-geometry rows, 23 DUAL-PASS rows, at least one DUAL PASS in 7/8 geometries. DUAL PASS required both prominence-positive rate &gt;=0.75 and robust DeltaC-positive rate &gt;=0.75 across 12 seeds.</w:t>
      </w:r>
    </w:p>
    <w:p>
      <w:r>
        <w:t>The molecular adaptation used the actual molecular Hamiltonian eigenbasis for REAL and a seeded Haar basis with the same spectrum for NULL. Candidate objects were adjacent eigenstate pairs rather than determinants. Z/ZZ and X/XX perturbations were projected into the fixed particle sector. The projection made many nominal transverse terms exactly zero, so the transfer is structurally adapted rather than literal.</w:t>
      </w:r>
    </w:p>
    <w:p>
      <w:pPr>
        <w:pStyle w:val="Heading1"/>
      </w:pPr>
      <w:r>
        <w:t>4. Why DUAL PASS was introduced</w:t>
      </w:r>
    </w:p>
    <w:p>
      <w:r>
        <w:t>An intermediate confirmation version showed that local prominence alone could pass even when the absolute robust DeltaC was negative. This motivated the dual gate: a candidate must show both positive local prominence and positive robust REAL-versus-NULL response in at least 75% of the 12 seeds. This prevented locally high but absolutely unfavorable candidates from being called positive molecular Soft Spaces.</w:t>
      </w:r>
    </w:p>
    <w:p>
      <w:pPr>
        <w:pStyle w:val="Heading1"/>
      </w:pPr>
      <w:r>
        <w:t>5. EN2 hotspot-predictability bridge</w:t>
      </w:r>
    </w:p>
    <w:p>
      <w:r>
        <w:t>Because Soft Spaces produces eigenstate-pair candidates while EN2 is naturally determinant-based, a direct comparison requires a bridge. The project evaluated pair probability support in top-K EN2 determinants and an EN2-weighted eigenpair score. Global discrimination was near chance in the exploratory v50_8 analysis. However, the negative set may include adjacent pairs that were not eligible under the v50_7c gap criterion. Consequently, this result is treated as suggestive rather than decisive.</w:t>
      </w:r>
    </w:p>
    <w:p>
      <w:pPr>
        <w:pStyle w:val="Heading1"/>
      </w:pPr>
      <w:r>
        <w:t>6. Matched-budget ground-state selection</w:t>
      </w:r>
    </w:p>
    <w:p>
      <w:r>
        <w:t>Matched-budget ground-state determinant selection: 40 comparisons; Soft Spaces 0 wins, EN2 40 wins, 0 ties; median error difference SS-EN2 = +8.62930297e-02 Ha; median mass difference = -1.15306814e-01.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469"/>
            <w:shd w:fill="D9E2F3"/>
            <w:vAlign w:val="center"/>
          </w:tcPr>
          <w:p>
            <w:r>
              <w:rPr>
                <w:b/>
              </w:rPr>
              <w:t>K</w:t>
            </w:r>
          </w:p>
        </w:tc>
        <w:tc>
          <w:tcPr>
            <w:tcW w:type="dxa" w:w="2469"/>
            <w:shd w:fill="D9E2F3"/>
            <w:vAlign w:val="center"/>
          </w:tcPr>
          <w:p>
            <w:r>
              <w:rPr>
                <w:b/>
              </w:rPr>
              <w:t>SS wins</w:t>
            </w:r>
          </w:p>
        </w:tc>
        <w:tc>
          <w:tcPr>
            <w:tcW w:type="dxa" w:w="2469"/>
            <w:shd w:fill="D9E2F3"/>
            <w:vAlign w:val="center"/>
          </w:tcPr>
          <w:p>
            <w:r>
              <w:rPr>
                <w:b/>
              </w:rPr>
              <w:t>EN2 wins</w:t>
            </w:r>
          </w:p>
        </w:tc>
        <w:tc>
          <w:tcPr>
            <w:tcW w:type="dxa" w:w="2469"/>
            <w:shd w:fill="D9E2F3"/>
            <w:vAlign w:val="center"/>
          </w:tcPr>
          <w:p>
            <w:r>
              <w:rPr>
                <w:b/>
              </w:rPr>
              <w:t>Median Delta error SS-EN2</w:t>
            </w:r>
          </w:p>
        </w:tc>
      </w:tr>
      <w:tr>
        <w:trPr>
          <w:cantSplit/>
        </w:trPr>
        <w:tc>
          <w:tcPr>
            <w:tcW w:type="dxa" w:w="2469"/>
          </w:tcPr>
          <w:p>
            <w:r>
              <w:t>2</w:t>
            </w:r>
          </w:p>
        </w:tc>
        <w:tc>
          <w:tcPr>
            <w:tcW w:type="dxa" w:w="2469"/>
          </w:tcPr>
          <w:p>
            <w:r>
              <w:t>0</w:t>
            </w:r>
          </w:p>
        </w:tc>
        <w:tc>
          <w:tcPr>
            <w:tcW w:type="dxa" w:w="2469"/>
          </w:tcPr>
          <w:p>
            <w:r>
              <w:t>8</w:t>
            </w:r>
          </w:p>
        </w:tc>
        <w:tc>
          <w:tcPr>
            <w:tcW w:type="dxa" w:w="2469"/>
          </w:tcPr>
          <w:p>
            <w:r>
              <w:t>+4.90811098e-02</w:t>
            </w:r>
          </w:p>
        </w:tc>
      </w:tr>
      <w:tr>
        <w:trPr>
          <w:cantSplit/>
        </w:trPr>
        <w:tc>
          <w:tcPr>
            <w:tcW w:type="dxa" w:w="2469"/>
          </w:tcPr>
          <w:p>
            <w:r>
              <w:t>4</w:t>
            </w:r>
          </w:p>
        </w:tc>
        <w:tc>
          <w:tcPr>
            <w:tcW w:type="dxa" w:w="2469"/>
          </w:tcPr>
          <w:p>
            <w:r>
              <w:t>0</w:t>
            </w:r>
          </w:p>
        </w:tc>
        <w:tc>
          <w:tcPr>
            <w:tcW w:type="dxa" w:w="2469"/>
          </w:tcPr>
          <w:p>
            <w:r>
              <w:t>8</w:t>
            </w:r>
          </w:p>
        </w:tc>
        <w:tc>
          <w:tcPr>
            <w:tcW w:type="dxa" w:w="2469"/>
          </w:tcPr>
          <w:p>
            <w:r>
              <w:t>+1.25165406e-01</w:t>
            </w:r>
          </w:p>
        </w:tc>
      </w:tr>
      <w:tr>
        <w:trPr>
          <w:cantSplit/>
        </w:trPr>
        <w:tc>
          <w:tcPr>
            <w:tcW w:type="dxa" w:w="2469"/>
          </w:tcPr>
          <w:p>
            <w:r>
              <w:t>8</w:t>
            </w:r>
          </w:p>
        </w:tc>
        <w:tc>
          <w:tcPr>
            <w:tcW w:type="dxa" w:w="2469"/>
          </w:tcPr>
          <w:p>
            <w:r>
              <w:t>0</w:t>
            </w:r>
          </w:p>
        </w:tc>
        <w:tc>
          <w:tcPr>
            <w:tcW w:type="dxa" w:w="2469"/>
          </w:tcPr>
          <w:p>
            <w:r>
              <w:t>8</w:t>
            </w:r>
          </w:p>
        </w:tc>
        <w:tc>
          <w:tcPr>
            <w:tcW w:type="dxa" w:w="2469"/>
          </w:tcPr>
          <w:p>
            <w:r>
              <w:t>+1.55763697e-01</w:t>
            </w:r>
          </w:p>
        </w:tc>
      </w:tr>
      <w:tr>
        <w:trPr>
          <w:cantSplit/>
        </w:trPr>
        <w:tc>
          <w:tcPr>
            <w:tcW w:type="dxa" w:w="2469"/>
          </w:tcPr>
          <w:p>
            <w:r>
              <w:t>12</w:t>
            </w:r>
          </w:p>
        </w:tc>
        <w:tc>
          <w:tcPr>
            <w:tcW w:type="dxa" w:w="2469"/>
          </w:tcPr>
          <w:p>
            <w:r>
              <w:t>0</w:t>
            </w:r>
          </w:p>
        </w:tc>
        <w:tc>
          <w:tcPr>
            <w:tcW w:type="dxa" w:w="2469"/>
          </w:tcPr>
          <w:p>
            <w:r>
              <w:t>8</w:t>
            </w:r>
          </w:p>
        </w:tc>
        <w:tc>
          <w:tcPr>
            <w:tcW w:type="dxa" w:w="2469"/>
          </w:tcPr>
          <w:p>
            <w:r>
              <w:t>+1.06237801e-01</w:t>
            </w:r>
          </w:p>
        </w:tc>
      </w:tr>
      <w:tr>
        <w:trPr>
          <w:cantSplit/>
        </w:trPr>
        <w:tc>
          <w:tcPr>
            <w:tcW w:type="dxa" w:w="2469"/>
          </w:tcPr>
          <w:p>
            <w:r>
              <w:t>16</w:t>
            </w:r>
          </w:p>
        </w:tc>
        <w:tc>
          <w:tcPr>
            <w:tcW w:type="dxa" w:w="2469"/>
          </w:tcPr>
          <w:p>
            <w:r>
              <w:t>0</w:t>
            </w:r>
          </w:p>
        </w:tc>
        <w:tc>
          <w:tcPr>
            <w:tcW w:type="dxa" w:w="2469"/>
          </w:tcPr>
          <w:p>
            <w:r>
              <w:t>8</w:t>
            </w:r>
          </w:p>
        </w:tc>
        <w:tc>
          <w:tcPr>
            <w:tcW w:type="dxa" w:w="2469"/>
          </w:tcPr>
          <w:p>
            <w:r>
              <w:t>+7.32663709e-02</w:t>
            </w:r>
          </w:p>
        </w:tc>
      </w:tr>
    </w:tbl>
    <w:p/>
    <w:p>
      <w:r>
        <w:t>The test used exact eigenvectors to map Soft-Spaces hotspots into determinant scores, making it an oracle/information-content test. Even with this favorable access, the chosen mapping did not beat EN2. The result therefore closes this downstream application branch more strongly than a mere implementation benchmark would.</w:t>
      </w:r>
    </w:p>
    <w:p>
      <w:pPr>
        <w:pStyle w:val="Heading1"/>
      </w:pPr>
      <w:r>
        <w:t>7. H4 held-out predictive gauntlet</w:t>
      </w:r>
    </w:p>
    <w:p>
      <w:r>
        <w:t>H4 predictive gauntlet: T1 dephasing AUC SS 0.636 vs EN2 0.388; T2 transverse 0.601 vs 0.501; T3 mixed 0.618 vs 0.447; T4 geometry-gap 0.608 vs 0.486; all failed the preregistered CLEAR PASS rule.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469"/>
            <w:shd w:fill="D9E2F3"/>
            <w:vAlign w:val="center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469"/>
            <w:shd w:fill="D9E2F3"/>
            <w:vAlign w:val="center"/>
          </w:tcPr>
          <w:p>
            <w:r>
              <w:rPr>
                <w:b/>
              </w:rPr>
              <w:t>SS AUC</w:t>
            </w:r>
          </w:p>
        </w:tc>
        <w:tc>
          <w:tcPr>
            <w:tcW w:type="dxa" w:w="2469"/>
            <w:shd w:fill="D9E2F3"/>
            <w:vAlign w:val="center"/>
          </w:tcPr>
          <w:p>
            <w:r>
              <w:rPr>
                <w:b/>
              </w:rPr>
              <w:t>EN2 AUC</w:t>
            </w:r>
          </w:p>
        </w:tc>
        <w:tc>
          <w:tcPr>
            <w:tcW w:type="dxa" w:w="2469"/>
            <w:shd w:fill="D9E2F3"/>
            <w:vAlign w:val="center"/>
          </w:tcPr>
          <w:p>
            <w:r>
              <w:rPr>
                <w:b/>
              </w:rPr>
              <w:t>Delta</w:t>
            </w:r>
          </w:p>
        </w:tc>
      </w:tr>
      <w:tr>
        <w:trPr>
          <w:cantSplit/>
        </w:trPr>
        <w:tc>
          <w:tcPr>
            <w:tcW w:type="dxa" w:w="2469"/>
          </w:tcPr>
          <w:p>
            <w:r>
              <w:t>Held-out dephasing projector sensitivity</w:t>
            </w:r>
          </w:p>
        </w:tc>
        <w:tc>
          <w:tcPr>
            <w:tcW w:type="dxa" w:w="2469"/>
          </w:tcPr>
          <w:p>
            <w:r>
              <w:t>0.636</w:t>
            </w:r>
          </w:p>
        </w:tc>
        <w:tc>
          <w:tcPr>
            <w:tcW w:type="dxa" w:w="2469"/>
          </w:tcPr>
          <w:p>
            <w:r>
              <w:t>0.388</w:t>
            </w:r>
          </w:p>
        </w:tc>
        <w:tc>
          <w:tcPr>
            <w:tcW w:type="dxa" w:w="2469"/>
          </w:tcPr>
          <w:p>
            <w:r>
              <w:t>+0.248</w:t>
            </w:r>
          </w:p>
        </w:tc>
      </w:tr>
      <w:tr>
        <w:trPr>
          <w:cantSplit/>
        </w:trPr>
        <w:tc>
          <w:tcPr>
            <w:tcW w:type="dxa" w:w="2469"/>
          </w:tcPr>
          <w:p>
            <w:r>
              <w:t>Held-out transverse projector sensitivity</w:t>
            </w:r>
          </w:p>
        </w:tc>
        <w:tc>
          <w:tcPr>
            <w:tcW w:type="dxa" w:w="2469"/>
          </w:tcPr>
          <w:p>
            <w:r>
              <w:t>0.601</w:t>
            </w:r>
          </w:p>
        </w:tc>
        <w:tc>
          <w:tcPr>
            <w:tcW w:type="dxa" w:w="2469"/>
          </w:tcPr>
          <w:p>
            <w:r>
              <w:t>0.501</w:t>
            </w:r>
          </w:p>
        </w:tc>
        <w:tc>
          <w:tcPr>
            <w:tcW w:type="dxa" w:w="2469"/>
          </w:tcPr>
          <w:p>
            <w:r>
              <w:t>+0.100</w:t>
            </w:r>
          </w:p>
        </w:tc>
      </w:tr>
      <w:tr>
        <w:trPr>
          <w:cantSplit/>
        </w:trPr>
        <w:tc>
          <w:tcPr>
            <w:tcW w:type="dxa" w:w="2469"/>
          </w:tcPr>
          <w:p>
            <w:r>
              <w:t>Held-out mixed projector sensitivity</w:t>
            </w:r>
          </w:p>
        </w:tc>
        <w:tc>
          <w:tcPr>
            <w:tcW w:type="dxa" w:w="2469"/>
          </w:tcPr>
          <w:p>
            <w:r>
              <w:t>0.618</w:t>
            </w:r>
          </w:p>
        </w:tc>
        <w:tc>
          <w:tcPr>
            <w:tcW w:type="dxa" w:w="2469"/>
          </w:tcPr>
          <w:p>
            <w:r>
              <w:t>0.447</w:t>
            </w:r>
          </w:p>
        </w:tc>
        <w:tc>
          <w:tcPr>
            <w:tcW w:type="dxa" w:w="2469"/>
          </w:tcPr>
          <w:p>
            <w:r>
              <w:t>+0.170</w:t>
            </w:r>
          </w:p>
        </w:tc>
      </w:tr>
      <w:tr>
        <w:trPr>
          <w:cantSplit/>
        </w:trPr>
        <w:tc>
          <w:tcPr>
            <w:tcW w:type="dxa" w:w="2469"/>
          </w:tcPr>
          <w:p>
            <w:r>
              <w:t>Geometry-displacement gap sensitivity</w:t>
            </w:r>
          </w:p>
        </w:tc>
        <w:tc>
          <w:tcPr>
            <w:tcW w:type="dxa" w:w="2469"/>
          </w:tcPr>
          <w:p>
            <w:r>
              <w:t>0.608</w:t>
            </w:r>
          </w:p>
        </w:tc>
        <w:tc>
          <w:tcPr>
            <w:tcW w:type="dxa" w:w="2469"/>
          </w:tcPr>
          <w:p>
            <w:r>
              <w:t>0.486</w:t>
            </w:r>
          </w:p>
        </w:tc>
        <w:tc>
          <w:tcPr>
            <w:tcW w:type="dxa" w:w="2469"/>
          </w:tcPr>
          <w:p>
            <w:r>
              <w:t>+0.122</w:t>
            </w:r>
          </w:p>
        </w:tc>
      </w:tr>
    </w:tbl>
    <w:p/>
    <w:p>
      <w:r>
        <w:t>The direction was interesting because Soft Spaces exceeded EN2 in all four pooled comparisons. However, the preregistered criterion required Soft-Spaces AUC &gt;=0.65 in addition to other conditions. No stage passed. The correct interpretation is therefore a nonconfirmatory H4 tendency, not a positive application result.</w:t>
      </w:r>
    </w:p>
    <w:p>
      <w:pPr>
        <w:pStyle w:val="Heading1"/>
      </w:pPr>
      <w:r>
        <w:t>8. Independent LiH replication</w:t>
      </w:r>
    </w:p>
    <w:p>
      <w:r>
        <w:t>Independent LiH replication: T1 0.492 vs 0.500; T2 0.496 vs 0.501; T3 0.468 vs 0.510; T4 0.539 vs 0.632; no CLEAR PASS stage.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469"/>
            <w:shd w:fill="D9E2F3"/>
            <w:vAlign w:val="center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469"/>
            <w:shd w:fill="D9E2F3"/>
            <w:vAlign w:val="center"/>
          </w:tcPr>
          <w:p>
            <w:r>
              <w:rPr>
                <w:b/>
              </w:rPr>
              <w:t>SS AUC</w:t>
            </w:r>
          </w:p>
        </w:tc>
        <w:tc>
          <w:tcPr>
            <w:tcW w:type="dxa" w:w="2469"/>
            <w:shd w:fill="D9E2F3"/>
            <w:vAlign w:val="center"/>
          </w:tcPr>
          <w:p>
            <w:r>
              <w:rPr>
                <w:b/>
              </w:rPr>
              <w:t>EN2 AUC</w:t>
            </w:r>
          </w:p>
        </w:tc>
        <w:tc>
          <w:tcPr>
            <w:tcW w:type="dxa" w:w="2469"/>
            <w:shd w:fill="D9E2F3"/>
            <w:vAlign w:val="center"/>
          </w:tcPr>
          <w:p>
            <w:r>
              <w:rPr>
                <w:b/>
              </w:rPr>
              <w:t>Delta</w:t>
            </w:r>
          </w:p>
        </w:tc>
      </w:tr>
      <w:tr>
        <w:trPr>
          <w:cantSplit/>
        </w:trPr>
        <w:tc>
          <w:tcPr>
            <w:tcW w:type="dxa" w:w="2469"/>
          </w:tcPr>
          <w:p>
            <w:r>
              <w:t>Dephasing</w:t>
            </w:r>
          </w:p>
        </w:tc>
        <w:tc>
          <w:tcPr>
            <w:tcW w:type="dxa" w:w="2469"/>
          </w:tcPr>
          <w:p>
            <w:r>
              <w:t>0.492</w:t>
            </w:r>
          </w:p>
        </w:tc>
        <w:tc>
          <w:tcPr>
            <w:tcW w:type="dxa" w:w="2469"/>
          </w:tcPr>
          <w:p>
            <w:r>
              <w:t>0.500</w:t>
            </w:r>
          </w:p>
        </w:tc>
        <w:tc>
          <w:tcPr>
            <w:tcW w:type="dxa" w:w="2469"/>
          </w:tcPr>
          <w:p>
            <w:r>
              <w:t>-0.009</w:t>
            </w:r>
          </w:p>
        </w:tc>
      </w:tr>
      <w:tr>
        <w:trPr>
          <w:cantSplit/>
        </w:trPr>
        <w:tc>
          <w:tcPr>
            <w:tcW w:type="dxa" w:w="2469"/>
          </w:tcPr>
          <w:p>
            <w:r>
              <w:t>Transverse</w:t>
            </w:r>
          </w:p>
        </w:tc>
        <w:tc>
          <w:tcPr>
            <w:tcW w:type="dxa" w:w="2469"/>
          </w:tcPr>
          <w:p>
            <w:r>
              <w:t>0.496</w:t>
            </w:r>
          </w:p>
        </w:tc>
        <w:tc>
          <w:tcPr>
            <w:tcW w:type="dxa" w:w="2469"/>
          </w:tcPr>
          <w:p>
            <w:r>
              <w:t>0.501</w:t>
            </w:r>
          </w:p>
        </w:tc>
        <w:tc>
          <w:tcPr>
            <w:tcW w:type="dxa" w:w="2469"/>
          </w:tcPr>
          <w:p>
            <w:r>
              <w:t>-0.005</w:t>
            </w:r>
          </w:p>
        </w:tc>
      </w:tr>
      <w:tr>
        <w:trPr>
          <w:cantSplit/>
        </w:trPr>
        <w:tc>
          <w:tcPr>
            <w:tcW w:type="dxa" w:w="2469"/>
          </w:tcPr>
          <w:p>
            <w:r>
              <w:t>Mixed</w:t>
            </w:r>
          </w:p>
        </w:tc>
        <w:tc>
          <w:tcPr>
            <w:tcW w:type="dxa" w:w="2469"/>
          </w:tcPr>
          <w:p>
            <w:r>
              <w:t>0.468</w:t>
            </w:r>
          </w:p>
        </w:tc>
        <w:tc>
          <w:tcPr>
            <w:tcW w:type="dxa" w:w="2469"/>
          </w:tcPr>
          <w:p>
            <w:r>
              <w:t>0.510</w:t>
            </w:r>
          </w:p>
        </w:tc>
        <w:tc>
          <w:tcPr>
            <w:tcW w:type="dxa" w:w="2469"/>
          </w:tcPr>
          <w:p>
            <w:r>
              <w:t>-0.042</w:t>
            </w:r>
          </w:p>
        </w:tc>
      </w:tr>
      <w:tr>
        <w:trPr>
          <w:cantSplit/>
        </w:trPr>
        <w:tc>
          <w:tcPr>
            <w:tcW w:type="dxa" w:w="2469"/>
          </w:tcPr>
          <w:p>
            <w:r>
              <w:t>Geometry-gap</w:t>
            </w:r>
          </w:p>
        </w:tc>
        <w:tc>
          <w:tcPr>
            <w:tcW w:type="dxa" w:w="2469"/>
          </w:tcPr>
          <w:p>
            <w:r>
              <w:t>0.539</w:t>
            </w:r>
          </w:p>
        </w:tc>
        <w:tc>
          <w:tcPr>
            <w:tcW w:type="dxa" w:w="2469"/>
          </w:tcPr>
          <w:p>
            <w:r>
              <w:t>0.632</w:t>
            </w:r>
          </w:p>
        </w:tc>
        <w:tc>
          <w:tcPr>
            <w:tcW w:type="dxa" w:w="2469"/>
          </w:tcPr>
          <w:p>
            <w:r>
              <w:t>-0.094</w:t>
            </w:r>
          </w:p>
        </w:tc>
      </w:tr>
    </w:tbl>
    <w:p/>
    <w:p>
      <w:r>
        <w:t>The H4 direction did not replicate. This sharply reduces the credibility of a molecule-independent predictive advantage and suggests that some favorable H4 behavior may be tied to the specific symmetry, size, spectrum or candidate structure of that system.</w:t>
      </w:r>
    </w:p>
    <w:p>
      <w:pPr>
        <w:pStyle w:val="Heading1"/>
      </w:pPr>
      <w:r>
        <w:t>9. Molecular conclusion</w:t>
      </w:r>
    </w:p>
    <w:p>
      <w:r>
        <w:rPr>
          <w:b/>
        </w:rPr>
        <w:t xml:space="preserve">Result. </w:t>
      </w:r>
      <w:r>
        <w:t>Soft Spaces exhibits reproducible molecular eigenstate-pair structure in H4 and produces abundant DUAL-PASS candidates in LiH, but the tested structure does not provide robust, transferable predictive or computational utility beyond EN2 in the molecular tasks examined.</w:t>
      </w:r>
    </w:p>
    <w:p>
      <w:pPr>
        <w:pStyle w:val="Heading1"/>
      </w:pPr>
      <w:r>
        <w:t>Cross-cutting limitations</w:t>
      </w:r>
    </w:p>
    <w:p>
      <w:pPr>
        <w:pStyle w:val="ListBullet"/>
      </w:pPr>
      <w:r>
        <w:t>The molecular benchmarks are small and use STO-3G; they do not establish transfer to chemically realistic basis sets or large active spaces.</w:t>
      </w:r>
    </w:p>
    <w:p>
      <w:pPr>
        <w:pStyle w:val="ListBullet"/>
      </w:pPr>
      <w:r>
        <w:t>The fixed-particle projection removes many nominal transverse Pauli terms. In the H4 molecular setting, 9 of 15 projected transverse terms were zero; in the Phase 6 LiH runs, 13 projected transverse terms were zero. This is a structural adaptation, not a cosmetic implementation detail.</w:t>
      </w:r>
    </w:p>
    <w:p>
      <w:pPr>
        <w:pStyle w:val="ListBullet"/>
      </w:pPr>
      <w:r>
        <w:t>The EN2-to-eigenpair mapping is an explicit bridge, not a canonical EN2 observable. It is useful as a comparator but should not be presented as a standard definition of EN2 hotspot prediction.</w:t>
      </w:r>
    </w:p>
    <w:p>
      <w:pPr>
        <w:pStyle w:val="ListBullet"/>
      </w:pPr>
      <w:r>
        <w:t>Several downstream tests use exact eigensystems to evaluate information content. They therefore do not demonstrate end-to-end computational speedup.</w:t>
      </w:r>
    </w:p>
    <w:p>
      <w:pPr>
        <w:pStyle w:val="ListBullet"/>
      </w:pPr>
      <w:r>
        <w:t>The v50_8 hotspot-predictability analysis had an eligibility-set caveat: using all adjacent pairs as negatives can mix in pairs that were not eligible under the v50_7c gap criterion. The closing conclusions therefore do not depend on v50_8 as decisive evidence.</w:t>
      </w:r>
    </w:p>
    <w:p>
      <w:pPr>
        <w:pStyle w:val="ListBullet"/>
      </w:pPr>
      <w:r>
        <w:t>The project deliberately avoids post-hoc threshold relaxation after negative confirmatory outcomes.</w:t>
      </w:r>
    </w:p>
    <w:p>
      <w:pPr>
        <w:pStyle w:val="Heading1"/>
      </w:pPr>
      <w:r>
        <w:t>Traceability</w:t>
      </w:r>
    </w:p>
    <w:p>
      <w:r>
        <w:t>The decision-relevant executable artifacts are retained by version and SHA-256. Detailed result tables are given in the overview paper and in the machine-readable outputs.</w:t>
      </w:r>
    </w:p>
    <w:p>
      <w:pPr>
        <w:pStyle w:val="ListBullet"/>
      </w:pPr>
      <w:r>
        <w:rPr>
          <w:b/>
        </w:rPr>
        <w:t xml:space="preserve">v50_7c dual-gate confirmation: </w:t>
      </w:r>
      <w:r>
        <w:rPr>
          <w:sz w:val="16"/>
        </w:rPr>
        <w:t>72ea9c315aa1fbd59ffaa1a81d1703d7cdaa71e74be8a98dccff7f8d519c7c24</w:t>
      </w:r>
    </w:p>
    <w:p>
      <w:pPr>
        <w:pStyle w:val="ListBullet"/>
      </w:pPr>
      <w:r>
        <w:rPr>
          <w:b/>
        </w:rPr>
        <w:t xml:space="preserve">v50_8 EN2 hotspot predictability: </w:t>
      </w:r>
      <w:r>
        <w:rPr>
          <w:sz w:val="16"/>
        </w:rPr>
        <w:t>ce080b53a03c30f1ded9e60f295211e15ef28bd63eb0b6c437f595e6623f15e6</w:t>
      </w:r>
    </w:p>
    <w:p>
      <w:pPr>
        <w:pStyle w:val="ListBullet"/>
      </w:pPr>
      <w:r>
        <w:rPr>
          <w:b/>
        </w:rPr>
        <w:t xml:space="preserve">v50_9 matched-budget utility: </w:t>
      </w:r>
      <w:r>
        <w:rPr>
          <w:sz w:val="16"/>
        </w:rPr>
        <w:t>b0f140f324c4857eff6d4112badae23a189bba5f247cdcfd9deae9f2142c4cf5</w:t>
      </w:r>
    </w:p>
    <w:p>
      <w:pPr>
        <w:pStyle w:val="ListBullet"/>
      </w:pPr>
      <w:r>
        <w:rPr>
          <w:b/>
        </w:rPr>
        <w:t xml:space="preserve">v50_10 H4 gauntlet: </w:t>
      </w:r>
      <w:r>
        <w:rPr>
          <w:sz w:val="16"/>
        </w:rPr>
        <w:t>0fd38eb8f8a9f33bc13cdb77e4c87d467fbdff8b2600a99da3d0389f6f92e5c5</w:t>
      </w:r>
    </w:p>
    <w:p>
      <w:pPr>
        <w:pStyle w:val="ListBullet"/>
      </w:pPr>
      <w:r>
        <w:rPr>
          <w:b/>
        </w:rPr>
        <w:t xml:space="preserve">v50_11 LiH replication: </w:t>
      </w:r>
      <w:r>
        <w:rPr>
          <w:sz w:val="16"/>
        </w:rPr>
        <w:t>e59e7eeccbb285aaa8d84819e96fb73e59ac7412824ec5bef8f0fda59439cc9a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Soft Spaces Research Project | Closing Series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