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Soft Spaces III: Limits, Negative Results, and Scientific Closure</w:t>
      </w:r>
    </w:p>
    <w:p>
      <w:pPr>
        <w:jc w:val="center"/>
      </w:pPr>
      <w:r>
        <w:rPr>
          <w:i/>
          <w:sz w:val="26"/>
        </w:rPr>
        <w:t>From application ambition to a bounded structural result</w:t>
      </w:r>
    </w:p>
    <w:p>
      <w:pPr>
        <w:jc w:val="center"/>
      </w:pPr>
      <w:r>
        <w:rPr>
          <w:sz w:val="20"/>
        </w:rPr>
        <w:t>Soft Spaces Research Project - Closing Preprint Series</w:t>
      </w:r>
    </w:p>
    <w:p>
      <w:pPr>
        <w:jc w:val="center"/>
      </w:pPr>
      <w:r>
        <w:rPr>
          <w:sz w:val="20"/>
        </w:rPr>
        <w:t>September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EF2F6"/>
          </w:tcPr>
          <w:p>
            <w:r>
              <w:rPr>
                <w:sz w:val="19"/>
              </w:rPr>
              <w:t>Scientific status: archival closure draft. Positive, null and negative results are reported together. No claim of quantum advantage, deployment readiness, or commercial utility is made.</w:t>
            </w:r>
          </w:p>
        </w:tc>
      </w:tr>
    </w:tbl>
    <w:p>
      <w:r>
        <w:br w:type="page"/>
      </w:r>
    </w:p>
    <w:p>
      <w:pPr>
        <w:pStyle w:val="Heading1"/>
      </w:pPr>
      <w:r>
        <w:t>Abstract</w:t>
      </w:r>
    </w:p>
    <w:p>
      <w:pPr>
        <w:spacing w:after="180"/>
      </w:pPr>
      <w:r>
        <w:t>This paper documents the falsification-oriented closure of the Soft Spaces research program. It focuses on the distinction between a reproducible structural signal and a useful computational technology. Hardware-oriented proxy robustness, molecular application screening, EN2 comparisons, matched-budget selection, independent-molecule replication, and quantum-sensing-like susceptibility are considered together. The accumulated evidence supports a bounded structural phenomenon but not a demonstrated transferable application advantage. The negative results are treated as first-class scientific outcomes and motivate formal closure rather than continued post-hoc search for a favorable task.</w:t>
      </w:r>
    </w:p>
    <w:p>
      <w:r>
        <w:rPr>
          <w:b/>
        </w:rPr>
        <w:t xml:space="preserve">Keywords: </w:t>
      </w:r>
      <w:r>
        <w:t>negative results, scientific closure, falsification, quantum algorithms, reproducibility, research methodology</w:t>
      </w:r>
    </w:p>
    <w:p>
      <w:pPr>
        <w:pStyle w:val="Heading1"/>
      </w:pPr>
      <w:r>
        <w:t>1. Why closure became necessary</w:t>
      </w:r>
    </w:p>
    <w:p>
      <w:r>
        <w:t>The discovery of a repeatable statistical or perturbative structure can create strong pressure to search indefinitely for a useful application. That strategy is scientifically dangerous because the number of possible tasks, metrics, mappings and thresholds is effectively unlimited. Phase 5 and Phase 6 therefore adopted explicit stop rules: after a sequence of natural, predeclared application tests, failure would close the branch rather than trigger unrestricted retuning.</w:t>
      </w:r>
    </w:p>
    <w:p>
      <w:pPr>
        <w:pStyle w:val="Heading1"/>
      </w:pPr>
      <w:r>
        <w:t>2. Application claims tested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D9E2F3"/>
            <w:vAlign w:val="center"/>
          </w:tcPr>
          <w:p>
            <w:r>
              <w:rPr>
                <w:b/>
              </w:rPr>
              <w:t>Application hypothesis</w:t>
            </w:r>
          </w:p>
        </w:tc>
        <w:tc>
          <w:tcPr>
            <w:tcW w:type="dxa" w:w="3293"/>
            <w:shd w:fill="D9E2F3"/>
            <w:vAlign w:val="center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3293"/>
            <w:shd w:fill="D9E2F3"/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rPr>
          <w:cantSplit/>
        </w:trPr>
        <w:tc>
          <w:tcPr>
            <w:tcW w:type="dxa" w:w="3293"/>
          </w:tcPr>
          <w:p>
            <w:r>
              <w:t>Hardware/noise robustness of an application-facing ranking</w:t>
            </w:r>
          </w:p>
        </w:tc>
        <w:tc>
          <w:tcPr>
            <w:tcW w:type="dxa" w:w="3293"/>
          </w:tcPr>
          <w:p>
            <w:r>
              <w:t>Phase 4 proxy tests retained Precision@8 advantages through tested N2q depth 400.</w:t>
            </w:r>
          </w:p>
        </w:tc>
        <w:tc>
          <w:tcPr>
            <w:tcW w:type="dxa" w:w="3293"/>
          </w:tcPr>
          <w:p>
            <w:r>
              <w:t>Interesting proxy robustness; not quantum advantage.</w:t>
            </w:r>
          </w:p>
        </w:tc>
      </w:tr>
      <w:tr>
        <w:trPr>
          <w:cantSplit/>
        </w:trPr>
        <w:tc>
          <w:tcPr>
            <w:tcW w:type="dxa" w:w="3293"/>
          </w:tcPr>
          <w:p>
            <w:r>
              <w:t>Molecular determinant prioritization</w:t>
            </w:r>
          </w:p>
        </w:tc>
        <w:tc>
          <w:tcPr>
            <w:tcW w:type="dxa" w:w="3293"/>
          </w:tcPr>
          <w:p>
            <w:r>
              <w:t>Proxy similar to EN2; v50_9 matched-budget test.</w:t>
            </w:r>
          </w:p>
        </w:tc>
        <w:tc>
          <w:tcPr>
            <w:tcW w:type="dxa" w:w="3293"/>
          </w:tcPr>
          <w:p>
            <w:r>
              <w:t>Rejected for tested mapping; EN2 40/40.</w:t>
            </w:r>
          </w:p>
        </w:tc>
      </w:tr>
      <w:tr>
        <w:trPr>
          <w:cantSplit/>
        </w:trPr>
        <w:tc>
          <w:tcPr>
            <w:tcW w:type="dxa" w:w="3293"/>
          </w:tcPr>
          <w:p>
            <w:r>
              <w:t>Held-out perturbative/spectral prediction</w:t>
            </w:r>
          </w:p>
        </w:tc>
        <w:tc>
          <w:tcPr>
            <w:tcW w:type="dxa" w:w="3293"/>
          </w:tcPr>
          <w:p>
            <w:r>
              <w:t>v50_10 H4 gauntlet then v50_11 LiH replication.</w:t>
            </w:r>
          </w:p>
        </w:tc>
        <w:tc>
          <w:tcPr>
            <w:tcW w:type="dxa" w:w="3293"/>
          </w:tcPr>
          <w:p>
            <w:r>
              <w:t>H4 tendency failed independent replication.</w:t>
            </w:r>
          </w:p>
        </w:tc>
      </w:tr>
      <w:tr>
        <w:trPr>
          <w:cantSplit/>
        </w:trPr>
        <w:tc>
          <w:tcPr>
            <w:tcW w:type="dxa" w:w="3293"/>
          </w:tcPr>
          <w:p>
            <w:r>
              <w:t>Quantum sensing / metrology-like susceptibility</w:t>
            </w:r>
          </w:p>
        </w:tc>
        <w:tc>
          <w:tcPr>
            <w:tcW w:type="dxa" w:w="3293"/>
          </w:tcPr>
          <w:p>
            <w:r>
              <w:t>v60_1 H4+LiH three-metric gauntlet.</w:t>
            </w:r>
          </w:p>
        </w:tc>
        <w:tc>
          <w:tcPr>
            <w:tcW w:type="dxa" w:w="3293"/>
          </w:tcPr>
          <w:p>
            <w:r>
              <w:t>Not demonstrated.</w:t>
            </w:r>
          </w:p>
        </w:tc>
      </w:tr>
      <w:tr>
        <w:trPr>
          <w:cantSplit/>
        </w:trPr>
        <w:tc>
          <w:tcPr>
            <w:tcW w:type="dxa" w:w="3293"/>
          </w:tcPr>
          <w:p>
            <w:r>
              <w:t>Commercial/product readiness</w:t>
            </w:r>
          </w:p>
        </w:tc>
        <w:tc>
          <w:tcPr>
            <w:tcW w:type="dxa" w:w="3293"/>
          </w:tcPr>
          <w:p>
            <w:r>
              <w:t>No resource-reduction, customer workflow, or hardware advantage established.</w:t>
            </w:r>
          </w:p>
        </w:tc>
        <w:tc>
          <w:tcPr>
            <w:tcW w:type="dxa" w:w="3293"/>
          </w:tcPr>
          <w:p>
            <w:r>
              <w:t>Not supported.</w:t>
            </w:r>
          </w:p>
        </w:tc>
      </w:tr>
    </w:tbl>
    <w:p/>
    <w:p>
      <w:pPr>
        <w:pStyle w:val="Heading1"/>
      </w:pPr>
      <w:r>
        <w:t>3. Phase 6 sensing test</w:t>
      </w:r>
    </w:p>
    <w:p>
      <w:r>
        <w:t>Phase 6 sensing gauntlet on H4 + LiH: S1 pooled AUC SS 0.5224 vs EN2 0.5378; S2 0.5053 vs 0.5299; S3 0.5515 vs 0.5387. No sensing test achieved CLEAR PASS; overall Point 1 not demonstrated.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976"/>
            <w:shd w:fill="D9E2F3"/>
            <w:vAlign w:val="center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976"/>
            <w:shd w:fill="D9E2F3"/>
            <w:vAlign w:val="center"/>
          </w:tcPr>
          <w:p>
            <w:r>
              <w:rPr>
                <w:b/>
              </w:rPr>
              <w:t>Pooled SS AUC</w:t>
            </w:r>
          </w:p>
        </w:tc>
        <w:tc>
          <w:tcPr>
            <w:tcW w:type="dxa" w:w="1976"/>
            <w:shd w:fill="D9E2F3"/>
            <w:vAlign w:val="center"/>
          </w:tcPr>
          <w:p>
            <w:r>
              <w:rPr>
                <w:b/>
              </w:rPr>
              <w:t>Pooled EN2 AUC</w:t>
            </w:r>
          </w:p>
        </w:tc>
        <w:tc>
          <w:tcPr>
            <w:tcW w:type="dxa" w:w="1976"/>
            <w:shd w:fill="D9E2F3"/>
            <w:vAlign w:val="center"/>
          </w:tcPr>
          <w:p>
            <w:r>
              <w:rPr>
                <w:b/>
              </w:rPr>
              <w:t>Delta</w:t>
            </w:r>
          </w:p>
        </w:tc>
        <w:tc>
          <w:tcPr>
            <w:tcW w:type="dxa" w:w="1976"/>
            <w:shd w:fill="D9E2F3"/>
            <w:vAlign w:val="center"/>
          </w:tcPr>
          <w:p>
            <w:r>
              <w:rPr>
                <w:b/>
              </w:rPr>
              <w:t>Outcome</w:t>
            </w:r>
          </w:p>
        </w:tc>
      </w:tr>
      <w:tr>
        <w:trPr>
          <w:cantSplit/>
        </w:trPr>
        <w:tc>
          <w:tcPr>
            <w:tcW w:type="dxa" w:w="1976"/>
          </w:tcPr>
          <w:p>
            <w:r>
              <w:t>S1 leakage susceptibility</w:t>
            </w:r>
          </w:p>
        </w:tc>
        <w:tc>
          <w:tcPr>
            <w:tcW w:type="dxa" w:w="1976"/>
          </w:tcPr>
          <w:p>
            <w:r>
              <w:t>0.5224</w:t>
            </w:r>
          </w:p>
        </w:tc>
        <w:tc>
          <w:tcPr>
            <w:tcW w:type="dxa" w:w="1976"/>
          </w:tcPr>
          <w:p>
            <w:r>
              <w:t>0.5378</w:t>
            </w:r>
          </w:p>
        </w:tc>
        <w:tc>
          <w:tcPr>
            <w:tcW w:type="dxa" w:w="1976"/>
          </w:tcPr>
          <w:p>
            <w:r>
              <w:t>-0.0155</w:t>
            </w:r>
          </w:p>
        </w:tc>
        <w:tc>
          <w:tcPr>
            <w:tcW w:type="dxa" w:w="1976"/>
          </w:tcPr>
          <w:p>
            <w:r>
              <w:t>FAIL</w:t>
            </w:r>
          </w:p>
        </w:tc>
      </w:tr>
      <w:tr>
        <w:trPr>
          <w:cantSplit/>
        </w:trPr>
        <w:tc>
          <w:tcPr>
            <w:tcW w:type="dxa" w:w="1976"/>
          </w:tcPr>
          <w:p>
            <w:r>
              <w:t>S2 first-order gap sensitivity</w:t>
            </w:r>
          </w:p>
        </w:tc>
        <w:tc>
          <w:tcPr>
            <w:tcW w:type="dxa" w:w="1976"/>
          </w:tcPr>
          <w:p>
            <w:r>
              <w:t>0.5053</w:t>
            </w:r>
          </w:p>
        </w:tc>
        <w:tc>
          <w:tcPr>
            <w:tcW w:type="dxa" w:w="1976"/>
          </w:tcPr>
          <w:p>
            <w:r>
              <w:t>0.5299</w:t>
            </w:r>
          </w:p>
        </w:tc>
        <w:tc>
          <w:tcPr>
            <w:tcW w:type="dxa" w:w="1976"/>
          </w:tcPr>
          <w:p>
            <w:r>
              <w:t>-0.0245</w:t>
            </w:r>
          </w:p>
        </w:tc>
        <w:tc>
          <w:tcPr>
            <w:tcW w:type="dxa" w:w="1976"/>
          </w:tcPr>
          <w:p>
            <w:r>
              <w:t>FAIL</w:t>
            </w:r>
          </w:p>
        </w:tc>
      </w:tr>
      <w:tr>
        <w:trPr>
          <w:cantSplit/>
        </w:trPr>
        <w:tc>
          <w:tcPr>
            <w:tcW w:type="dxa" w:w="1976"/>
          </w:tcPr>
          <w:p>
            <w:r>
              <w:t>S3 second-order gap curvature</w:t>
            </w:r>
          </w:p>
        </w:tc>
        <w:tc>
          <w:tcPr>
            <w:tcW w:type="dxa" w:w="1976"/>
          </w:tcPr>
          <w:p>
            <w:r>
              <w:t>0.5515</w:t>
            </w:r>
          </w:p>
        </w:tc>
        <w:tc>
          <w:tcPr>
            <w:tcW w:type="dxa" w:w="1976"/>
          </w:tcPr>
          <w:p>
            <w:r>
              <w:t>0.5387</w:t>
            </w:r>
          </w:p>
        </w:tc>
        <w:tc>
          <w:tcPr>
            <w:tcW w:type="dxa" w:w="1976"/>
          </w:tcPr>
          <w:p>
            <w:r>
              <w:t>+0.0128</w:t>
            </w:r>
          </w:p>
        </w:tc>
        <w:tc>
          <w:tcPr>
            <w:tcW w:type="dxa" w:w="1976"/>
          </w:tcPr>
          <w:p>
            <w:r>
              <w:t>FAIL</w:t>
            </w:r>
          </w:p>
        </w:tc>
      </w:tr>
    </w:tbl>
    <w:p/>
    <w:p>
      <w:r>
        <w:t>The Phase 6 success rule required at least two of three tests to CLEAR PASS, with pooled Soft-Spaces AUC &gt;=0.65, at least +0.10 AUC over EN2, positive direction on both molecules, positive median geometry-level advantage, and at least 10 of 16 molecule/geometries positive. No metric satisfied the full rule.</w:t>
      </w:r>
    </w:p>
    <w:p>
      <w:pPr>
        <w:pStyle w:val="Heading1"/>
      </w:pPr>
      <w:r>
        <w:t>4. H4-specific favorable behavior</w:t>
      </w:r>
    </w:p>
    <w:p>
      <w:r>
        <w:t>Across several late-stage experiments, H4 sometimes produced an encouraging Soft-Spaces-versus-EN2 direction. This pattern weakened or disappeared in LiH. The closure therefore treats H4 as evidence that a system-specific relationship can occur, not as evidence for general transferable utility.</w:t>
      </w:r>
    </w:p>
    <w:p>
      <w:pPr>
        <w:pStyle w:val="Heading1"/>
      </w:pPr>
      <w:r>
        <w:t>5. What counts as a negative result here</w:t>
      </w:r>
    </w:p>
    <w:p>
      <w:pPr>
        <w:pStyle w:val="ListBullet"/>
      </w:pPr>
      <w:r>
        <w:t>Failure of a preregistered threshold is recorded as failure even if the direction is favorable.</w:t>
      </w:r>
    </w:p>
    <w:p>
      <w:pPr>
        <w:pStyle w:val="ListBullet"/>
      </w:pPr>
      <w:r>
        <w:t>A positive structural REAL-versus-NULL signal is not counted as application success unless it improves the downstream target.</w:t>
      </w:r>
    </w:p>
    <w:p>
      <w:pPr>
        <w:pStyle w:val="ListBullet"/>
      </w:pPr>
      <w:r>
        <w:t>A result that depends on an oracle mapping using exact eigenvectors is not counted as computational speedup.</w:t>
      </w:r>
    </w:p>
    <w:p>
      <w:pPr>
        <w:pStyle w:val="ListBullet"/>
      </w:pPr>
      <w:r>
        <w:t>A comparator bridge with methodological caveats is not used as the sole basis for a strong conclusion.</w:t>
      </w:r>
    </w:p>
    <w:p>
      <w:pPr>
        <w:pStyle w:val="ListBullet"/>
      </w:pPr>
      <w:r>
        <w:t>Independent replication can overturn enthusiasm generated by a favorable single-system pattern.</w:t>
      </w:r>
    </w:p>
    <w:p>
      <w:pPr>
        <w:pStyle w:val="Heading1"/>
      </w:pPr>
      <w:r>
        <w:t>6. Commercial interpretation</w:t>
      </w:r>
    </w:p>
    <w:p>
      <w:r>
        <w:t>No present business case follows from the evidence. The program has not shown lower time-to-solution, lower measurement cost, lower circuit depth, better chemical accuracy at fixed resources, improved calibration performance, or superior sensing sensitivity in a transferable benchmark. Any attempt to market Soft Spaces as a practical quantum technology at this stage would outrun the evidence.</w:t>
      </w:r>
    </w:p>
    <w:p>
      <w:pPr>
        <w:pStyle w:val="Heading1"/>
      </w:pPr>
      <w:r>
        <w:t>7. Scientific value that remains</w:t>
      </w:r>
    </w:p>
    <w:p>
      <w:pPr>
        <w:pStyle w:val="ListBullet"/>
      </w:pPr>
      <w:r>
        <w:t>A reproducible local perturbative-eigenstructure observation under a controlled isospectral null.</w:t>
      </w:r>
    </w:p>
    <w:p>
      <w:pPr>
        <w:pStyle w:val="ListBullet"/>
      </w:pPr>
      <w:r>
        <w:t>A concrete methodology for measuring coherence/cancellation and local prominence in small Hilbert spaces.</w:t>
      </w:r>
    </w:p>
    <w:p>
      <w:pPr>
        <w:pStyle w:val="ListBullet"/>
      </w:pPr>
      <w:r>
        <w:t>A demonstration that structural signals can persist while downstream utility fails.</w:t>
      </w:r>
    </w:p>
    <w:p>
      <w:pPr>
        <w:pStyle w:val="ListBullet"/>
      </w:pPr>
      <w:r>
        <w:t>A documented example of progressive hypothesis narrowing rather than outcome-driven retuning.</w:t>
      </w:r>
    </w:p>
    <w:p>
      <w:pPr>
        <w:pStyle w:val="ListBullet"/>
      </w:pPr>
      <w:r>
        <w:t>A reproducible code-and-hash trail suitable for archival release and later independent scrutiny.</w:t>
      </w:r>
    </w:p>
    <w:p>
      <w:pPr>
        <w:pStyle w:val="Heading1"/>
      </w:pPr>
      <w:r>
        <w:t>8. Closure decision</w:t>
      </w:r>
    </w:p>
    <w:p>
      <w:r>
        <w:rPr>
          <w:b/>
        </w:rPr>
        <w:t xml:space="preserve">Decision: CLOSE the application program. </w:t>
      </w:r>
      <w:r>
        <w:t>Do not continue by trying additional application classes merely because previous ones failed. A future restart should require a genuinely new theoretical mechanism or an independently motivated observable that follows from Soft-Spaces mathematics before outcome data are inspected.</w:t>
      </w:r>
    </w:p>
    <w:p>
      <w:pPr>
        <w:pStyle w:val="Heading1"/>
      </w:pPr>
      <w:r>
        <w:t>9. Recommended archival framing</w:t>
      </w:r>
    </w:p>
    <w:p>
      <w:r>
        <w:t>The project should be archived as a discovery-and-limits program rather than as a failed product effort. The most defensible title-level message is: reproducible perturbative eigenstructure was found; extensive downstream tests did not establish robust transferable utility. This framing preserves the positive result without hiding the negative evidence.</w:t>
      </w:r>
    </w:p>
    <w:p>
      <w:pPr>
        <w:pStyle w:val="Heading1"/>
      </w:pPr>
      <w:r>
        <w:t>Cross-cutting limitations</w:t>
      </w:r>
    </w:p>
    <w:p>
      <w:pPr>
        <w:pStyle w:val="ListBullet"/>
      </w:pPr>
      <w:r>
        <w:t>The molecular benchmarks are small and use STO-3G; they do not establish transfer to chemically realistic basis sets or large active spaces.</w:t>
      </w:r>
    </w:p>
    <w:p>
      <w:pPr>
        <w:pStyle w:val="ListBullet"/>
      </w:pPr>
      <w:r>
        <w:t>The fixed-particle projection removes many nominal transverse Pauli terms. In the H4 molecular setting, 9 of 15 projected transverse terms were zero; in the Phase 6 LiH runs, 13 projected transverse terms were zero. This is a structural adaptation, not a cosmetic implementation detail.</w:t>
      </w:r>
    </w:p>
    <w:p>
      <w:pPr>
        <w:pStyle w:val="ListBullet"/>
      </w:pPr>
      <w:r>
        <w:t>The EN2-to-eigenpair mapping is an explicit bridge, not a canonical EN2 observable. It is useful as a comparator but should not be presented as a standard definition of EN2 hotspot prediction.</w:t>
      </w:r>
    </w:p>
    <w:p>
      <w:pPr>
        <w:pStyle w:val="ListBullet"/>
      </w:pPr>
      <w:r>
        <w:t>Several downstream tests use exact eigensystems to evaluate information content. They therefore do not demonstrate end-to-end computational speedup.</w:t>
      </w:r>
    </w:p>
    <w:p>
      <w:pPr>
        <w:pStyle w:val="ListBullet"/>
      </w:pPr>
      <w:r>
        <w:t>The v50_8 hotspot-predictability analysis had an eligibility-set caveat: using all adjacent pairs as negatives can mix in pairs that were not eligible under the v50_7c gap criterion. The closing conclusions therefore do not depend on v50_8 as decisive evidence.</w:t>
      </w:r>
    </w:p>
    <w:p>
      <w:pPr>
        <w:pStyle w:val="ListBullet"/>
      </w:pPr>
      <w:r>
        <w:t>The project deliberately avoids post-hoc threshold relaxation after negative confirmatory outcomes.</w:t>
      </w:r>
    </w:p>
    <w:p>
      <w:pPr>
        <w:pStyle w:val="Heading1"/>
      </w:pPr>
      <w:r>
        <w:t>Traceability</w:t>
      </w:r>
    </w:p>
    <w:p>
      <w:r>
        <w:t>The decision-relevant executable artifacts are retained by version and SHA-256. Detailed result tables are given in the overview paper and in the machine-readable outputs.</w:t>
      </w:r>
    </w:p>
    <w:p>
      <w:pPr>
        <w:pStyle w:val="ListBullet"/>
      </w:pPr>
      <w:r>
        <w:rPr>
          <w:b/>
        </w:rPr>
        <w:t xml:space="preserve">v50_7c dual-gate confirmation: </w:t>
      </w:r>
      <w:r>
        <w:rPr>
          <w:sz w:val="16"/>
        </w:rPr>
        <w:t>72ea9c315aa1fbd59ffaa1a81d1703d7cdaa71e74be8a98dccff7f8d519c7c24</w:t>
      </w:r>
    </w:p>
    <w:p>
      <w:pPr>
        <w:pStyle w:val="ListBullet"/>
      </w:pPr>
      <w:r>
        <w:rPr>
          <w:b/>
        </w:rPr>
        <w:t xml:space="preserve">v50_8 EN2 hotspot predictability: </w:t>
      </w:r>
      <w:r>
        <w:rPr>
          <w:sz w:val="16"/>
        </w:rPr>
        <w:t>ce080b53a03c30f1ded9e60f295211e15ef28bd63eb0b6c437f595e6623f15e6</w:t>
      </w:r>
    </w:p>
    <w:p>
      <w:pPr>
        <w:pStyle w:val="ListBullet"/>
      </w:pPr>
      <w:r>
        <w:rPr>
          <w:b/>
        </w:rPr>
        <w:t xml:space="preserve">v50_9 matched-budget utility: </w:t>
      </w:r>
      <w:r>
        <w:rPr>
          <w:sz w:val="16"/>
        </w:rPr>
        <w:t>b0f140f324c4857eff6d4112badae23a189bba5f247cdcfd9deae9f2142c4cf5</w:t>
      </w:r>
    </w:p>
    <w:p>
      <w:pPr>
        <w:pStyle w:val="ListBullet"/>
      </w:pPr>
      <w:r>
        <w:rPr>
          <w:b/>
        </w:rPr>
        <w:t xml:space="preserve">v50_10 H4 gauntlet: </w:t>
      </w:r>
      <w:r>
        <w:rPr>
          <w:sz w:val="16"/>
        </w:rPr>
        <w:t>0fd38eb8f8a9f33bc13cdb77e4c87d467fbdff8b2600a99da3d0389f6f92e5c5</w:t>
      </w:r>
    </w:p>
    <w:p>
      <w:pPr>
        <w:pStyle w:val="ListBullet"/>
      </w:pPr>
      <w:r>
        <w:rPr>
          <w:b/>
        </w:rPr>
        <w:t xml:space="preserve">v50_11 LiH replication: </w:t>
      </w:r>
      <w:r>
        <w:rPr>
          <w:sz w:val="16"/>
        </w:rPr>
        <w:t>e59e7eeccbb285aaa8d84819e96fb73e59ac7412824ec5bef8f0fda59439cc9a</w:t>
      </w:r>
    </w:p>
    <w:p>
      <w:pPr>
        <w:pStyle w:val="Heading1"/>
      </w:pPr>
      <w:r>
        <w:t>Final conclusion</w:t>
      </w:r>
    </w:p>
    <w:p>
      <w:r>
        <w:t>Soft Spaces should presently be regarded as a bounded research finding: a reproducible perturbative eigenstructure with no demonstrated general application advantage. The decision to stop is therefore not abandonment of the evidence but the final consequence of taking the evidence seriously.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Soft Spaces Research Project | Closing Series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