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003493 RFP - Pacific Region MATOC, </w:t>
      </w:r>
      <w:r>
        <w:rPr>
          <w:b w:val="1"/>
          <w:bCs w:val="1"/>
          <w:sz w:val="28"/>
          <w:szCs w:val="28"/>
        </w:rPr>
        <w:br w:type="textWrapping"/>
      </w:r>
      <w:r>
        <w:rPr>
          <w:b w:val="1"/>
          <w:bCs w:val="1"/>
          <w:sz w:val="28"/>
          <w:szCs w:val="28"/>
          <w:rtl w:val="0"/>
          <w:lang w:val="en-US"/>
        </w:rPr>
        <w:t xml:space="preserve">for abatement and demolition services at NASA at </w:t>
      </w:r>
      <w:r>
        <w:rPr>
          <w:b w:val="1"/>
          <w:bCs w:val="1"/>
          <w:sz w:val="28"/>
          <w:szCs w:val="28"/>
        </w:rPr>
        <w:br w:type="textWrapping"/>
      </w:r>
      <w:r>
        <w:rPr>
          <w:b w:val="1"/>
          <w:bCs w:val="1"/>
          <w:sz w:val="28"/>
          <w:szCs w:val="28"/>
          <w:rtl w:val="0"/>
          <w:lang w:val="en-US"/>
        </w:rPr>
        <w:t>Santa Susana Field Laboratory (SSFL), Ventura County, CA</w:t>
      </w:r>
    </w:p>
    <w:p>
      <w:pPr>
        <w:pStyle w:val="Body A"/>
        <w:jc w:val="center"/>
      </w:pPr>
      <w:r>
        <w:rPr>
          <w:rtl w:val="0"/>
          <w:lang w:val="en-US"/>
        </w:rPr>
        <w:t>Submitted on</w:t>
      </w:r>
      <w:r>
        <w:rPr>
          <w:rtl w:val="0"/>
          <w:lang w:val="en-US"/>
        </w:rPr>
        <w:t>: 21</w:t>
      </w:r>
      <w:r>
        <w:rPr>
          <w:rtl w:val="0"/>
          <w:lang w:val="en-US"/>
        </w:rPr>
        <w:t>-</w:t>
      </w:r>
      <w:r>
        <w:rPr>
          <w:rtl w:val="0"/>
          <w:lang w:val="en-US"/>
        </w:rPr>
        <w:t>July</w:t>
      </w:r>
      <w:r>
        <w:rPr>
          <w:rtl w:val="0"/>
          <w:lang w:val="en-US"/>
        </w:rPr>
        <w:t>-</w:t>
      </w:r>
      <w:r>
        <w:rPr>
          <w:rtl w:val="0"/>
          <w:lang w:val="en-US"/>
        </w:rPr>
        <w:t>2022 12:00</w:t>
      </w:r>
      <w:r>
        <w:rPr>
          <w:rtl w:val="0"/>
          <w:lang w:val="en-US"/>
        </w:rPr>
        <w:t xml:space="preserve"> local time</w:t>
      </w:r>
    </w:p>
    <w:p>
      <w:pPr>
        <w:pStyle w:val="Body A"/>
        <w:jc w:val="center"/>
      </w:pPr>
      <w:r>
        <w:rPr>
          <w:rtl w:val="0"/>
          <w:lang w:val="en-US"/>
        </w:rPr>
        <w:t xml:space="preserve">Submit to: Reneda.d.kelley@usace.army.mil | Darrell.d.walker@usace.army.mil | FRPProposalsInboxhnc@usace.army.mil </w:t>
      </w:r>
    </w:p>
    <w:p>
      <w:pPr>
        <w:pStyle w:val="Body A"/>
      </w:pPr>
    </w:p>
    <w:p>
      <w:pPr>
        <w:pStyle w:val="Body A"/>
      </w:pPr>
    </w:p>
    <w:p>
      <w:pPr>
        <w:pStyle w:val="Body A"/>
      </w:pPr>
    </w:p>
    <w:p>
      <w:pPr>
        <w:pStyle w:val="Body A"/>
        <w:jc w:val="center"/>
        <w:rPr>
          <w:b w:val="1"/>
          <w:bCs w:val="1"/>
          <w:sz w:val="28"/>
          <w:szCs w:val="28"/>
        </w:rPr>
      </w:pPr>
      <w:r>
        <w:rPr>
          <w:b w:val="1"/>
          <w:bCs w:val="1"/>
          <w:sz w:val="28"/>
          <w:szCs w:val="28"/>
          <w:rtl w:val="0"/>
          <w:lang w:val="en-US"/>
        </w:rPr>
        <w:t>All Phase Services, Inc.</w:t>
      </w:r>
    </w:p>
    <w:p>
      <w:pPr>
        <w:pStyle w:val="Body A"/>
        <w:jc w:val="center"/>
        <w:rPr>
          <w:b w:val="1"/>
          <w:bCs w:val="1"/>
          <w:i w:val="1"/>
          <w:iCs w:val="1"/>
        </w:rPr>
      </w:pPr>
      <w:r>
        <w:rPr>
          <w:b w:val="1"/>
          <w:bCs w:val="1"/>
          <w:rtl w:val="0"/>
          <w:lang w:val="en-US"/>
        </w:rPr>
        <w:t>POC Name: ___________</w:t>
      </w:r>
      <w:r>
        <w:rPr>
          <w:b w:val="1"/>
          <w:bCs w:val="1"/>
        </w:rPr>
        <w:br w:type="textWrapping"/>
      </w:r>
      <w:r>
        <w:rPr>
          <w:b w:val="1"/>
          <w:bCs w:val="1"/>
          <w:rtl w:val="0"/>
          <w:lang w:val="en-US"/>
        </w:rPr>
        <w:t xml:space="preserve">Email: </w:t>
      </w:r>
      <w:r>
        <w:rPr>
          <w:rStyle w:val="Hyperlink.0"/>
          <w:b w:val="1"/>
          <w:bCs w:val="1"/>
        </w:rPr>
        <w:fldChar w:fldCharType="begin" w:fldLock="0"/>
      </w:r>
      <w:r>
        <w:rPr>
          <w:rStyle w:val="Hyperlink.0"/>
          <w:b w:val="1"/>
          <w:bCs w:val="1"/>
        </w:rPr>
        <w:instrText xml:space="preserve"> HYPERLINK "mailto:srabah@allphaseenv.com"</w:instrText>
      </w:r>
      <w:r>
        <w:rPr>
          <w:rStyle w:val="Hyperlink.0"/>
          <w:b w:val="1"/>
          <w:bCs w:val="1"/>
        </w:rPr>
        <w:fldChar w:fldCharType="separate" w:fldLock="0"/>
      </w:r>
      <w:r>
        <w:rPr>
          <w:rStyle w:val="Hyperlink.0"/>
          <w:b w:val="1"/>
          <w:bCs w:val="1"/>
          <w:rtl w:val="0"/>
          <w:lang w:val="en-US"/>
        </w:rPr>
        <w:t>srabah@allphaseenv.com</w:t>
      </w:r>
      <w:r>
        <w:rPr>
          <w:b w:val="1"/>
          <w:bCs w:val="1"/>
        </w:rPr>
        <w:fldChar w:fldCharType="end" w:fldLock="0"/>
      </w:r>
      <w:r>
        <w:rPr>
          <w:b w:val="1"/>
          <w:bCs w:val="1"/>
        </w:rPr>
        <w:br w:type="textWrapping"/>
      </w:r>
      <w:r>
        <w:rPr>
          <w:b w:val="1"/>
          <w:bCs w:val="1"/>
          <w:rtl w:val="0"/>
          <w:lang w:val="en-US"/>
        </w:rPr>
        <w:t>34 SW 5th Avenue</w:t>
      </w:r>
      <w:r>
        <w:rPr>
          <w:b w:val="1"/>
          <w:bCs w:val="1"/>
          <w:rtl w:val="0"/>
          <w:lang w:val="en-US"/>
        </w:rPr>
        <w:t xml:space="preserve"> | </w:t>
      </w:r>
      <w:r>
        <w:rPr>
          <w:b w:val="1"/>
          <w:bCs w:val="1"/>
          <w:rtl w:val="0"/>
          <w:lang w:val="en-US"/>
        </w:rPr>
        <w:t>Delray Beach FL 33444 US</w:t>
      </w:r>
      <w:r>
        <w:rPr>
          <w:b w:val="1"/>
          <w:bCs w:val="1"/>
        </w:rPr>
        <w:br w:type="textWrapping"/>
      </w:r>
      <w:r>
        <w:rPr>
          <w:b w:val="1"/>
          <w:bCs w:val="1"/>
          <w:rtl w:val="0"/>
          <w:lang w:val="en-US"/>
        </w:rPr>
        <w:t>Phone: 561-620-8222 or 561-756-6647</w:t>
      </w:r>
      <w:r>
        <w:rPr>
          <w:b w:val="1"/>
          <w:bCs w:val="1"/>
          <w:rtl w:val="0"/>
          <w:lang w:val="en-US"/>
        </w:rPr>
        <w:t xml:space="preserve"> | </w:t>
      </w:r>
      <w:r>
        <w:rPr>
          <w:b w:val="1"/>
          <w:bCs w:val="1"/>
          <w:rtl w:val="0"/>
          <w:lang w:val="en-US"/>
        </w:rPr>
        <w:t>Fax: 866-260-2024</w:t>
      </w:r>
      <w:r>
        <w:rPr>
          <w:b w:val="1"/>
          <w:bCs w:val="1"/>
          <w:rtl w:val="0"/>
          <w:lang w:val="en-US"/>
        </w:rPr>
        <w:t xml:space="preserve"> | </w:t>
      </w:r>
      <w:r>
        <w:rPr>
          <w:b w:val="1"/>
          <w:bCs w:val="1"/>
          <w:rtl w:val="0"/>
          <w:lang w:val="en-US"/>
        </w:rPr>
        <w:t>Web: http://allphase.org</w:t>
      </w:r>
    </w:p>
    <w:p>
      <w:pPr>
        <w:pStyle w:val="Body A"/>
      </w:pPr>
    </w:p>
    <w:p>
      <w:pPr>
        <w:pStyle w:val="Body A"/>
        <w:pageBreakBefore w:val="1"/>
        <w:rPr>
          <w:b w:val="1"/>
          <w:bCs w:val="1"/>
        </w:rPr>
      </w:pPr>
      <w:r>
        <w:rPr>
          <w:b w:val="1"/>
          <w:bCs w:val="1"/>
          <w:rtl w:val="0"/>
          <w:lang w:val="en-US"/>
        </w:rPr>
        <w:t>Cover Letter</w:t>
      </w:r>
    </w:p>
    <w:p>
      <w:pPr>
        <w:pStyle w:val="Body A"/>
      </w:pPr>
    </w:p>
    <w:p>
      <w:pPr>
        <w:pStyle w:val="Body A"/>
        <w:rPr>
          <w:i w:val="1"/>
          <w:iCs w:val="1"/>
          <w:color w:val="bf4c85"/>
        </w:rPr>
      </w:pPr>
      <w:r>
        <w:rPr>
          <w:b w:val="1"/>
          <w:bCs w:val="1"/>
          <w:i w:val="0"/>
          <w:iCs w:val="0"/>
          <w:color w:val="bf4c85"/>
          <w:u w:val="single"/>
          <w:rtl w:val="0"/>
          <w:lang w:val="en-US"/>
        </w:rPr>
        <w:t>Include</w:t>
      </w:r>
      <w:r>
        <w:rPr>
          <w:i w:val="1"/>
          <w:iCs w:val="1"/>
          <w:color w:val="bf4c85"/>
          <w:rtl w:val="0"/>
          <w:lang w:val="en-US"/>
        </w:rPr>
        <w:t xml:space="preserve">: </w:t>
      </w:r>
      <w:r>
        <w:rPr>
          <w:i w:val="1"/>
          <w:iCs w:val="1"/>
          <w:color w:val="bf4c85"/>
          <w:rtl w:val="0"/>
          <w:lang w:val="en-US"/>
        </w:rPr>
        <w:t xml:space="preserve">the offeror shall provide a signed cover letter with the total price of the project, (including demolition, and abatement, if necessary) </w:t>
      </w:r>
    </w:p>
    <w:p>
      <w:pPr>
        <w:pStyle w:val="Body A"/>
        <w:rPr>
          <w:color w:val="bf4c85"/>
        </w:rPr>
      </w:pPr>
      <w:r>
        <w:rPr>
          <w:b w:val="1"/>
          <w:bCs w:val="1"/>
          <w:color w:val="bf4c85"/>
          <w:u w:val="single"/>
          <w:rtl w:val="0"/>
          <w:lang w:val="en-US"/>
        </w:rPr>
        <w:t>Include</w:t>
      </w:r>
      <w:r>
        <w:rPr>
          <w:color w:val="bf4c85"/>
          <w:rtl w:val="0"/>
          <w:lang w:val="en-US"/>
        </w:rPr>
        <w:t xml:space="preserve">: </w:t>
      </w:r>
      <w:r>
        <w:rPr>
          <w:color w:val="bf4c85"/>
          <w:rtl w:val="0"/>
          <w:lang w:val="de-DE"/>
        </w:rPr>
        <w:t>Attachment B</w:t>
      </w:r>
      <w:r>
        <w:rPr>
          <w:color w:val="bf4c85"/>
          <w:rtl w:val="0"/>
          <w:lang w:val="en-US"/>
        </w:rPr>
        <w:t xml:space="preserve"> - Summary Spreadsheet </w:t>
      </w:r>
    </w:p>
    <w:p>
      <w:pPr>
        <w:pStyle w:val="Body A"/>
      </w:pPr>
    </w:p>
    <w:p>
      <w:pPr>
        <w:pStyle w:val="Body A"/>
      </w:pPr>
    </w:p>
    <w:p>
      <w:pPr>
        <w:pStyle w:val="Body A"/>
        <w:pageBreakBefore w:val="1"/>
        <w:rPr>
          <w:b w:val="1"/>
          <w:bCs w:val="1"/>
        </w:rPr>
      </w:pPr>
      <w:r>
        <w:rPr>
          <w:b w:val="1"/>
          <w:bCs w:val="1"/>
          <w:rtl w:val="0"/>
          <w:lang w:val="en-US"/>
        </w:rPr>
        <w:t>Contents</w:t>
      </w:r>
    </w:p>
    <w:p>
      <w:pPr>
        <w:pStyle w:val="Body A"/>
      </w:pPr>
      <w:r>
        <w:rPr>
          <w:b w:val="1"/>
          <w:bCs w:val="1"/>
        </w:rPr>
        <w:fldChar w:fldCharType="begin" w:fldLock="0"/>
      </w:r>
      <w:r>
        <w:rPr>
          <w:b w:val="1"/>
          <w:bCs w:val="1"/>
        </w:rPr>
        <w:instrText xml:space="preserve"> TOC \o 1-2 </w:instrText>
      </w:r>
      <w:r>
        <w:rPr>
          <w:b w:val="1"/>
          <w:bCs w:val="1"/>
        </w:rPr>
        <w:fldChar w:fldCharType="separate" w:fldLock="0"/>
      </w:r>
    </w:p>
    <w:p>
      <w:pPr>
        <w:keepNext w:val="0"/>
        <w:keepLines w:val="0"/>
        <w:pageBreakBefore w:val="0"/>
        <w:widowControl w:val="1"/>
        <w:shd w:val="clear" w:color="auto" w:fill="auto"/>
        <w:tabs>
          <w:tab w:val="left" w:pos="6120" w:leader="dot"/>
        </w:tabs>
        <w:suppressAutoHyphens w:val="0"/>
        <w:bidi w:val="0"/>
        <w:spacing w:before="6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Technical Approach</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instrText xml:space="preserve"> PAGEREF _Toc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6120" w:leader="dot"/>
        </w:tabs>
        <w:suppressAutoHyphens w:val="0"/>
        <w:bidi w:val="0"/>
        <w:spacing w:before="6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Table: Assumptions and Exceptions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instrText xml:space="preserve"> PAGEREF _Toc1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6120" w:leader="dot"/>
        </w:tabs>
        <w:suppressAutoHyphens w:val="0"/>
        <w:bidi w:val="0"/>
        <w:spacing w:before="6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Table: Structures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instrText xml:space="preserve"> PAGEREF _Toc2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6120" w:leader="dot"/>
        </w:tabs>
        <w:suppressAutoHyphens w:val="0"/>
        <w:bidi w:val="0"/>
        <w:spacing w:before="6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Project Planning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instrText xml:space="preserve"> PAGEREF _Toc3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6120" w:leader="dot"/>
        </w:tabs>
        <w:suppressAutoHyphens w:val="0"/>
        <w:bidi w:val="0"/>
        <w:spacing w:before="6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fr-FR"/>
        </w:rPr>
        <w:t>On-Site Management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instrText xml:space="preserve"> PAGEREF _Toc4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6120" w:leader="dot"/>
        </w:tabs>
        <w:suppressAutoHyphens w:val="0"/>
        <w:bidi w:val="0"/>
        <w:spacing w:before="6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Logistics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instrText xml:space="preserve"> PAGEREF _Toc5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6120" w:leader="dot"/>
        </w:tabs>
        <w:suppressAutoHyphens w:val="0"/>
        <w:bidi w:val="0"/>
        <w:spacing w:before="6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Table: Types and numbers of pieces of equipment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instrText xml:space="preserve"> PAGEREF _Toc6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6120" w:leader="dot"/>
        </w:tabs>
        <w:suppressAutoHyphens w:val="0"/>
        <w:bidi w:val="0"/>
        <w:spacing w:before="6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Table: Staffing plan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instrText xml:space="preserve"> PAGEREF _Toc7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6120" w:leader="dot"/>
        </w:tabs>
        <w:suppressAutoHyphens w:val="0"/>
        <w:bidi w:val="0"/>
        <w:spacing w:before="6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Table: Expected materials for diversion / rates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instrText xml:space="preserve"> PAGEREF _Toc8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6120" w:leader="dot"/>
        </w:tabs>
        <w:suppressAutoHyphens w:val="0"/>
        <w:bidi w:val="0"/>
        <w:spacing w:before="6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Table: Types and numbers of pieces of equipment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instrText xml:space="preserve"> PAGEREF _Toc9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6120" w:leader="dot"/>
        </w:tabs>
        <w:suppressAutoHyphens w:val="0"/>
        <w:bidi w:val="0"/>
        <w:spacing w:before="6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Table: Materials to be disposed at landfill</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instrText xml:space="preserve"> PAGEREF _Toc10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6120" w:leader="dot"/>
        </w:tabs>
        <w:suppressAutoHyphens w:val="0"/>
        <w:bidi w:val="0"/>
        <w:spacing w:before="6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Appendix: Proposed Project Schedule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instrText xml:space="preserve"> PAGEREF _Toc11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6120" w:leader="dot"/>
        </w:tabs>
        <w:suppressAutoHyphens w:val="0"/>
        <w:bidi w:val="0"/>
        <w:spacing w:before="6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Appendix: Maps and Figures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instrText xml:space="preserve"> PAGEREF _Toc12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fldChar w:fldCharType="end" w:fldLock="0"/>
      </w:r>
    </w:p>
    <w:p>
      <w:pPr>
        <w:pStyle w:val="Body A"/>
      </w:pPr>
      <w:r>
        <w:rPr>
          <w:b w:val="1"/>
          <w:bCs w:val="1"/>
        </w:rPr>
        <w:fldChar w:fldCharType="end" w:fldLock="0"/>
      </w:r>
      <w:r>
        <w:rPr>
          <w:rFonts w:ascii="Arial Unicode MS" w:cs="Arial Unicode MS" w:hAnsi="Arial Unicode MS" w:eastAsia="Arial Unicode MS"/>
          <w:b w:val="0"/>
          <w:bCs w:val="0"/>
          <w:i w:val="0"/>
          <w:iCs w:val="0"/>
        </w:rPr>
        <w:br w:type="page"/>
      </w: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pPr>
    </w:p>
    <w:p>
      <w:pPr>
        <w:pStyle w:val="Body A"/>
      </w:pPr>
    </w:p>
    <w:p>
      <w:pPr>
        <w:pStyle w:val="Heading 1"/>
      </w:pPr>
      <w:bookmarkStart w:name="_Toc" w:id="0"/>
      <w:r>
        <w:rPr>
          <w:rFonts w:cs="Arial Unicode MS" w:eastAsia="Arial Unicode MS"/>
          <w:rtl w:val="0"/>
        </w:rPr>
        <w:t>Technical Approach</w:t>
      </w:r>
      <w:bookmarkEnd w:id="0"/>
    </w:p>
    <w:p>
      <w:pPr>
        <w:pStyle w:val="Body A"/>
      </w:pPr>
      <w:r>
        <w:rPr>
          <w:rtl w:val="0"/>
        </w:rPr>
        <w:t>All Phase Services, Inc.</w:t>
      </w:r>
      <w:r>
        <w:rPr>
          <w:rtl w:val="0"/>
        </w:rPr>
        <w:t xml:space="preserve"> (</w:t>
      </w:r>
      <w:r>
        <w:rPr>
          <w:rtl w:val="0"/>
        </w:rPr>
        <w:t>“</w:t>
      </w:r>
      <w:r>
        <w:rPr>
          <w:rtl w:val="0"/>
        </w:rPr>
        <w:t>AllPhase</w:t>
      </w:r>
      <w:r>
        <w:rPr>
          <w:rtl w:val="0"/>
        </w:rPr>
        <w:t>”</w:t>
      </w:r>
      <w:r>
        <w:rPr>
          <w:rtl w:val="0"/>
        </w:rPr>
        <w:t>) submits this technical</w:t>
      </w:r>
      <w:r>
        <w:rPr>
          <w:rtl w:val="0"/>
        </w:rPr>
        <w:t xml:space="preserve"> proposal in response to </w:t>
      </w:r>
      <w:r>
        <w:rPr>
          <w:rtl w:val="0"/>
        </w:rPr>
        <w:t>the</w:t>
      </w:r>
      <w:r>
        <w:rPr>
          <w:rtl w:val="0"/>
        </w:rPr>
        <w:t xml:space="preserve"> task order Request for Proposal (RFP) under the Facilities Reduction Program</w:t>
      </w:r>
      <w:r>
        <w:rPr>
          <w:rtl w:val="0"/>
        </w:rPr>
        <w:t xml:space="preserve">. AllPhase is a specialist demolition company, with over a decade of federal construction and demolition project experience. </w:t>
      </w:r>
      <w:r>
        <w:rPr>
          <w:rtl w:val="0"/>
        </w:rPr>
        <w:t xml:space="preserve"> </w:t>
      </w:r>
    </w:p>
    <w:p>
      <w:pPr>
        <w:pStyle w:val="Heading 2"/>
        <w:suppressAutoHyphens w:val="1"/>
      </w:pPr>
      <w:bookmarkStart w:name="_Toc1" w:id="1"/>
      <w:r>
        <w:rPr>
          <w:u w:val="single"/>
          <w:rtl w:val="0"/>
          <w:lang w:val="en-US"/>
        </w:rPr>
        <w:t>Table</w:t>
      </w:r>
      <w:r>
        <w:rPr>
          <w:rtl w:val="0"/>
          <w:lang w:val="en-US"/>
        </w:rPr>
        <w:t>: Assumptions and Exceptions</w:t>
      </w:r>
      <w:bookmarkEnd w:id="1"/>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6769"/>
        <w:gridCol w:w="2571"/>
      </w:tblGrid>
      <w:tr>
        <w:tblPrEx>
          <w:shd w:val="clear" w:color="auto" w:fill="00a2ff"/>
        </w:tblPrEx>
        <w:trPr>
          <w:trHeight w:val="500" w:hRule="atLeast"/>
          <w:tblHeader/>
        </w:trPr>
        <w:tc>
          <w:tcPr>
            <w:tcW w:type="dxa" w:w="676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 xml:space="preserve">Assumption </w:t>
            </w:r>
          </w:p>
        </w:tc>
        <w:tc>
          <w:tcPr>
            <w:tcW w:type="dxa" w:w="257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Deviations/Exceptions</w:t>
            </w:r>
          </w:p>
        </w:tc>
      </w:tr>
      <w:tr>
        <w:tblPrEx>
          <w:shd w:val="clear" w:color="auto" w:fill="cadfff"/>
        </w:tblPrEx>
        <w:trPr>
          <w:trHeight w:val="500" w:hRule="atLeast"/>
        </w:trPr>
        <w:tc>
          <w:tcPr>
            <w:tcW w:type="dxa" w:w="676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Approach to demolition of structures:</w:t>
            </w:r>
          </w:p>
        </w:tc>
        <w:tc>
          <w:tcPr>
            <w:tcW w:type="dxa" w:w="257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 exceptions are taken</w:t>
            </w:r>
          </w:p>
        </w:tc>
      </w:tr>
      <w:tr>
        <w:tblPrEx>
          <w:shd w:val="clear" w:color="auto" w:fill="cadfff"/>
        </w:tblPrEx>
        <w:trPr>
          <w:trHeight w:val="480" w:hRule="atLeast"/>
        </w:trPr>
        <w:tc>
          <w:tcPr>
            <w:tcW w:type="dxa" w:w="6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 xml:space="preserve">Milestones and schedule: </w:t>
            </w:r>
          </w:p>
        </w:tc>
        <w:tc>
          <w:tcPr>
            <w:tcW w:type="dxa" w:w="25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 exceptions are taken</w:t>
            </w:r>
          </w:p>
        </w:tc>
      </w:tr>
      <w:tr>
        <w:tblPrEx>
          <w:shd w:val="clear" w:color="auto" w:fill="cadfff"/>
        </w:tblPrEx>
        <w:trPr>
          <w:trHeight w:val="480" w:hRule="atLeast"/>
        </w:trPr>
        <w:tc>
          <w:tcPr>
            <w:tcW w:type="dxa" w:w="6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 xml:space="preserve">Applicable regulations: </w:t>
            </w:r>
          </w:p>
        </w:tc>
        <w:tc>
          <w:tcPr>
            <w:tcW w:type="dxa" w:w="25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 exceptions are taken</w:t>
            </w:r>
          </w:p>
        </w:tc>
      </w:tr>
      <w:tr>
        <w:tblPrEx>
          <w:shd w:val="clear" w:color="auto" w:fill="cadfff"/>
        </w:tblPrEx>
        <w:trPr>
          <w:trHeight w:val="480" w:hRule="atLeast"/>
        </w:trPr>
        <w:tc>
          <w:tcPr>
            <w:tcW w:type="dxa" w:w="6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 xml:space="preserve">Other assumptions: </w:t>
            </w:r>
          </w:p>
        </w:tc>
        <w:tc>
          <w:tcPr>
            <w:tcW w:type="dxa" w:w="25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 exceptions are taken</w:t>
            </w:r>
          </w:p>
        </w:tc>
      </w:tr>
    </w:tbl>
    <w:p>
      <w:pPr>
        <w:pStyle w:val="Body A"/>
        <w:rPr>
          <w:b w:val="1"/>
          <w:bCs w:val="1"/>
        </w:rPr>
      </w:pPr>
    </w:p>
    <w:p>
      <w:pPr>
        <w:pStyle w:val="Body A"/>
      </w:pPr>
      <w:r>
        <w:rPr>
          <w:rtl w:val="0"/>
        </w:rPr>
        <w:t xml:space="preserve">According to OSHA, labor for wrecking and demolition work falls under the </w:t>
      </w:r>
      <w:r>
        <w:rPr>
          <w:i w:val="1"/>
          <w:iCs w:val="1"/>
          <w:rtl w:val="0"/>
          <w:lang w:val="en-US"/>
        </w:rPr>
        <w:t>Special Trade Contractors</w:t>
      </w:r>
      <w:r>
        <w:rPr>
          <w:rtl w:val="0"/>
        </w:rPr>
        <w:t xml:space="preserve"> category </w:t>
      </w:r>
      <w:r>
        <w:rPr>
          <w:rtl w:val="0"/>
        </w:rPr>
        <w:t xml:space="preserve">— </w:t>
      </w:r>
      <w:r>
        <w:rPr>
          <w:rtl w:val="0"/>
        </w:rPr>
        <w:t xml:space="preserve">and AllPhase </w:t>
      </w:r>
      <w:r>
        <w:rPr>
          <w:rtl w:val="0"/>
        </w:rPr>
        <w:t>bring</w:t>
      </w:r>
      <w:r>
        <w:rPr>
          <w:rtl w:val="0"/>
        </w:rPr>
        <w:t>s</w:t>
      </w:r>
      <w:r>
        <w:rPr>
          <w:rtl w:val="0"/>
        </w:rPr>
        <w:t xml:space="preserve"> expertise in</w:t>
      </w:r>
      <w:r>
        <w:rPr>
          <w:rtl w:val="0"/>
        </w:rPr>
        <w:t xml:space="preserve"> c</w:t>
      </w:r>
      <w:r>
        <w:rPr>
          <w:rtl w:val="0"/>
        </w:rPr>
        <w:t>oncrete breaking</w:t>
      </w:r>
      <w:r>
        <w:rPr>
          <w:rtl w:val="0"/>
        </w:rPr>
        <w:t>, d</w:t>
      </w:r>
      <w:r>
        <w:rPr>
          <w:rtl w:val="0"/>
        </w:rPr>
        <w:t xml:space="preserve">emolition of buildings </w:t>
      </w:r>
      <w:r>
        <w:rPr>
          <w:rtl w:val="0"/>
        </w:rPr>
        <w:t>and</w:t>
      </w:r>
      <w:r>
        <w:rPr>
          <w:rtl w:val="0"/>
        </w:rPr>
        <w:t xml:space="preserve"> other structures</w:t>
      </w:r>
      <w:r>
        <w:rPr>
          <w:rtl w:val="0"/>
        </w:rPr>
        <w:t>, d</w:t>
      </w:r>
      <w:r>
        <w:rPr>
          <w:rtl w:val="0"/>
        </w:rPr>
        <w:t>ismantling steel tanks</w:t>
      </w:r>
      <w:r>
        <w:rPr>
          <w:rtl w:val="0"/>
        </w:rPr>
        <w:t>, and other expertise in the w</w:t>
      </w:r>
      <w:r>
        <w:rPr>
          <w:rtl w:val="0"/>
        </w:rPr>
        <w:t>recking of structures</w:t>
      </w:r>
      <w:r>
        <w:rPr>
          <w:rtl w:val="0"/>
        </w:rPr>
        <w:t>. To make this project a success, AllPhase recognizes that k</w:t>
      </w:r>
      <w:r>
        <w:rPr>
          <w:rtl w:val="0"/>
        </w:rPr>
        <w:t xml:space="preserve">eeping costs under control during demolition is as essential as during construction. </w:t>
      </w:r>
      <w:r>
        <w:rPr>
          <w:rtl w:val="0"/>
        </w:rPr>
        <w:t>Our Project Manager (PM) is</w:t>
      </w:r>
      <w:r>
        <w:rPr>
          <w:rtl w:val="0"/>
        </w:rPr>
        <w:t xml:space="preserve"> dedicated to cost control and budgeting</w:t>
      </w:r>
      <w:r>
        <w:rPr>
          <w:rtl w:val="0"/>
        </w:rPr>
        <w:t xml:space="preserve">, and will </w:t>
      </w:r>
      <w:r>
        <w:rPr>
          <w:rtl w:val="0"/>
        </w:rPr>
        <w:t xml:space="preserve">work closely with </w:t>
      </w:r>
      <w:r>
        <w:rPr>
          <w:rtl w:val="0"/>
        </w:rPr>
        <w:t>the government to make sure we delivery the results needed, on schedule. Part of our b</w:t>
      </w:r>
      <w:r>
        <w:rPr>
          <w:rtl w:val="0"/>
        </w:rPr>
        <w:t>udgeting include</w:t>
      </w:r>
      <w:r>
        <w:rPr>
          <w:rtl w:val="0"/>
        </w:rPr>
        <w:t>s</w:t>
      </w:r>
      <w:r>
        <w:rPr>
          <w:rtl w:val="0"/>
        </w:rPr>
        <w:t xml:space="preserve"> a contingency plan to cover any unforeseen costs. For example, if </w:t>
      </w:r>
      <w:r>
        <w:rPr>
          <w:rtl w:val="0"/>
        </w:rPr>
        <w:t>the building</w:t>
      </w:r>
      <w:r>
        <w:rPr>
          <w:rtl w:val="0"/>
        </w:rPr>
        <w:t>’</w:t>
      </w:r>
      <w:r>
        <w:rPr>
          <w:rtl w:val="0"/>
        </w:rPr>
        <w:t>s</w:t>
      </w:r>
      <w:r>
        <w:rPr>
          <w:rtl w:val="0"/>
        </w:rPr>
        <w:t xml:space="preserve"> septic system is going to be used for reconstruction, it must be functional. But older pipes and plumbing can rust, age, and deteriorate, and even cause explosions and flooding, and as a result, </w:t>
      </w:r>
      <w:r>
        <w:rPr>
          <w:rtl w:val="0"/>
        </w:rPr>
        <w:t xml:space="preserve">cause us to </w:t>
      </w:r>
      <w:r>
        <w:rPr>
          <w:rtl w:val="0"/>
        </w:rPr>
        <w:t>incur unexpected project costs.</w:t>
      </w:r>
    </w:p>
    <w:p>
      <w:pPr>
        <w:pStyle w:val="Body A"/>
      </w:pPr>
      <w:r>
        <w:rPr>
          <w:rtl w:val="0"/>
        </w:rPr>
        <w:t>We are also tasking a Quality Control Manager and a Site Safety Manager to work alongside our PM and crew. With dedicated experts assigned to these roles, AllPhase is ensuring top level performance as we meet the government</w:t>
      </w:r>
      <w:r>
        <w:rPr>
          <w:rtl w:val="0"/>
        </w:rPr>
        <w:t>’</w:t>
      </w:r>
      <w:r>
        <w:rPr>
          <w:rtl w:val="0"/>
        </w:rPr>
        <w:t xml:space="preserve">s requirements. </w:t>
      </w:r>
    </w:p>
    <w:p>
      <w:pPr>
        <w:pStyle w:val="Body A"/>
      </w:pPr>
      <w:r>
        <w:rPr>
          <w:rtl w:val="0"/>
        </w:rPr>
        <w:t xml:space="preserve">At AllPhase, we put safety first. It is </w:t>
      </w:r>
      <w:r>
        <w:rPr>
          <w:rtl w:val="0"/>
        </w:rPr>
        <w:t xml:space="preserve">crucial to keep </w:t>
      </w:r>
      <w:r>
        <w:rPr>
          <w:rtl w:val="0"/>
        </w:rPr>
        <w:t>our</w:t>
      </w:r>
      <w:r>
        <w:rPr>
          <w:rtl w:val="0"/>
        </w:rPr>
        <w:t xml:space="preserve"> workers safe during </w:t>
      </w:r>
      <w:r>
        <w:rPr>
          <w:rtl w:val="0"/>
        </w:rPr>
        <w:t xml:space="preserve">this </w:t>
      </w:r>
      <w:r>
        <w:rPr>
          <w:rtl w:val="0"/>
        </w:rPr>
        <w:t>demolition projects</w:t>
      </w:r>
      <w:r>
        <w:rPr>
          <w:rtl w:val="0"/>
        </w:rPr>
        <w:t xml:space="preserve">, as the site will have excavators, </w:t>
      </w:r>
      <w:r>
        <w:rPr>
          <w:rtl w:val="0"/>
        </w:rPr>
        <w:t xml:space="preserve">cranes, </w:t>
      </w:r>
      <w:r>
        <w:rPr>
          <w:rtl w:val="0"/>
        </w:rPr>
        <w:t xml:space="preserve">and other heavy equipment in proximity. There will be dangerous hydraulic, pneumatic and electric tools, as well as manual ones such as saws-alls and </w:t>
      </w:r>
      <w:r>
        <w:rPr>
          <w:rtl w:val="0"/>
        </w:rPr>
        <w:t xml:space="preserve">sledgehammers, </w:t>
      </w:r>
      <w:r>
        <w:rPr>
          <w:rtl w:val="0"/>
        </w:rPr>
        <w:t>so AllPhase</w:t>
      </w:r>
      <w:r>
        <w:rPr>
          <w:rtl w:val="0"/>
        </w:rPr>
        <w:t>’</w:t>
      </w:r>
      <w:r>
        <w:rPr>
          <w:rtl w:val="0"/>
        </w:rPr>
        <w:t>s safety training for our staff is critical to minimize risk of injury. These tools produce</w:t>
      </w:r>
      <w:r>
        <w:rPr>
          <w:rtl w:val="0"/>
        </w:rPr>
        <w:t xml:space="preserve"> debris, and they</w:t>
      </w:r>
      <w:r>
        <w:rPr>
          <w:rtl w:val="0"/>
        </w:rPr>
        <w:t>’</w:t>
      </w:r>
      <w:r>
        <w:rPr>
          <w:rtl w:val="0"/>
        </w:rPr>
        <w:t xml:space="preserve">re dirty, loud, and riddled with trip </w:t>
      </w:r>
      <w:r>
        <w:rPr>
          <w:rtl w:val="0"/>
        </w:rPr>
        <w:t xml:space="preserve">or other bodily injury </w:t>
      </w:r>
      <w:r>
        <w:rPr>
          <w:rtl w:val="0"/>
        </w:rPr>
        <w:t>hazards.</w:t>
      </w:r>
    </w:p>
    <w:p>
      <w:pPr>
        <w:pStyle w:val="Body A"/>
      </w:pPr>
      <w:r>
        <w:rPr>
          <w:rtl w:val="0"/>
        </w:rPr>
        <w:t>AllPhase recognizes that c</w:t>
      </w:r>
      <w:r>
        <w:rPr>
          <w:rtl w:val="0"/>
        </w:rPr>
        <w:t xml:space="preserve">areful </w:t>
      </w:r>
      <w:r>
        <w:rPr>
          <w:rtl w:val="0"/>
        </w:rPr>
        <w:t>personnel</w:t>
      </w:r>
      <w:r>
        <w:rPr>
          <w:rtl w:val="0"/>
        </w:rPr>
        <w:t xml:space="preserve"> selection, team training, and safety oversight can go a long way in reducing incident rates. </w:t>
      </w:r>
      <w:r>
        <w:rPr>
          <w:rtl w:val="0"/>
        </w:rPr>
        <w:t>We provide a f</w:t>
      </w:r>
      <w:r>
        <w:rPr>
          <w:rtl w:val="0"/>
        </w:rPr>
        <w:t xml:space="preserve">ull-time safety oversight </w:t>
      </w:r>
      <w:r>
        <w:rPr>
          <w:rtl w:val="0"/>
        </w:rPr>
        <w:t>expert</w:t>
      </w:r>
      <w:r>
        <w:rPr>
          <w:rtl w:val="0"/>
        </w:rPr>
        <w:t xml:space="preserve">, for example, help ensure that workers are performing their jobs safely and efficiently. </w:t>
      </w:r>
      <w:r>
        <w:rPr>
          <w:rtl w:val="0"/>
        </w:rPr>
        <w:t>The person in this role</w:t>
      </w:r>
      <w:r>
        <w:rPr>
          <w:rtl w:val="0"/>
        </w:rPr>
        <w:t xml:space="preserve"> also keep</w:t>
      </w:r>
      <w:r>
        <w:rPr>
          <w:rtl w:val="0"/>
        </w:rPr>
        <w:t>s</w:t>
      </w:r>
      <w:r>
        <w:rPr>
          <w:rtl w:val="0"/>
        </w:rPr>
        <w:t xml:space="preserve"> track of incidents, host</w:t>
      </w:r>
      <w:r>
        <w:rPr>
          <w:rtl w:val="0"/>
        </w:rPr>
        <w:t>s</w:t>
      </w:r>
      <w:r>
        <w:rPr>
          <w:rtl w:val="0"/>
        </w:rPr>
        <w:t xml:space="preserve"> </w:t>
      </w:r>
      <w:r>
        <w:rPr>
          <w:rtl w:val="0"/>
        </w:rPr>
        <w:t>“</w:t>
      </w:r>
      <w:r>
        <w:rPr>
          <w:rtl w:val="0"/>
        </w:rPr>
        <w:t>toolbox talks,</w:t>
      </w:r>
      <w:r>
        <w:rPr>
          <w:rtl w:val="0"/>
        </w:rPr>
        <w:t>”</w:t>
      </w:r>
      <w:r>
        <w:rPr>
          <w:rtl w:val="0"/>
        </w:rPr>
        <w:t xml:space="preserve"> and provide one-on-one consultation</w:t>
      </w:r>
      <w:r>
        <w:rPr>
          <w:rtl w:val="0"/>
        </w:rPr>
        <w:t xml:space="preserve"> for our team, concerning safety</w:t>
      </w:r>
      <w:r>
        <w:rPr>
          <w:rtl w:val="0"/>
        </w:rPr>
        <w:t>.</w:t>
      </w:r>
    </w:p>
    <w:p>
      <w:pPr>
        <w:pStyle w:val="Body A"/>
      </w:pPr>
      <w:r>
        <w:rPr>
          <w:b w:val="1"/>
          <w:bCs w:val="1"/>
          <w:u w:val="single"/>
          <w:rtl w:val="0"/>
          <w:lang w:val="en-US"/>
        </w:rPr>
        <w:t>Stage 1: Hazardous Materials Diagnosis</w:t>
      </w:r>
      <w:r>
        <w:rPr>
          <w:rtl w:val="0"/>
        </w:rPr>
        <w:t>. There</w:t>
      </w:r>
      <w:r>
        <w:rPr>
          <w:rtl w:val="0"/>
        </w:rPr>
        <w:t>’</w:t>
      </w:r>
      <w:r>
        <w:rPr>
          <w:rtl w:val="0"/>
        </w:rPr>
        <w:t xml:space="preserve">s nothing like being elbow-deep in a demolition project and finding asbestos, lead paint, or some other HBM at the site. Regulated abatement is required if HBMs are discovered during a demo </w:t>
      </w:r>
      <w:r>
        <w:rPr>
          <w:rtl w:val="0"/>
        </w:rPr>
        <w:t xml:space="preserve">— </w:t>
      </w:r>
      <w:r>
        <w:rPr>
          <w:rtl w:val="0"/>
        </w:rPr>
        <w:t>and that can completely bust a budget if you didn</w:t>
      </w:r>
      <w:r>
        <w:rPr>
          <w:rtl w:val="0"/>
        </w:rPr>
        <w:t>’</w:t>
      </w:r>
      <w:r>
        <w:rPr>
          <w:rtl w:val="0"/>
        </w:rPr>
        <w:t xml:space="preserve">t plan for it. The best way to avoid surprises is to arrange a thorough building inspection, including sampling for HBMs. </w:t>
      </w:r>
      <w:r>
        <w:rPr>
          <w:rtl w:val="0"/>
        </w:rPr>
        <w:t>We have reviewed the assessment report, but, i</w:t>
      </w:r>
      <w:r>
        <w:rPr>
          <w:rtl w:val="0"/>
        </w:rPr>
        <w:t>mmediately after NTP</w:t>
      </w:r>
      <w:r>
        <w:rPr>
          <w:rtl w:val="0"/>
        </w:rPr>
        <w:t>,</w:t>
      </w:r>
      <w:r>
        <w:rPr>
          <w:rtl w:val="0"/>
        </w:rPr>
        <w:t xml:space="preserve"> </w:t>
      </w:r>
      <w:r>
        <w:rPr>
          <w:rtl w:val="0"/>
        </w:rPr>
        <w:t>we will conduct an inspection ahead of the</w:t>
      </w:r>
      <w:r>
        <w:rPr>
          <w:rtl w:val="0"/>
        </w:rPr>
        <w:t xml:space="preserve"> building demolition project</w:t>
      </w:r>
      <w:r>
        <w:rPr>
          <w:rtl w:val="0"/>
        </w:rPr>
        <w:t>. This will ensure the health and safety of all involved at the site; s</w:t>
      </w:r>
      <w:r>
        <w:rPr>
          <w:rtl w:val="0"/>
        </w:rPr>
        <w:t xml:space="preserve">hould </w:t>
      </w:r>
      <w:r>
        <w:rPr>
          <w:rtl w:val="0"/>
        </w:rPr>
        <w:t xml:space="preserve">we identify any issues, work will </w:t>
      </w:r>
      <w:r>
        <w:rPr>
          <w:rtl w:val="0"/>
        </w:rPr>
        <w:t xml:space="preserve">be preceded by a thorough decontamination to ensure that no harmful or noxious materials will be released into the environment when the deconstruction takes place. The health of workers, the public and the surrounding ecosystems are </w:t>
      </w:r>
      <w:r>
        <w:rPr>
          <w:rtl w:val="0"/>
        </w:rPr>
        <w:t>of primary concern for AllPhase</w:t>
      </w:r>
      <w:r>
        <w:rPr>
          <w:rtl w:val="0"/>
        </w:rPr>
        <w:t>.</w:t>
      </w:r>
      <w:r>
        <w:rPr>
          <w:rtl w:val="0"/>
        </w:rPr>
        <w:t xml:space="preserve"> </w:t>
      </w:r>
    </w:p>
    <w:p>
      <w:pPr>
        <w:pStyle w:val="Body A"/>
      </w:pPr>
      <w:r>
        <w:rPr>
          <w:rtl w:val="0"/>
        </w:rPr>
        <w:t>Before starting any demolition work, it is important that a hazardous materials expert (asbestos, lead, mold, etc.) performs a diagnostic of all materials that should be removed before demolition. When possible, decontamination can take place immediately after the diagnosis, but since materials containing harmful products are sometimes difficult to access, it will generally follow the clearing (a step discussed later in the text).</w:t>
      </w:r>
    </w:p>
    <w:p>
      <w:pPr>
        <w:pStyle w:val="Body A"/>
      </w:pPr>
      <w:r>
        <w:rPr>
          <w:b w:val="1"/>
          <w:bCs w:val="1"/>
          <w:u w:val="single"/>
          <w:rtl w:val="0"/>
          <w:lang w:val="en-US"/>
        </w:rPr>
        <w:t>Stage 2: Organization And Planning Of The Demolition</w:t>
      </w:r>
      <w:r>
        <w:rPr>
          <w:rtl w:val="0"/>
        </w:rPr>
        <w:t xml:space="preserve">. </w:t>
      </w:r>
      <w:r>
        <w:rPr>
          <w:rtl w:val="0"/>
        </w:rPr>
        <w:t xml:space="preserve">In order for the demolition of </w:t>
      </w:r>
      <w:r>
        <w:rPr>
          <w:rtl w:val="0"/>
        </w:rPr>
        <w:t>the</w:t>
      </w:r>
      <w:r>
        <w:rPr>
          <w:rtl w:val="0"/>
        </w:rPr>
        <w:t xml:space="preserve"> building</w:t>
      </w:r>
      <w:r>
        <w:rPr>
          <w:rtl w:val="0"/>
        </w:rPr>
        <w:t>s</w:t>
      </w:r>
      <w:r>
        <w:rPr>
          <w:rtl w:val="0"/>
        </w:rPr>
        <w:t xml:space="preserve"> go smoothly, </w:t>
      </w:r>
      <w:r>
        <w:rPr>
          <w:rtl w:val="0"/>
        </w:rPr>
        <w:t>we will draft a Project Management Plan (PMP) for the government</w:t>
      </w:r>
      <w:r>
        <w:rPr>
          <w:rtl w:val="0"/>
        </w:rPr>
        <w:t>’</w:t>
      </w:r>
      <w:r>
        <w:rPr>
          <w:rtl w:val="0"/>
        </w:rPr>
        <w:t xml:space="preserve">s review. This is </w:t>
      </w:r>
      <w:r>
        <w:rPr>
          <w:rtl w:val="0"/>
        </w:rPr>
        <w:t xml:space="preserve">carefully planned. </w:t>
      </w:r>
      <w:r>
        <w:rPr>
          <w:rtl w:val="0"/>
        </w:rPr>
        <w:t>Our d</w:t>
      </w:r>
      <w:r>
        <w:rPr>
          <w:rtl w:val="0"/>
        </w:rPr>
        <w:t xml:space="preserve">emolition experts will conduct a structural analysis of the building to provide the answers needed to </w:t>
      </w:r>
      <w:r>
        <w:rPr>
          <w:rtl w:val="0"/>
        </w:rPr>
        <w:t>ensure the PMP is comprehensive</w:t>
      </w:r>
      <w:r>
        <w:rPr>
          <w:rtl w:val="0"/>
        </w:rPr>
        <w:t xml:space="preserve">. For example, demolishing a </w:t>
      </w:r>
      <w:r>
        <w:rPr>
          <w:rtl w:val="0"/>
        </w:rPr>
        <w:t>building</w:t>
      </w:r>
      <w:r>
        <w:rPr>
          <w:rtl w:val="0"/>
        </w:rPr>
        <w:t xml:space="preserve"> with a party wall may require extra precautions to preserve the integrity of the surrounding buildings.</w:t>
      </w:r>
    </w:p>
    <w:p>
      <w:pPr>
        <w:pStyle w:val="Body A"/>
      </w:pPr>
      <w:r>
        <w:rPr>
          <w:rtl w:val="0"/>
        </w:rPr>
        <w:t xml:space="preserve">This preliminary analysis will determine demolition </w:t>
      </w:r>
      <w:r>
        <w:rPr>
          <w:rtl w:val="0"/>
        </w:rPr>
        <w:t>sequencing</w:t>
      </w:r>
      <w:r>
        <w:rPr>
          <w:rtl w:val="0"/>
        </w:rPr>
        <w:t xml:space="preserve"> and </w:t>
      </w:r>
      <w:r>
        <w:rPr>
          <w:rtl w:val="0"/>
        </w:rPr>
        <w:t xml:space="preserve">the specifics of </w:t>
      </w:r>
      <w:r>
        <w:rPr>
          <w:rtl w:val="0"/>
        </w:rPr>
        <w:t>equipment to be used in order to proceed in the safest and most efficient way possible.</w:t>
      </w:r>
      <w:r>
        <w:rPr>
          <w:rtl w:val="0"/>
        </w:rPr>
        <w:t xml:space="preserve"> </w:t>
      </w:r>
      <w:r>
        <w:rPr>
          <w:rtl w:val="0"/>
        </w:rPr>
        <w:t xml:space="preserve">Moreover, this analysis will allow </w:t>
      </w:r>
      <w:r>
        <w:rPr>
          <w:rtl w:val="0"/>
        </w:rPr>
        <w:t>our</w:t>
      </w:r>
      <w:r>
        <w:rPr>
          <w:rtl w:val="0"/>
        </w:rPr>
        <w:t xml:space="preserve"> experts to identify </w:t>
      </w:r>
      <w:r>
        <w:rPr>
          <w:rtl w:val="0"/>
        </w:rPr>
        <w:t>any</w:t>
      </w:r>
      <w:r>
        <w:rPr>
          <w:rtl w:val="0"/>
        </w:rPr>
        <w:t xml:space="preserve"> elements that require special attention </w:t>
      </w:r>
      <w:r>
        <w:rPr>
          <w:rtl w:val="0"/>
        </w:rPr>
        <w:t xml:space="preserve">— </w:t>
      </w:r>
      <w:r>
        <w:rPr>
          <w:rtl w:val="0"/>
        </w:rPr>
        <w:t xml:space="preserve">as well as </w:t>
      </w:r>
      <w:r>
        <w:rPr>
          <w:rtl w:val="0"/>
        </w:rPr>
        <w:t>any</w:t>
      </w:r>
      <w:r>
        <w:rPr>
          <w:rtl w:val="0"/>
        </w:rPr>
        <w:t xml:space="preserve"> </w:t>
      </w:r>
      <w:r>
        <w:rPr>
          <w:rtl w:val="0"/>
        </w:rPr>
        <w:t xml:space="preserve">adjacent </w:t>
      </w:r>
      <w:r>
        <w:rPr>
          <w:rtl w:val="0"/>
        </w:rPr>
        <w:t xml:space="preserve">structures </w:t>
      </w:r>
      <w:r>
        <w:rPr>
          <w:rtl w:val="0"/>
        </w:rPr>
        <w:t xml:space="preserve">or site-specific components, such as the monitoring wells, </w:t>
      </w:r>
      <w:r>
        <w:rPr>
          <w:rtl w:val="0"/>
        </w:rPr>
        <w:t>that must be preserved during the clearing.</w:t>
      </w:r>
    </w:p>
    <w:p>
      <w:pPr>
        <w:pStyle w:val="Body A"/>
      </w:pPr>
      <w:r>
        <w:rPr>
          <w:b w:val="1"/>
          <w:bCs w:val="1"/>
          <w:u w:val="single"/>
          <w:rtl w:val="0"/>
          <w:lang w:val="en-US"/>
        </w:rPr>
        <w:t>Stage 3: Clearing The Building To Be Demolished</w:t>
      </w:r>
      <w:r>
        <w:rPr>
          <w:rtl w:val="0"/>
        </w:rPr>
        <w:t xml:space="preserve">. </w:t>
      </w:r>
      <w:r>
        <w:rPr>
          <w:rtl w:val="0"/>
        </w:rPr>
        <w:t xml:space="preserve">During a demolition, not all the materials removed will go to the same place. Naturally, much of the waste will be sent to the landfill, but some will be recycled or reused. </w:t>
      </w:r>
      <w:r>
        <w:rPr>
          <w:rtl w:val="0"/>
        </w:rPr>
        <w:t xml:space="preserve">We understand the importance of </w:t>
      </w:r>
      <w:r>
        <w:rPr>
          <w:rtl w:val="0"/>
        </w:rPr>
        <w:t xml:space="preserve">sorting the materials after a demolition </w:t>
      </w:r>
      <w:r>
        <w:rPr>
          <w:rtl w:val="0"/>
        </w:rPr>
        <w:t xml:space="preserve">— </w:t>
      </w:r>
      <w:r>
        <w:rPr>
          <w:rtl w:val="0"/>
        </w:rPr>
        <w:t>and that</w:t>
      </w:r>
      <w:r>
        <w:rPr>
          <w:rtl w:val="0"/>
        </w:rPr>
        <w:t>’</w:t>
      </w:r>
      <w:r>
        <w:rPr>
          <w:rtl w:val="0"/>
        </w:rPr>
        <w:t xml:space="preserve">s why clearing </w:t>
      </w:r>
      <w:r>
        <w:rPr>
          <w:rtl w:val="0"/>
        </w:rPr>
        <w:t>will be an on-going effort throughout th</w:t>
      </w:r>
      <w:r>
        <w:rPr>
          <w:rtl w:val="0"/>
        </w:rPr>
        <w:t>e project.</w:t>
      </w:r>
      <w:r>
        <w:rPr>
          <w:rtl w:val="0"/>
        </w:rPr>
        <w:t xml:space="preserve"> </w:t>
      </w:r>
      <w:r>
        <w:rPr>
          <w:rtl w:val="0"/>
        </w:rPr>
        <w:t>In simple terms, clearing consists of removing all installations or materials from the structure that are recyclable or reusable and are not part of a load-bearing element to avoid impairing the stability of the building to be demolished.</w:t>
      </w:r>
      <w:r>
        <w:rPr>
          <w:rtl w:val="0"/>
        </w:rPr>
        <w:t xml:space="preserve"> </w:t>
      </w:r>
    </w:p>
    <w:p>
      <w:pPr>
        <w:pStyle w:val="Body A"/>
      </w:pPr>
      <w:r>
        <w:rPr>
          <w:rtl w:val="0"/>
        </w:rPr>
        <w:t>Table</w:t>
      </w:r>
    </w:p>
    <w:p>
      <w:pPr>
        <w:pStyle w:val="Body A"/>
      </w:pPr>
      <w:r>
        <w:rPr>
          <w:b w:val="1"/>
          <w:bCs w:val="1"/>
          <w:u w:val="single"/>
          <w:rtl w:val="0"/>
          <w:lang w:val="en-US"/>
        </w:rPr>
        <w:t>Stage 4: Building Decontamination</w:t>
      </w:r>
      <w:r>
        <w:rPr>
          <w:rtl w:val="0"/>
        </w:rPr>
        <w:t xml:space="preserve">. </w:t>
      </w:r>
      <w:r>
        <w:rPr>
          <w:rtl w:val="0"/>
        </w:rPr>
        <w:t>This step is a follow-up to the diagnosis made at the beginning of the project. During this stage, all hazardous materials will be removed from the structure. For example, if asbestos has been found in the insulation materials, asbestos removal will be required before demolition.</w:t>
      </w:r>
      <w:r>
        <w:rPr>
          <w:rtl w:val="0"/>
        </w:rPr>
        <w:t xml:space="preserve"> We have reviewed the assessments provided by the government, and do not anticipate any significant decontamination efforts will be required. </w:t>
      </w:r>
    </w:p>
    <w:p>
      <w:pPr>
        <w:pStyle w:val="Body A"/>
      </w:pPr>
      <w:r>
        <w:rPr>
          <w:rtl w:val="0"/>
        </w:rPr>
        <w:t xml:space="preserve">Following decontamination, </w:t>
      </w:r>
      <w:r>
        <w:rPr>
          <w:rtl w:val="0"/>
        </w:rPr>
        <w:t>we will enlist our hazardous waster</w:t>
      </w:r>
      <w:r>
        <w:rPr>
          <w:rtl w:val="0"/>
        </w:rPr>
        <w:t xml:space="preserve"> expert </w:t>
      </w:r>
      <w:r>
        <w:rPr>
          <w:rtl w:val="0"/>
        </w:rPr>
        <w:t>to determine</w:t>
      </w:r>
      <w:r>
        <w:rPr>
          <w:rtl w:val="0"/>
        </w:rPr>
        <w:t xml:space="preserve"> that no contaminants remain in the air or in the materials on the work site. Otherwise, the demolition process </w:t>
      </w:r>
      <w:r>
        <w:rPr>
          <w:rtl w:val="0"/>
        </w:rPr>
        <w:t>will be suspended until this situation is corrected</w:t>
      </w:r>
      <w:r>
        <w:rPr>
          <w:rtl w:val="0"/>
        </w:rPr>
        <w:t>.</w:t>
      </w:r>
    </w:p>
    <w:p>
      <w:pPr>
        <w:pStyle w:val="Body A"/>
      </w:pPr>
      <w:r>
        <w:rPr>
          <w:b w:val="1"/>
          <w:bCs w:val="1"/>
          <w:u w:val="single"/>
          <w:rtl w:val="0"/>
          <w:lang w:val="en-US"/>
        </w:rPr>
        <w:t>Stage 5: Building Demolition</w:t>
      </w:r>
      <w:r>
        <w:rPr>
          <w:rtl w:val="0"/>
        </w:rPr>
        <w:t xml:space="preserve">. Using the equipment identified, our team will execute </w:t>
      </w:r>
      <w:r>
        <w:rPr>
          <w:rtl w:val="0"/>
        </w:rPr>
        <w:t>the demolition of the remaining part</w:t>
      </w:r>
      <w:r>
        <w:rPr>
          <w:rtl w:val="0"/>
        </w:rPr>
        <w:t>s</w:t>
      </w:r>
      <w:r>
        <w:rPr>
          <w:rtl w:val="0"/>
        </w:rPr>
        <w:t xml:space="preserve"> of the building. Depending on the planning and organization of </w:t>
      </w:r>
      <w:r>
        <w:rPr>
          <w:rtl w:val="0"/>
        </w:rPr>
        <w:t>previous</w:t>
      </w:r>
      <w:r>
        <w:rPr>
          <w:rtl w:val="0"/>
        </w:rPr>
        <w:t xml:space="preserve"> step</w:t>
      </w:r>
      <w:r>
        <w:rPr>
          <w:rtl w:val="0"/>
        </w:rPr>
        <w:t>s</w:t>
      </w:r>
      <w:r>
        <w:rPr>
          <w:rtl w:val="0"/>
        </w:rPr>
        <w:t xml:space="preserve">, the deconstruction </w:t>
      </w:r>
      <w:r>
        <w:rPr>
          <w:rtl w:val="0"/>
        </w:rPr>
        <w:t>will</w:t>
      </w:r>
      <w:r>
        <w:rPr>
          <w:rtl w:val="0"/>
        </w:rPr>
        <w:t xml:space="preserve"> be done with an excavator or other heavy equipment.</w:t>
      </w:r>
    </w:p>
    <w:p>
      <w:pPr>
        <w:pStyle w:val="Heading 2"/>
      </w:pPr>
      <w:bookmarkStart w:name="_Toc2" w:id="2"/>
      <w:r>
        <w:rPr>
          <w:rFonts w:cs="Arial Unicode MS" w:eastAsia="Arial Unicode MS"/>
          <w:u w:val="single"/>
          <w:rtl w:val="0"/>
          <w:lang w:val="en-US"/>
        </w:rPr>
        <w:t>Table</w:t>
      </w:r>
      <w:r>
        <w:rPr>
          <w:rFonts w:cs="Arial Unicode MS" w:eastAsia="Arial Unicode MS"/>
          <w:rtl w:val="0"/>
        </w:rPr>
        <w:t>: Structures</w:t>
      </w:r>
      <w:bookmarkEnd w:id="2"/>
    </w:p>
    <w:p>
      <w:pPr>
        <w:pStyle w:val="Body A"/>
        <w:rPr>
          <w:b w:val="1"/>
          <w:bCs w:val="1"/>
          <w:i w:val="1"/>
          <w:iCs w:val="1"/>
        </w:rPr>
      </w:pPr>
      <w:r>
        <w:rPr>
          <w:b w:val="1"/>
          <w:bCs w:val="1"/>
          <w:i w:val="1"/>
          <w:iCs w:val="1"/>
          <w:rtl w:val="0"/>
          <w:lang w:val="en-US"/>
        </w:rPr>
        <w:t xml:space="preserve">These </w:t>
      </w:r>
      <w:r>
        <w:rPr>
          <w:b w:val="1"/>
          <w:bCs w:val="1"/>
          <w:i w:val="1"/>
          <w:iCs w:val="1"/>
          <w:rtl w:val="0"/>
          <w:lang w:val="en-US"/>
        </w:rPr>
        <w:t>atypical structures which will require specialized demolition methods</w:t>
      </w:r>
      <w:r>
        <w:rPr>
          <w:b w:val="1"/>
          <w:bCs w:val="1"/>
          <w:i w:val="1"/>
          <w:iCs w:val="1"/>
          <w:rtl w:val="0"/>
          <w:lang w:val="en-US"/>
        </w:rPr>
        <w:t xml:space="preserve"> or </w:t>
      </w:r>
      <w:r>
        <w:rPr>
          <w:b w:val="1"/>
          <w:bCs w:val="1"/>
          <w:i w:val="1"/>
          <w:iCs w:val="1"/>
          <w:rtl w:val="0"/>
          <w:lang w:val="en-US"/>
        </w:rPr>
        <w:t>ACM/ORM abatement with unusual conditions or quantities</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291"/>
        <w:gridCol w:w="6049"/>
      </w:tblGrid>
      <w:tr>
        <w:tblPrEx>
          <w:shd w:val="clear" w:color="auto" w:fill="00a2ff"/>
        </w:tblPrEx>
        <w:trPr>
          <w:trHeight w:val="500" w:hRule="atLeast"/>
          <w:tblHeader/>
        </w:trPr>
        <w:tc>
          <w:tcPr>
            <w:tcW w:type="dxa" w:w="329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Structure</w:t>
            </w:r>
          </w:p>
        </w:tc>
        <w:tc>
          <w:tcPr>
            <w:tcW w:type="dxa" w:w="604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Specialized Method</w:t>
            </w:r>
          </w:p>
        </w:tc>
      </w:tr>
      <w:tr>
        <w:tblPrEx>
          <w:shd w:val="clear" w:color="auto" w:fill="cadfff"/>
        </w:tblPrEx>
        <w:trPr>
          <w:trHeight w:val="500" w:hRule="atLeast"/>
        </w:trPr>
        <w:tc>
          <w:tcPr>
            <w:tcW w:type="dxa" w:w="329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604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80" w:hRule="atLeast"/>
        </w:trPr>
        <w:tc>
          <w:tcPr>
            <w:tcW w:type="dxa" w:w="3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60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80" w:hRule="atLeast"/>
        </w:trPr>
        <w:tc>
          <w:tcPr>
            <w:tcW w:type="dxa" w:w="3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60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80" w:hRule="atLeast"/>
        </w:trPr>
        <w:tc>
          <w:tcPr>
            <w:tcW w:type="dxa" w:w="3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60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bl>
    <w:p>
      <w:pPr>
        <w:pStyle w:val="Body A"/>
        <w:rPr>
          <w:b w:val="1"/>
          <w:bCs w:val="1"/>
        </w:rPr>
      </w:pPr>
    </w:p>
    <w:p>
      <w:pPr>
        <w:pStyle w:val="Body A"/>
      </w:pPr>
      <w:r>
        <w:rPr>
          <w:b w:val="1"/>
          <w:bCs w:val="1"/>
          <w:u w:val="single"/>
          <w:rtl w:val="0"/>
          <w:lang w:val="en-US"/>
        </w:rPr>
        <w:t>Stage 6: Cleaning The Site</w:t>
      </w:r>
      <w:r>
        <w:rPr>
          <w:rtl w:val="0"/>
        </w:rPr>
        <w:t xml:space="preserve">. </w:t>
      </w:r>
      <w:r>
        <w:rPr>
          <w:rtl w:val="0"/>
        </w:rPr>
        <w:t>After the heavy equipment has passed through, there will be a lot of debris on the demolition site. This is the time to separate the structural elements that can be recycled from the waste and to send the latter to a waste management facility.</w:t>
      </w:r>
      <w:r>
        <w:rPr>
          <w:rtl w:val="0"/>
        </w:rPr>
        <w:t xml:space="preserve"> As </w:t>
      </w:r>
      <w:r>
        <w:rPr>
          <w:rtl w:val="0"/>
        </w:rPr>
        <w:t xml:space="preserve">the last piece of foundation is pulled up, </w:t>
      </w:r>
      <w:r>
        <w:rPr>
          <w:rtl w:val="0"/>
        </w:rPr>
        <w:t>we</w:t>
      </w:r>
      <w:r>
        <w:rPr>
          <w:rtl w:val="0"/>
        </w:rPr>
        <w:t xml:space="preserve"> don</w:t>
      </w:r>
      <w:r>
        <w:rPr>
          <w:rtl w:val="0"/>
        </w:rPr>
        <w:t>’</w:t>
      </w:r>
      <w:r>
        <w:rPr>
          <w:rtl w:val="0"/>
        </w:rPr>
        <w:t>t let complacency set in during cleanup.</w:t>
      </w:r>
      <w:r>
        <w:rPr>
          <w:rtl w:val="0"/>
        </w:rPr>
        <w:t> </w:t>
      </w:r>
      <w:r>
        <w:rPr>
          <w:rtl w:val="0"/>
        </w:rPr>
        <w:t>Our e</w:t>
      </w:r>
      <w:r>
        <w:rPr>
          <w:rtl w:val="0"/>
        </w:rPr>
        <w:t xml:space="preserve">xperienced excavators specialize in safely operating heavy equipment around people, in </w:t>
      </w:r>
      <w:r>
        <w:rPr>
          <w:rtl w:val="0"/>
        </w:rPr>
        <w:t>tight</w:t>
      </w:r>
      <w:r>
        <w:rPr>
          <w:rtl w:val="0"/>
        </w:rPr>
        <w:t xml:space="preserve"> spaces, near underground utilities, and on different terrain.</w:t>
      </w:r>
    </w:p>
    <w:p>
      <w:pPr>
        <w:pStyle w:val="Body A"/>
      </w:pPr>
      <w:r>
        <w:rPr>
          <w:rtl w:val="0"/>
        </w:rPr>
        <w:t xml:space="preserve">Our approach to disposal of site materials is three-fold: </w:t>
      </w:r>
      <w:r>
        <w:rPr>
          <w:rtl w:val="0"/>
        </w:rPr>
        <w:t xml:space="preserve">Salvage and donate first. Recycle second. </w:t>
      </w:r>
      <w:r>
        <w:rPr>
          <w:rtl w:val="0"/>
        </w:rPr>
        <w:t xml:space="preserve">For AllPhase, sending refuse </w:t>
      </w:r>
      <w:r>
        <w:rPr>
          <w:rtl w:val="0"/>
        </w:rPr>
        <w:t>to the landfill is a last resort.</w:t>
      </w:r>
      <w:r>
        <w:rPr>
          <w:rtl w:val="0"/>
        </w:rPr>
        <w:t xml:space="preserve"> We are recommending a </w:t>
      </w:r>
      <w:r>
        <w:rPr>
          <w:rtl w:val="0"/>
        </w:rPr>
        <w:t xml:space="preserve">Selective </w:t>
      </w:r>
      <w:r>
        <w:rPr>
          <w:rtl w:val="0"/>
        </w:rPr>
        <w:t>D</w:t>
      </w:r>
      <w:r>
        <w:rPr>
          <w:rtl w:val="0"/>
        </w:rPr>
        <w:t>emolition</w:t>
      </w:r>
      <w:r>
        <w:rPr>
          <w:rtl w:val="0"/>
        </w:rPr>
        <w:t xml:space="preserve"> approach, as this is a </w:t>
      </w:r>
      <w:r>
        <w:rPr>
          <w:rtl w:val="0"/>
        </w:rPr>
        <w:t xml:space="preserve">more eco-conscious </w:t>
      </w:r>
      <w:r>
        <w:rPr>
          <w:rtl w:val="0"/>
        </w:rPr>
        <w:t>method. Think of this as a</w:t>
      </w:r>
      <w:r>
        <w:rPr>
          <w:rtl w:val="0"/>
        </w:rPr>
        <w:t xml:space="preserve"> deconstruction because </w:t>
      </w:r>
      <w:r>
        <w:rPr>
          <w:rtl w:val="0"/>
        </w:rPr>
        <w:t>we will</w:t>
      </w:r>
      <w:r>
        <w:rPr>
          <w:rtl w:val="0"/>
        </w:rPr>
        <w:t xml:space="preserve"> retain the structure while removing specific sections</w:t>
      </w:r>
      <w:r>
        <w:rPr>
          <w:rtl w:val="0"/>
        </w:rPr>
        <w:t xml:space="preserve"> in a staged approach</w:t>
      </w:r>
      <w:r>
        <w:rPr>
          <w:rtl w:val="0"/>
        </w:rPr>
        <w:t xml:space="preserve">. Deconstruction works well </w:t>
      </w:r>
      <w:r>
        <w:rPr>
          <w:rtl w:val="0"/>
        </w:rPr>
        <w:t xml:space="preserve">by </w:t>
      </w:r>
      <w:r>
        <w:rPr>
          <w:rtl w:val="0"/>
        </w:rPr>
        <w:t xml:space="preserve">promoting reuse and recycling and reducing the </w:t>
      </w:r>
      <w:r>
        <w:rPr>
          <w:rtl w:val="0"/>
        </w:rPr>
        <w:t>demolition</w:t>
      </w:r>
      <w:r>
        <w:rPr>
          <w:rtl w:val="0"/>
        </w:rPr>
        <w:t>’</w:t>
      </w:r>
      <w:r>
        <w:rPr>
          <w:rtl w:val="0"/>
        </w:rPr>
        <w:t>s</w:t>
      </w:r>
      <w:r>
        <w:rPr>
          <w:rtl w:val="0"/>
        </w:rPr>
        <w:t xml:space="preserve"> overall environmental impact.</w:t>
      </w:r>
      <w:r>
        <w:rPr>
          <w:rtl w:val="0"/>
        </w:rPr>
        <w:t xml:space="preserve"> Our primary heavy equipment for this will be with an e</w:t>
      </w:r>
      <w:r>
        <w:rPr>
          <w:rtl w:val="0"/>
        </w:rPr>
        <w:t>xcavator</w:t>
      </w:r>
      <w:r>
        <w:rPr>
          <w:rtl w:val="0"/>
        </w:rPr>
        <w:t>, using</w:t>
      </w:r>
      <w:r>
        <w:rPr>
          <w:rtl w:val="0"/>
        </w:rPr>
        <w:t xml:space="preserve"> attachments </w:t>
      </w:r>
      <w:r>
        <w:rPr>
          <w:rtl w:val="0"/>
        </w:rPr>
        <w:t>such as</w:t>
      </w:r>
      <w:r>
        <w:rPr>
          <w:rtl w:val="0"/>
        </w:rPr>
        <w:t xml:space="preserve"> shears, crushers, and hydraulic hammers.</w:t>
      </w:r>
    </w:p>
    <w:p>
      <w:pPr>
        <w:pStyle w:val="Body A"/>
      </w:pPr>
      <w:r>
        <w:rPr>
          <w:rtl w:val="0"/>
        </w:rPr>
        <w:t xml:space="preserve">Before </w:t>
      </w:r>
      <w:r>
        <w:rPr>
          <w:rtl w:val="0"/>
        </w:rPr>
        <w:t>we</w:t>
      </w:r>
      <w:r>
        <w:rPr>
          <w:rtl w:val="0"/>
        </w:rPr>
        <w:t xml:space="preserve"> wrap up the project, </w:t>
      </w:r>
      <w:r>
        <w:rPr>
          <w:rtl w:val="0"/>
        </w:rPr>
        <w:t xml:space="preserve">we will </w:t>
      </w:r>
      <w:r>
        <w:rPr>
          <w:rtl w:val="0"/>
        </w:rPr>
        <w:t xml:space="preserve">take down all temporary fencing and signage and properly dispose of it. If necessary, </w:t>
      </w:r>
      <w:r>
        <w:rPr>
          <w:rtl w:val="0"/>
        </w:rPr>
        <w:t xml:space="preserve">we will </w:t>
      </w:r>
      <w:r>
        <w:rPr>
          <w:rtl w:val="0"/>
        </w:rPr>
        <w:t>clean up the parking lot used, fix potholes, and repaint lines.</w:t>
      </w:r>
      <w:r>
        <w:rPr>
          <w:rtl w:val="0"/>
        </w:rPr>
        <w:t xml:space="preserve"> </w:t>
      </w:r>
      <w:r>
        <w:rPr>
          <w:rtl w:val="0"/>
        </w:rPr>
        <w:t xml:space="preserve">Following this last step, </w:t>
      </w:r>
      <w:r>
        <w:rPr>
          <w:rtl w:val="0"/>
        </w:rPr>
        <w:t xml:space="preserve">our PM and QAM will ensure </w:t>
      </w:r>
      <w:r>
        <w:rPr>
          <w:rtl w:val="0"/>
        </w:rPr>
        <w:t xml:space="preserve">the demolition site </w:t>
      </w:r>
      <w:r>
        <w:rPr>
          <w:rtl w:val="0"/>
        </w:rPr>
        <w:t>is</w:t>
      </w:r>
      <w:r>
        <w:rPr>
          <w:rtl w:val="0"/>
        </w:rPr>
        <w:t xml:space="preserve"> clean and free of debris to avoid accidents and make sure that the land </w:t>
      </w:r>
      <w:r>
        <w:rPr>
          <w:rtl w:val="0"/>
        </w:rPr>
        <w:t>is ready</w:t>
      </w:r>
      <w:r>
        <w:rPr>
          <w:rtl w:val="0"/>
        </w:rPr>
        <w:t xml:space="preserve"> for a new project.</w:t>
      </w:r>
      <w:r>
        <w:rPr>
          <w:rtl w:val="0"/>
        </w:rPr>
        <w:t xml:space="preserve"> We will conduct a walk-through with the government to ensure project close-out can proceed.</w:t>
      </w:r>
    </w:p>
    <w:p>
      <w:pPr>
        <w:pStyle w:val="Heading 1"/>
        <w:pageBreakBefore w:val="0"/>
      </w:pPr>
      <w:bookmarkStart w:name="_Toc3" w:id="3"/>
      <w:r>
        <w:rPr>
          <w:rtl w:val="0"/>
          <w:lang w:val="en-US"/>
        </w:rPr>
        <w:t>Project Planning</w:t>
      </w:r>
      <w:bookmarkEnd w:id="3"/>
    </w:p>
    <w:p>
      <w:pPr>
        <w:pStyle w:val="Body A"/>
      </w:pPr>
      <w:r>
        <w:rPr>
          <w:rtl w:val="0"/>
        </w:rPr>
        <w:t xml:space="preserve">This </w:t>
      </w:r>
      <w:r>
        <w:rPr>
          <w:rtl w:val="0"/>
        </w:rPr>
        <w:t xml:space="preserve">project involves </w:t>
      </w:r>
      <w:r>
        <w:rPr>
          <w:rtl w:val="0"/>
        </w:rPr>
        <w:t>AllPhase coordinating personnel, equipment, and other resources to get this demolition process completed. In our experience, this r</w:t>
      </w:r>
      <w:r>
        <w:rPr>
          <w:rtl w:val="0"/>
        </w:rPr>
        <w:t>esults in inevitable complexities throughout the project</w:t>
      </w:r>
      <w:r>
        <w:rPr>
          <w:rtl w:val="0"/>
        </w:rPr>
        <w:t xml:space="preserve">, so we know </w:t>
      </w:r>
      <w:r>
        <w:rPr>
          <w:rtl w:val="0"/>
        </w:rPr>
        <w:t xml:space="preserve">it is crucial to have a well-orchestrated plan in place to </w:t>
      </w:r>
      <w:r>
        <w:rPr>
          <w:rtl w:val="0"/>
        </w:rPr>
        <w:t>coordinate</w:t>
      </w:r>
      <w:r>
        <w:rPr>
          <w:rtl w:val="0"/>
        </w:rPr>
        <w:t xml:space="preserve"> the different aspects</w:t>
      </w:r>
      <w:r>
        <w:rPr>
          <w:rtl w:val="0"/>
        </w:rPr>
        <w:t xml:space="preserve">. Our project planning approach is based on a traditional </w:t>
      </w:r>
      <w:r>
        <w:rPr>
          <w:rtl w:val="0"/>
        </w:rPr>
        <w:t>“</w:t>
      </w:r>
      <w:r>
        <w:rPr>
          <w:rtl w:val="0"/>
        </w:rPr>
        <w:t>waterfall</w:t>
      </w:r>
      <w:r>
        <w:rPr>
          <w:rtl w:val="0"/>
        </w:rPr>
        <w:t xml:space="preserve">” </w:t>
      </w:r>
      <w:r>
        <w:rPr>
          <w:rtl w:val="0"/>
        </w:rPr>
        <w:t xml:space="preserve">approach: we </w:t>
      </w:r>
      <w:r>
        <w:rPr>
          <w:rtl w:val="0"/>
        </w:rPr>
        <w:t>set</w:t>
      </w:r>
      <w:r>
        <w:rPr>
          <w:rtl w:val="0"/>
        </w:rPr>
        <w:t xml:space="preserve"> </w:t>
      </w:r>
      <w:r>
        <w:rPr>
          <w:rtl w:val="0"/>
        </w:rPr>
        <w:t>clear milestones between each task, with set due dates, deliverables, and client expectations organized on a clear timeline</w:t>
      </w:r>
      <w:r>
        <w:rPr>
          <w:rtl w:val="0"/>
        </w:rPr>
        <w:t xml:space="preserve">, as shown in the GANTT provided as an appendix. The AllPhase project planning approach </w:t>
      </w:r>
      <w:r>
        <w:rPr>
          <w:rtl w:val="0"/>
        </w:rPr>
        <w:t xml:space="preserve">is based on the concept that the </w:t>
      </w:r>
      <w:r>
        <w:rPr>
          <w:rtl w:val="0"/>
        </w:rPr>
        <w:t xml:space="preserve">demolition </w:t>
      </w:r>
      <w:r>
        <w:rPr>
          <w:rtl w:val="0"/>
        </w:rPr>
        <w:t xml:space="preserve">process should flow like an actual waterfall, i.e., each stage </w:t>
      </w:r>
      <w:r>
        <w:rPr>
          <w:rtl w:val="0"/>
        </w:rPr>
        <w:t>and</w:t>
      </w:r>
      <w:r>
        <w:rPr>
          <w:rtl w:val="0"/>
        </w:rPr>
        <w:t xml:space="preserve"> phase </w:t>
      </w:r>
      <w:r>
        <w:rPr>
          <w:rtl w:val="0"/>
        </w:rPr>
        <w:t>will</w:t>
      </w:r>
      <w:r>
        <w:rPr>
          <w:rtl w:val="0"/>
        </w:rPr>
        <w:t xml:space="preserve"> be completed in its entirety before moving on to the next one. For instance, all the requirements for </w:t>
      </w:r>
      <w:r>
        <w:rPr>
          <w:rtl w:val="0"/>
        </w:rPr>
        <w:t>clearing the</w:t>
      </w:r>
      <w:r>
        <w:rPr>
          <w:rtl w:val="0"/>
        </w:rPr>
        <w:t xml:space="preserve"> building must be completed first before beginning </w:t>
      </w:r>
      <w:r>
        <w:rPr>
          <w:rtl w:val="0"/>
        </w:rPr>
        <w:t>the first demolition</w:t>
      </w:r>
      <w:r>
        <w:rPr>
          <w:rtl w:val="0"/>
        </w:rPr>
        <w:t xml:space="preserve"> phase.</w:t>
      </w:r>
      <w:r>
        <w:rPr>
          <w:rtl w:val="0"/>
        </w:rPr>
        <w:t xml:space="preserve"> </w:t>
      </w:r>
    </w:p>
    <w:p>
      <w:pPr>
        <w:pStyle w:val="Body A"/>
      </w:pPr>
      <w:r>
        <w:rPr>
          <w:rtl w:val="0"/>
        </w:rPr>
        <w:t xml:space="preserve">We produce a draft Project Management Plan (PMP) that the government will review; once approved, AllPhase will declare the NPT met, and begin work. As part of the PMP, we will also provide a Risk Management Plan (RMP) and a Quality Control Plan (QCP). </w:t>
      </w:r>
    </w:p>
    <w:p>
      <w:pPr>
        <w:pStyle w:val="Body A"/>
      </w:pPr>
      <w:r>
        <w:rPr>
          <w:rtl w:val="0"/>
        </w:rPr>
        <w:t>The RMP i</w:t>
      </w:r>
      <w:r>
        <w:rPr>
          <w:rtl w:val="0"/>
        </w:rPr>
        <w:t>dentif</w:t>
      </w:r>
      <w:r>
        <w:rPr>
          <w:rtl w:val="0"/>
        </w:rPr>
        <w:t>ies</w:t>
      </w:r>
      <w:r>
        <w:rPr>
          <w:rtl w:val="0"/>
        </w:rPr>
        <w:t xml:space="preserve"> who may be harmed or what the impact on the project progress could be</w:t>
      </w:r>
      <w:r>
        <w:rPr>
          <w:rtl w:val="0"/>
        </w:rPr>
        <w:t>; it d</w:t>
      </w:r>
      <w:r>
        <w:rPr>
          <w:rtl w:val="0"/>
        </w:rPr>
        <w:t>etermine</w:t>
      </w:r>
      <w:r>
        <w:rPr>
          <w:rtl w:val="0"/>
        </w:rPr>
        <w:t>s</w:t>
      </w:r>
      <w:r>
        <w:rPr>
          <w:rtl w:val="0"/>
        </w:rPr>
        <w:t xml:space="preserve"> how many risks may arise if </w:t>
      </w:r>
      <w:r>
        <w:rPr>
          <w:rtl w:val="0"/>
        </w:rPr>
        <w:t>a</w:t>
      </w:r>
      <w:r>
        <w:rPr>
          <w:rtl w:val="0"/>
        </w:rPr>
        <w:t xml:space="preserve"> problem occurs. </w:t>
      </w:r>
      <w:r>
        <w:rPr>
          <w:rtl w:val="0"/>
        </w:rPr>
        <w:t>This lets AllPhase d</w:t>
      </w:r>
      <w:r>
        <w:rPr>
          <w:rtl w:val="0"/>
        </w:rPr>
        <w:t xml:space="preserve">ecide what control measures need to be in place to prevent or solve the problem. </w:t>
      </w:r>
      <w:r>
        <w:rPr>
          <w:rtl w:val="0"/>
        </w:rPr>
        <w:t>Assessment d</w:t>
      </w:r>
      <w:r>
        <w:rPr>
          <w:rtl w:val="0"/>
        </w:rPr>
        <w:t>etermine</w:t>
      </w:r>
      <w:r>
        <w:rPr>
          <w:rtl w:val="0"/>
        </w:rPr>
        <w:t>s</w:t>
      </w:r>
      <w:r>
        <w:rPr>
          <w:rtl w:val="0"/>
        </w:rPr>
        <w:t xml:space="preserve"> if any risks remain.</w:t>
      </w:r>
      <w:r>
        <w:rPr>
          <w:rtl w:val="0"/>
        </w:rPr>
        <w:t xml:space="preserve"> The QCP will delineate our </w:t>
      </w:r>
      <w:r>
        <w:rPr>
          <w:rtl w:val="0"/>
        </w:rPr>
        <w:t>100% inspection mode</w:t>
      </w:r>
      <w:r>
        <w:rPr>
          <w:rtl w:val="0"/>
        </w:rPr>
        <w:t xml:space="preserve"> for quality assessment. The QCP is </w:t>
      </w:r>
      <w:r>
        <w:rPr>
          <w:rtl w:val="0"/>
        </w:rPr>
        <w:t>project-specific</w:t>
      </w:r>
      <w:r>
        <w:rPr>
          <w:rtl w:val="0"/>
        </w:rPr>
        <w:t xml:space="preserve">, and </w:t>
      </w:r>
      <w:r>
        <w:rPr>
          <w:rtl w:val="0"/>
        </w:rPr>
        <w:t xml:space="preserve">describes the activities, standards, tools and processes necessary to achieve quality in the </w:t>
      </w:r>
      <w:r>
        <w:rPr>
          <w:rtl w:val="0"/>
        </w:rPr>
        <w:t>demolition</w:t>
      </w:r>
      <w:r>
        <w:rPr>
          <w:rtl w:val="0"/>
        </w:rPr>
        <w:t xml:space="preserve"> of</w:t>
      </w:r>
      <w:r>
        <w:rPr>
          <w:rtl w:val="0"/>
        </w:rPr>
        <w:t xml:space="preserve"> facilities as described in the PWS.</w:t>
      </w:r>
    </w:p>
    <w:p>
      <w:pPr>
        <w:pStyle w:val="Body A"/>
      </w:pPr>
      <w:r>
        <w:rPr>
          <w:rtl w:val="0"/>
        </w:rPr>
        <w:t xml:space="preserve">Should the unforeseen happen, AllPhase </w:t>
      </w:r>
      <w:r>
        <w:rPr>
          <w:rtl w:val="0"/>
        </w:rPr>
        <w:t>will adapt work schedules and processes</w:t>
      </w:r>
      <w:r>
        <w:rPr>
          <w:rtl w:val="0"/>
        </w:rPr>
        <w:t xml:space="preserve"> to meet </w:t>
      </w:r>
      <w:r>
        <w:rPr>
          <w:rtl w:val="0"/>
        </w:rPr>
        <w:t xml:space="preserve">changing conditions based on </w:t>
      </w:r>
      <w:r>
        <w:rPr>
          <w:rtl w:val="0"/>
        </w:rPr>
        <w:t>the government</w:t>
      </w:r>
      <w:r>
        <w:rPr>
          <w:rtl w:val="0"/>
        </w:rPr>
        <w:t>’</w:t>
      </w:r>
      <w:r>
        <w:rPr>
          <w:rtl w:val="0"/>
        </w:rPr>
        <w:t>s</w:t>
      </w:r>
      <w:r>
        <w:rPr>
          <w:rtl w:val="0"/>
        </w:rPr>
        <w:t xml:space="preserve"> needs, site condition problems, weather delays, etc.</w:t>
      </w:r>
      <w:r>
        <w:rPr>
          <w:rtl w:val="0"/>
        </w:rPr>
        <w:t xml:space="preserve"> </w:t>
      </w:r>
    </w:p>
    <w:p>
      <w:pPr>
        <w:pStyle w:val="Body A"/>
      </w:pPr>
      <w:r>
        <w:rPr>
          <w:rtl w:val="0"/>
        </w:rPr>
        <w:t>The AllPhase project planning approach is superior as it enables</w:t>
      </w:r>
      <w:r>
        <w:rPr>
          <w:rtl w:val="0"/>
        </w:rPr>
        <w:t xml:space="preserve"> </w:t>
      </w:r>
      <w:r>
        <w:rPr>
          <w:rtl w:val="0"/>
        </w:rPr>
        <w:t>our</w:t>
      </w:r>
      <w:r>
        <w:rPr>
          <w:rtl w:val="0"/>
        </w:rPr>
        <w:t xml:space="preserve"> team to focus on each aspect of the </w:t>
      </w:r>
      <w:r>
        <w:rPr>
          <w:rtl w:val="0"/>
        </w:rPr>
        <w:t xml:space="preserve">demolition </w:t>
      </w:r>
      <w:r>
        <w:rPr>
          <w:rtl w:val="0"/>
        </w:rPr>
        <w:t xml:space="preserve">project </w:t>
      </w:r>
      <w:r>
        <w:rPr>
          <w:rtl w:val="0"/>
        </w:rPr>
        <w:t xml:space="preserve">— </w:t>
      </w:r>
      <w:r>
        <w:rPr>
          <w:rtl w:val="0"/>
        </w:rPr>
        <w:t>giving</w:t>
      </w:r>
      <w:r>
        <w:rPr>
          <w:rtl w:val="0"/>
        </w:rPr>
        <w:t xml:space="preserve"> their undivided attention,</w:t>
      </w:r>
      <w:r>
        <w:rPr>
          <w:rtl w:val="0"/>
        </w:rPr>
        <w:t xml:space="preserve"> means we can </w:t>
      </w:r>
      <w:r>
        <w:rPr>
          <w:rtl w:val="0"/>
        </w:rPr>
        <w:t>ensure high-quality work at each stage</w:t>
      </w:r>
      <w:r>
        <w:rPr>
          <w:rtl w:val="0"/>
        </w:rPr>
        <w:t>, verified by our Quality Control Manager</w:t>
      </w:r>
      <w:r>
        <w:rPr>
          <w:rtl w:val="0"/>
        </w:rPr>
        <w:t>.</w:t>
      </w:r>
    </w:p>
    <w:p>
      <w:pPr>
        <w:pStyle w:val="Heading 1"/>
        <w:pageBreakBefore w:val="0"/>
      </w:pPr>
      <w:bookmarkStart w:name="_Toc4" w:id="4"/>
      <w:r>
        <w:rPr>
          <w:rtl w:val="0"/>
          <w:lang w:val="en-US"/>
        </w:rPr>
        <w:t>On-Site Management</w:t>
      </w:r>
      <w:bookmarkEnd w:id="4"/>
    </w:p>
    <w:p>
      <w:pPr>
        <w:pStyle w:val="Body A"/>
      </w:pPr>
      <w:r>
        <w:rPr>
          <w:rtl w:val="0"/>
        </w:rPr>
        <w:t xml:space="preserve">At AllPhase, we recognize that </w:t>
      </w:r>
      <w:r>
        <w:rPr>
          <w:rtl w:val="0"/>
        </w:rPr>
        <w:t>on</w:t>
      </w:r>
      <w:r>
        <w:rPr>
          <w:rtl w:val="0"/>
        </w:rPr>
        <w:t>-</w:t>
      </w:r>
      <w:r>
        <w:rPr>
          <w:rtl w:val="0"/>
        </w:rPr>
        <w:t xml:space="preserve">site </w:t>
      </w:r>
      <w:r>
        <w:rPr>
          <w:rtl w:val="0"/>
        </w:rPr>
        <w:t>management</w:t>
      </w:r>
      <w:r>
        <w:rPr>
          <w:rtl w:val="0"/>
        </w:rPr>
        <w:t xml:space="preserve"> </w:t>
      </w:r>
      <w:r>
        <w:rPr>
          <w:rtl w:val="0"/>
        </w:rPr>
        <w:t>requires</w:t>
      </w:r>
      <w:r>
        <w:rPr>
          <w:rtl w:val="0"/>
        </w:rPr>
        <w:t xml:space="preserve"> a chain of different tasks and responsibilities which </w:t>
      </w:r>
      <w:r>
        <w:rPr>
          <w:rtl w:val="0"/>
        </w:rPr>
        <w:t>are</w:t>
      </w:r>
      <w:r>
        <w:rPr>
          <w:rtl w:val="0"/>
        </w:rPr>
        <w:t xml:space="preserve"> followed with great precision in order for the </w:t>
      </w:r>
      <w:r>
        <w:rPr>
          <w:rtl w:val="0"/>
        </w:rPr>
        <w:t xml:space="preserve">demolition </w:t>
      </w:r>
      <w:r>
        <w:rPr>
          <w:rtl w:val="0"/>
        </w:rPr>
        <w:t xml:space="preserve">project to be delivered according to the </w:t>
      </w:r>
      <w:r>
        <w:rPr>
          <w:rtl w:val="0"/>
        </w:rPr>
        <w:t>PMP. This on-site PM e</w:t>
      </w:r>
      <w:r>
        <w:rPr>
          <w:rtl w:val="0"/>
        </w:rPr>
        <w:t>xpand</w:t>
      </w:r>
      <w:r>
        <w:rPr>
          <w:rtl w:val="0"/>
        </w:rPr>
        <w:t>s</w:t>
      </w:r>
      <w:r>
        <w:rPr>
          <w:rtl w:val="0"/>
        </w:rPr>
        <w:t>, update</w:t>
      </w:r>
      <w:r>
        <w:rPr>
          <w:rtl w:val="0"/>
        </w:rPr>
        <w:t>s</w:t>
      </w:r>
      <w:r>
        <w:rPr>
          <w:rtl w:val="0"/>
        </w:rPr>
        <w:t xml:space="preserve"> and adapt</w:t>
      </w:r>
      <w:r>
        <w:rPr>
          <w:rtl w:val="0"/>
        </w:rPr>
        <w:t>s</w:t>
      </w:r>
      <w:r>
        <w:rPr>
          <w:rtl w:val="0"/>
        </w:rPr>
        <w:t xml:space="preserve"> the </w:t>
      </w:r>
      <w:r>
        <w:rPr>
          <w:rtl w:val="0"/>
        </w:rPr>
        <w:t>PMP</w:t>
      </w:r>
      <w:r>
        <w:rPr>
          <w:rtl w:val="0"/>
        </w:rPr>
        <w:t xml:space="preserve"> in conjunction with the </w:t>
      </w:r>
      <w:r>
        <w:rPr>
          <w:rtl w:val="0"/>
        </w:rPr>
        <w:t>AllPhase</w:t>
      </w:r>
      <w:r>
        <w:rPr>
          <w:rtl w:val="0"/>
        </w:rPr>
        <w:t xml:space="preserve"> team as necessary to reflect further information, </w:t>
      </w:r>
      <w:r>
        <w:rPr>
          <w:rtl w:val="0"/>
        </w:rPr>
        <w:t>the government</w:t>
      </w:r>
      <w:r>
        <w:rPr>
          <w:rtl w:val="0"/>
        </w:rPr>
        <w:t>’</w:t>
      </w:r>
      <w:r>
        <w:rPr>
          <w:rtl w:val="0"/>
        </w:rPr>
        <w:t>s</w:t>
      </w:r>
      <w:r>
        <w:rPr>
          <w:rtl w:val="0"/>
        </w:rPr>
        <w:t xml:space="preserve"> detailed </w:t>
      </w:r>
      <w:r>
        <w:rPr>
          <w:rtl w:val="0"/>
        </w:rPr>
        <w:t>specifications</w:t>
      </w:r>
      <w:r>
        <w:rPr>
          <w:rtl w:val="0"/>
        </w:rPr>
        <w:t xml:space="preserve"> or changed circumstances</w:t>
      </w:r>
      <w:r>
        <w:rPr>
          <w:rtl w:val="0"/>
        </w:rPr>
        <w:t xml:space="preserve">. When </w:t>
      </w:r>
      <w:r>
        <w:rPr>
          <w:rtl w:val="0"/>
        </w:rPr>
        <w:t xml:space="preserve">appropriate, </w:t>
      </w:r>
      <w:r>
        <w:rPr>
          <w:rtl w:val="0"/>
        </w:rPr>
        <w:t xml:space="preserve">the PM will </w:t>
      </w:r>
      <w:r>
        <w:rPr>
          <w:rtl w:val="0"/>
        </w:rPr>
        <w:t xml:space="preserve">make proposals for the acceleration of all or part of any </w:t>
      </w:r>
      <w:r>
        <w:rPr>
          <w:rtl w:val="0"/>
        </w:rPr>
        <w:t>demolition</w:t>
      </w:r>
      <w:r>
        <w:rPr>
          <w:rtl w:val="0"/>
        </w:rPr>
        <w:t xml:space="preserve"> work package or </w:t>
      </w:r>
      <w:r>
        <w:rPr>
          <w:rtl w:val="0"/>
        </w:rPr>
        <w:t xml:space="preserve">task </w:t>
      </w:r>
      <w:r>
        <w:rPr>
          <w:rtl w:val="0"/>
        </w:rPr>
        <w:t xml:space="preserve">elements to achieve the </w:t>
      </w:r>
      <w:r>
        <w:rPr>
          <w:rtl w:val="0"/>
        </w:rPr>
        <w:t>target</w:t>
      </w:r>
      <w:r>
        <w:rPr>
          <w:rtl w:val="0"/>
        </w:rPr>
        <w:t xml:space="preserve"> date</w:t>
      </w:r>
      <w:r>
        <w:rPr>
          <w:rtl w:val="0"/>
        </w:rPr>
        <w:t xml:space="preserve">s </w:t>
      </w:r>
      <w:r>
        <w:rPr>
          <w:rtl w:val="0"/>
        </w:rPr>
        <w:t>of the project.</w:t>
      </w:r>
    </w:p>
    <w:p>
      <w:pPr>
        <w:pStyle w:val="Body A"/>
      </w:pPr>
      <w:r>
        <w:rPr>
          <w:rtl w:val="0"/>
        </w:rPr>
        <w:t>On-site, the PM will effectively manage operatives, plant, equipment, services and office facilities, and may approve, on the advice of the AllPhase team on the site, changes to tasking to improve safety and efficiency. The PM will establish all base line 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 The PM is full-time on site as the deconstruction manager.</w:t>
      </w:r>
      <w:r>
        <w:rPr>
          <w:rtl w:val="0"/>
        </w:rPr>
        <w:t xml:space="preserve"> E</w:t>
      </w:r>
      <w:r>
        <w:rPr>
          <w:rtl w:val="0"/>
        </w:rPr>
        <w:t xml:space="preserve">verything at this stage focuses on the successful delivery of the </w:t>
      </w:r>
      <w:r>
        <w:rPr>
          <w:rtl w:val="0"/>
        </w:rPr>
        <w:t>demolition of the buildings</w:t>
      </w:r>
      <w:r>
        <w:rPr>
          <w:rtl w:val="0"/>
        </w:rPr>
        <w:t xml:space="preserve"> in conjunction with </w:t>
      </w:r>
      <w:r>
        <w:rPr>
          <w:rtl w:val="0"/>
        </w:rPr>
        <w:t>our targets</w:t>
      </w:r>
      <w:r>
        <w:rPr>
          <w:rtl w:val="0"/>
        </w:rPr>
        <w:t xml:space="preserve"> for quality, schedule, cost</w:t>
      </w:r>
      <w:r>
        <w:rPr>
          <w:rtl w:val="0"/>
        </w:rPr>
        <w:t>,</w:t>
      </w:r>
      <w:r>
        <w:rPr>
          <w:rtl w:val="0"/>
        </w:rPr>
        <w:t xml:space="preserve"> and safety</w:t>
      </w:r>
      <w:r>
        <w:rPr>
          <w:rtl w:val="0"/>
        </w:rPr>
        <w:t>.</w:t>
      </w:r>
    </w:p>
    <w:p>
      <w:pPr>
        <w:pStyle w:val="Heading 1"/>
        <w:pageBreakBefore w:val="0"/>
      </w:pPr>
      <w:bookmarkStart w:name="_Toc5" w:id="5"/>
      <w:r>
        <w:rPr>
          <w:rtl w:val="0"/>
          <w:lang w:val="en-US"/>
        </w:rPr>
        <w:t>Logistics</w:t>
      </w:r>
      <w:bookmarkEnd w:id="5"/>
    </w:p>
    <w:p>
      <w:pPr>
        <w:pStyle w:val="Body A"/>
      </w:pPr>
      <w:r>
        <w:rPr>
          <w:rtl w:val="0"/>
        </w:rPr>
        <w:t>AllPhase provides d</w:t>
      </w:r>
      <w:r>
        <w:rPr>
          <w:rtl w:val="0"/>
        </w:rPr>
        <w:t xml:space="preserve">emolition of all types of buildings and structures, </w:t>
      </w:r>
      <w:r>
        <w:rPr>
          <w:rtl w:val="0"/>
        </w:rPr>
        <w:t xml:space="preserve">as well as </w:t>
      </w:r>
      <w:r>
        <w:rPr>
          <w:rtl w:val="0"/>
        </w:rPr>
        <w:t>recycling and removal of construction debris. We have all the necessary demolition equipment at our disposal to be able to demolish the largest buildings or structures. The work is performed and supervised under the guidance of professionals, thus ensuring excellent quality and timeliness.</w:t>
      </w:r>
    </w:p>
    <w:p>
      <w:pPr>
        <w:pStyle w:val="Heading 2"/>
      </w:pPr>
      <w:bookmarkStart w:name="_Toc6" w:id="6"/>
      <w:r>
        <w:rPr>
          <w:rFonts w:cs="Arial Unicode MS" w:eastAsia="Arial Unicode MS"/>
          <w:u w:val="single"/>
          <w:rtl w:val="0"/>
          <w:lang w:val="en-US"/>
        </w:rPr>
        <w:t>Table</w:t>
      </w:r>
      <w:r>
        <w:rPr>
          <w:rFonts w:cs="Arial Unicode MS" w:eastAsia="Arial Unicode MS"/>
          <w:rtl w:val="0"/>
        </w:rPr>
        <w:t>: T</w:t>
      </w:r>
      <w:r>
        <w:rPr>
          <w:rFonts w:cs="Arial Unicode MS" w:eastAsia="Arial Unicode MS"/>
          <w:rtl w:val="0"/>
        </w:rPr>
        <w:t>ypes and numbers of pieces of equipment</w:t>
      </w:r>
      <w:bookmarkEnd w:id="6"/>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6484"/>
        <w:gridCol w:w="2856"/>
      </w:tblGrid>
      <w:tr>
        <w:tblPrEx>
          <w:shd w:val="clear" w:color="auto" w:fill="00a2ff"/>
        </w:tblPrEx>
        <w:trPr>
          <w:trHeight w:val="500" w:hRule="atLeast"/>
          <w:tblHeader/>
        </w:trPr>
        <w:tc>
          <w:tcPr>
            <w:tcW w:type="dxa" w:w="648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Equipment</w:t>
            </w:r>
          </w:p>
        </w:tc>
        <w:tc>
          <w:tcPr>
            <w:tcW w:type="dxa" w:w="285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Quantity</w:t>
            </w:r>
          </w:p>
        </w:tc>
      </w:tr>
      <w:tr>
        <w:tblPrEx>
          <w:shd w:val="clear" w:color="auto" w:fill="cadfff"/>
        </w:tblPrEx>
        <w:trPr>
          <w:trHeight w:val="500" w:hRule="atLeast"/>
        </w:trPr>
        <w:tc>
          <w:tcPr>
            <w:tcW w:type="dxa" w:w="648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285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80"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28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80"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28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80"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28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bl>
    <w:p>
      <w:pPr>
        <w:pStyle w:val="Body A"/>
        <w:rPr>
          <w:b w:val="1"/>
          <w:bCs w:val="1"/>
        </w:rPr>
      </w:pPr>
    </w:p>
    <w:p>
      <w:pPr>
        <w:pStyle w:val="Heading 2"/>
      </w:pPr>
      <w:bookmarkStart w:name="_Toc7" w:id="7"/>
      <w:r>
        <w:rPr>
          <w:rFonts w:cs="Arial Unicode MS" w:eastAsia="Arial Unicode MS"/>
          <w:u w:val="single"/>
          <w:rtl w:val="0"/>
          <w:lang w:val="en-US"/>
        </w:rPr>
        <w:t>Table</w:t>
      </w:r>
      <w:r>
        <w:rPr>
          <w:rFonts w:cs="Arial Unicode MS" w:eastAsia="Arial Unicode MS"/>
          <w:rtl w:val="0"/>
        </w:rPr>
        <w:t>: Staffing plan</w:t>
      </w:r>
      <w:bookmarkEnd w:id="7"/>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5291"/>
        <w:gridCol w:w="1861"/>
        <w:gridCol w:w="2188"/>
      </w:tblGrid>
      <w:tr>
        <w:tblPrEx>
          <w:shd w:val="clear" w:color="auto" w:fill="00a2ff"/>
        </w:tblPrEx>
        <w:trPr>
          <w:trHeight w:val="500" w:hRule="atLeast"/>
          <w:tblHeader/>
        </w:trPr>
        <w:tc>
          <w:tcPr>
            <w:tcW w:type="dxa" w:w="529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Personnel Role/Position</w:t>
            </w:r>
          </w:p>
        </w:tc>
        <w:tc>
          <w:tcPr>
            <w:tcW w:type="dxa" w:w="186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Dual-Hatting?</w:t>
            </w:r>
          </w:p>
        </w:tc>
        <w:tc>
          <w:tcPr>
            <w:tcW w:type="dxa" w:w="218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Subcontractor?</w:t>
            </w:r>
          </w:p>
        </w:tc>
      </w:tr>
      <w:tr>
        <w:tblPrEx>
          <w:shd w:val="clear" w:color="auto" w:fill="cadfff"/>
        </w:tblPrEx>
        <w:trPr>
          <w:trHeight w:val="500" w:hRule="atLeast"/>
        </w:trPr>
        <w:tc>
          <w:tcPr>
            <w:tcW w:type="dxa" w:w="529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PM/SUPER 1 (key)</w:t>
            </w:r>
          </w:p>
        </w:tc>
        <w:tc>
          <w:tcPr>
            <w:tcW w:type="dxa" w:w="186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c>
          <w:tcPr>
            <w:tcW w:type="dxa" w:w="218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r>
      <w:tr>
        <w:tblPrEx>
          <w:shd w:val="clear" w:color="auto" w:fill="cadfff"/>
        </w:tblPrEx>
        <w:trPr>
          <w:trHeight w:val="48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PM/SUPER 2 (key)</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r>
      <w:tr>
        <w:tblPrEx>
          <w:shd w:val="clear" w:color="auto" w:fill="cadfff"/>
        </w:tblPrEx>
        <w:trPr>
          <w:trHeight w:val="48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Equipment Operator 1</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r>
      <w:tr>
        <w:tblPrEx>
          <w:shd w:val="clear" w:color="auto" w:fill="cadfff"/>
        </w:tblPrEx>
        <w:trPr>
          <w:trHeight w:val="48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Equipment Operator 2</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8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Laborer 1</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r>
      <w:tr>
        <w:tblPrEx>
          <w:shd w:val="clear" w:color="auto" w:fill="cadfff"/>
        </w:tblPrEx>
        <w:trPr>
          <w:trHeight w:val="48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Laborer 2</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r>
      <w:tr>
        <w:tblPrEx>
          <w:shd w:val="clear" w:color="auto" w:fill="cadfff"/>
        </w:tblPrEx>
        <w:trPr>
          <w:trHeight w:val="48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Laborer 3</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r>
      <w:tr>
        <w:tblPrEx>
          <w:shd w:val="clear" w:color="auto" w:fill="cadfff"/>
        </w:tblPrEx>
        <w:trPr>
          <w:trHeight w:val="48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QAM</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Yes</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r>
      <w:tr>
        <w:tblPrEx>
          <w:shd w:val="clear" w:color="auto" w:fill="cadfff"/>
        </w:tblPrEx>
        <w:trPr>
          <w:trHeight w:val="48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Safety Manager</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Yes</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w:t>
            </w:r>
          </w:p>
        </w:tc>
      </w:tr>
    </w:tbl>
    <w:p>
      <w:pPr>
        <w:pStyle w:val="Body A"/>
        <w:rPr>
          <w:b w:val="1"/>
          <w:bCs w:val="1"/>
        </w:rPr>
      </w:pPr>
    </w:p>
    <w:p>
      <w:pPr>
        <w:pStyle w:val="Heading 2"/>
      </w:pPr>
      <w:bookmarkStart w:name="_Toc8" w:id="8"/>
      <w:r>
        <w:rPr>
          <w:rFonts w:cs="Arial Unicode MS" w:eastAsia="Arial Unicode MS"/>
          <w:u w:val="single"/>
          <w:rtl w:val="0"/>
          <w:lang w:val="en-US"/>
        </w:rPr>
        <w:t>Table</w:t>
      </w:r>
      <w:r>
        <w:rPr>
          <w:rFonts w:cs="Arial Unicode MS" w:eastAsia="Arial Unicode MS"/>
          <w:rtl w:val="0"/>
        </w:rPr>
        <w:t>: E</w:t>
      </w:r>
      <w:r>
        <w:rPr>
          <w:rFonts w:cs="Arial Unicode MS" w:eastAsia="Arial Unicode MS"/>
          <w:rtl w:val="0"/>
        </w:rPr>
        <w:t xml:space="preserve">xpected </w:t>
      </w:r>
      <w:r>
        <w:rPr>
          <w:rFonts w:cs="Arial Unicode MS" w:eastAsia="Arial Unicode MS"/>
          <w:rtl w:val="0"/>
        </w:rPr>
        <w:t xml:space="preserve">materials for </w:t>
      </w:r>
      <w:r>
        <w:rPr>
          <w:rFonts w:cs="Arial Unicode MS" w:eastAsia="Arial Unicode MS"/>
          <w:rtl w:val="0"/>
        </w:rPr>
        <w:t xml:space="preserve">diversion </w:t>
      </w:r>
      <w:r>
        <w:rPr>
          <w:rFonts w:cs="Arial Unicode MS" w:eastAsia="Arial Unicode MS"/>
          <w:rtl w:val="0"/>
        </w:rPr>
        <w:t xml:space="preserve">/ </w:t>
      </w:r>
      <w:r>
        <w:rPr>
          <w:rFonts w:cs="Arial Unicode MS" w:eastAsia="Arial Unicode MS"/>
          <w:rtl w:val="0"/>
        </w:rPr>
        <w:t>rate</w:t>
      </w:r>
      <w:r>
        <w:rPr>
          <w:rFonts w:cs="Arial Unicode MS" w:eastAsia="Arial Unicode MS"/>
          <w:rtl w:val="0"/>
        </w:rPr>
        <w:t>s</w:t>
      </w:r>
      <w:bookmarkEnd w:id="8"/>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965"/>
        <w:gridCol w:w="2187"/>
        <w:gridCol w:w="2188"/>
      </w:tblGrid>
      <w:tr>
        <w:tblPrEx>
          <w:shd w:val="clear" w:color="auto" w:fill="00a2ff"/>
        </w:tblPrEx>
        <w:trPr>
          <w:trHeight w:val="930" w:hRule="atLeast"/>
          <w:tblHeader/>
        </w:trPr>
        <w:tc>
          <w:tcPr>
            <w:tcW w:type="dxa" w:w="496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Material/Type to be diverted/recycled</w:t>
            </w:r>
          </w:p>
        </w:tc>
        <w:tc>
          <w:tcPr>
            <w:tcW w:type="dxa" w:w="218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 xml:space="preserve">Company, location, and certifications receiving </w:t>
            </w:r>
          </w:p>
        </w:tc>
        <w:tc>
          <w:tcPr>
            <w:tcW w:type="dxa" w:w="218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&gt;60% / Rationale for Not Reaching Min Div Rate</w:t>
            </w:r>
          </w:p>
        </w:tc>
      </w:tr>
      <w:tr>
        <w:tblPrEx>
          <w:shd w:val="clear" w:color="auto" w:fill="cadfff"/>
        </w:tblPrEx>
        <w:trPr>
          <w:trHeight w:val="500" w:hRule="atLeast"/>
        </w:trPr>
        <w:tc>
          <w:tcPr>
            <w:tcW w:type="dxa" w:w="496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218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218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80" w:hRule="atLeast"/>
        </w:trPr>
        <w:tc>
          <w:tcPr>
            <w:tcW w:type="dxa" w:w="4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80" w:hRule="atLeast"/>
        </w:trPr>
        <w:tc>
          <w:tcPr>
            <w:tcW w:type="dxa" w:w="4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80" w:hRule="atLeast"/>
        </w:trPr>
        <w:tc>
          <w:tcPr>
            <w:tcW w:type="dxa" w:w="4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bl>
    <w:p>
      <w:pPr>
        <w:pStyle w:val="Body A"/>
        <w:rPr>
          <w:b w:val="1"/>
          <w:bCs w:val="1"/>
        </w:rPr>
      </w:pPr>
    </w:p>
    <w:p>
      <w:pPr>
        <w:pStyle w:val="Heading 2"/>
      </w:pPr>
      <w:bookmarkStart w:name="_Toc9" w:id="9"/>
      <w:r>
        <w:rPr>
          <w:rFonts w:cs="Arial Unicode MS" w:eastAsia="Arial Unicode MS"/>
          <w:u w:val="single"/>
          <w:rtl w:val="0"/>
          <w:lang w:val="en-US"/>
        </w:rPr>
        <w:t>Table</w:t>
      </w:r>
      <w:r>
        <w:rPr>
          <w:rFonts w:cs="Arial Unicode MS" w:eastAsia="Arial Unicode MS"/>
          <w:rtl w:val="0"/>
        </w:rPr>
        <w:t>: T</w:t>
      </w:r>
      <w:r>
        <w:rPr>
          <w:rFonts w:cs="Arial Unicode MS" w:eastAsia="Arial Unicode MS"/>
          <w:rtl w:val="0"/>
        </w:rPr>
        <w:t>ypes and numbers of pieces of equipment</w:t>
      </w:r>
      <w:bookmarkEnd w:id="9"/>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989"/>
        <w:gridCol w:w="4351"/>
      </w:tblGrid>
      <w:tr>
        <w:tblPrEx>
          <w:shd w:val="clear" w:color="auto" w:fill="00a2ff"/>
        </w:tblPrEx>
        <w:trPr>
          <w:trHeight w:val="630" w:hRule="atLeast"/>
          <w:tblHeader/>
        </w:trPr>
        <w:tc>
          <w:tcPr>
            <w:tcW w:type="dxa" w:w="498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ACM and ORM waste</w:t>
            </w:r>
          </w:p>
        </w:tc>
        <w:tc>
          <w:tcPr>
            <w:tcW w:type="dxa" w:w="435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 xml:space="preserve">Company, location, and certifications receiving </w:t>
            </w:r>
          </w:p>
        </w:tc>
      </w:tr>
      <w:tr>
        <w:tblPrEx>
          <w:shd w:val="clear" w:color="auto" w:fill="cadfff"/>
        </w:tblPrEx>
        <w:trPr>
          <w:trHeight w:val="500" w:hRule="atLeast"/>
        </w:trPr>
        <w:tc>
          <w:tcPr>
            <w:tcW w:type="dxa" w:w="498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435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80" w:hRule="atLeast"/>
        </w:trPr>
        <w:tc>
          <w:tcPr>
            <w:tcW w:type="dxa" w:w="49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43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80" w:hRule="atLeast"/>
        </w:trPr>
        <w:tc>
          <w:tcPr>
            <w:tcW w:type="dxa" w:w="49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43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80" w:hRule="atLeast"/>
        </w:trPr>
        <w:tc>
          <w:tcPr>
            <w:tcW w:type="dxa" w:w="49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43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bl>
    <w:p>
      <w:pPr>
        <w:pStyle w:val="Body A"/>
        <w:rPr>
          <w:b w:val="1"/>
          <w:bCs w:val="1"/>
          <w:i w:val="1"/>
          <w:iCs w:val="1"/>
        </w:rPr>
      </w:pPr>
    </w:p>
    <w:p>
      <w:pPr>
        <w:pStyle w:val="Body A"/>
        <w:rPr>
          <w:b w:val="1"/>
          <w:bCs w:val="1"/>
        </w:rPr>
      </w:pPr>
    </w:p>
    <w:p>
      <w:pPr>
        <w:pStyle w:val="Heading 2"/>
      </w:pPr>
      <w:bookmarkStart w:name="_Toc10" w:id="10"/>
      <w:r>
        <w:rPr>
          <w:rFonts w:cs="Arial Unicode MS" w:eastAsia="Arial Unicode MS"/>
          <w:u w:val="single"/>
          <w:rtl w:val="0"/>
          <w:lang w:val="en-US"/>
        </w:rPr>
        <w:t>Table</w:t>
      </w:r>
      <w:r>
        <w:rPr>
          <w:rFonts w:cs="Arial Unicode MS" w:eastAsia="Arial Unicode MS"/>
          <w:rtl w:val="0"/>
        </w:rPr>
        <w:t>: M</w:t>
      </w:r>
      <w:r>
        <w:rPr>
          <w:rFonts w:cs="Arial Unicode MS" w:eastAsia="Arial Unicode MS"/>
          <w:rtl w:val="0"/>
        </w:rPr>
        <w:t xml:space="preserve">aterials </w:t>
      </w:r>
      <w:r>
        <w:rPr>
          <w:rFonts w:cs="Arial Unicode MS" w:eastAsia="Arial Unicode MS"/>
          <w:rtl w:val="0"/>
        </w:rPr>
        <w:t xml:space="preserve">to be </w:t>
      </w:r>
      <w:r>
        <w:rPr>
          <w:rFonts w:cs="Arial Unicode MS" w:eastAsia="Arial Unicode MS"/>
          <w:rtl w:val="0"/>
        </w:rPr>
        <w:t>disposed at landfill</w:t>
      </w:r>
      <w:bookmarkEnd w:id="10"/>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989"/>
        <w:gridCol w:w="4351"/>
      </w:tblGrid>
      <w:tr>
        <w:tblPrEx>
          <w:shd w:val="clear" w:color="auto" w:fill="00a2ff"/>
        </w:tblPrEx>
        <w:trPr>
          <w:trHeight w:val="630" w:hRule="atLeast"/>
          <w:tblHeader/>
        </w:trPr>
        <w:tc>
          <w:tcPr>
            <w:tcW w:type="dxa" w:w="498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non-ACM and ORM waste</w:t>
            </w:r>
          </w:p>
        </w:tc>
        <w:tc>
          <w:tcPr>
            <w:tcW w:type="dxa" w:w="435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 xml:space="preserve">Company, location, and certifications receiving </w:t>
            </w:r>
          </w:p>
        </w:tc>
      </w:tr>
      <w:tr>
        <w:tblPrEx>
          <w:shd w:val="clear" w:color="auto" w:fill="cadfff"/>
        </w:tblPrEx>
        <w:trPr>
          <w:trHeight w:val="500" w:hRule="atLeast"/>
        </w:trPr>
        <w:tc>
          <w:tcPr>
            <w:tcW w:type="dxa" w:w="498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435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80" w:hRule="atLeast"/>
        </w:trPr>
        <w:tc>
          <w:tcPr>
            <w:tcW w:type="dxa" w:w="49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43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80" w:hRule="atLeast"/>
        </w:trPr>
        <w:tc>
          <w:tcPr>
            <w:tcW w:type="dxa" w:w="49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43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80" w:hRule="atLeast"/>
        </w:trPr>
        <w:tc>
          <w:tcPr>
            <w:tcW w:type="dxa" w:w="49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top"/>
          </w:tcPr>
          <w:p/>
        </w:tc>
        <w:tc>
          <w:tcPr>
            <w:tcW w:type="dxa" w:w="43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bl>
    <w:p>
      <w:pPr>
        <w:pStyle w:val="Body A"/>
        <w:rPr>
          <w:b w:val="1"/>
          <w:bCs w:val="1"/>
          <w:i w:val="1"/>
          <w:iCs w:val="1"/>
        </w:rPr>
      </w:pPr>
    </w:p>
    <w:p>
      <w:pPr>
        <w:pStyle w:val="Body A"/>
        <w:rPr>
          <w:b w:val="1"/>
          <w:bCs w:val="1"/>
        </w:rPr>
      </w:pPr>
    </w:p>
    <w:p>
      <w:pPr>
        <w:pStyle w:val="Body A"/>
      </w:pPr>
    </w:p>
    <w:p>
      <w:pPr>
        <w:pStyle w:val="Heading 1"/>
        <w:rPr>
          <w:lang w:val="en-US"/>
        </w:rPr>
      </w:pPr>
      <w:bookmarkStart w:name="_Toc11" w:id="11"/>
      <w:r>
        <w:rPr>
          <w:rFonts w:cs="Arial Unicode MS" w:eastAsia="Arial Unicode MS"/>
          <w:rtl w:val="0"/>
          <w:lang w:val="en-US"/>
        </w:rPr>
        <w:t>Appendix</w:t>
      </w:r>
      <w:r>
        <w:rPr>
          <w:rFonts w:cs="Arial Unicode MS" w:eastAsia="Arial Unicode MS"/>
          <w:rtl w:val="0"/>
          <w:lang w:val="en-US"/>
        </w:rPr>
        <w:t xml:space="preserve">: </w:t>
      </w:r>
      <w:r>
        <w:rPr>
          <w:rFonts w:cs="Arial Unicode MS" w:eastAsia="Arial Unicode MS"/>
          <w:rtl w:val="0"/>
          <w:lang w:val="en-US"/>
        </w:rPr>
        <w:t>P</w:t>
      </w:r>
      <w:r>
        <w:rPr>
          <w:rFonts w:cs="Arial Unicode MS" w:eastAsia="Arial Unicode MS"/>
          <w:rtl w:val="0"/>
          <w:lang w:val="en-US"/>
        </w:rPr>
        <w:t xml:space="preserve">roposed </w:t>
      </w:r>
      <w:r>
        <w:rPr>
          <w:rFonts w:cs="Arial Unicode MS" w:eastAsia="Arial Unicode MS"/>
          <w:rtl w:val="0"/>
          <w:lang w:val="en-US"/>
        </w:rPr>
        <w:t>P</w:t>
      </w:r>
      <w:r>
        <w:rPr>
          <w:rFonts w:cs="Arial Unicode MS" w:eastAsia="Arial Unicode MS"/>
          <w:rtl w:val="0"/>
          <w:lang w:val="en-US"/>
        </w:rPr>
        <w:t xml:space="preserve">roject </w:t>
      </w:r>
      <w:r>
        <w:rPr>
          <w:rFonts w:cs="Arial Unicode MS" w:eastAsia="Arial Unicode MS"/>
          <w:rtl w:val="0"/>
          <w:lang w:val="en-US"/>
        </w:rPr>
        <w:t>S</w:t>
      </w:r>
      <w:r>
        <w:rPr>
          <w:rFonts w:cs="Arial Unicode MS" w:eastAsia="Arial Unicode MS"/>
          <w:rtl w:val="0"/>
          <w:lang w:val="en-US"/>
        </w:rPr>
        <w:t>chedule</w:t>
      </w:r>
      <w:bookmarkEnd w:id="11"/>
    </w:p>
    <w:p>
      <w:pPr>
        <w:pStyle w:val="Body A"/>
      </w:pPr>
    </w:p>
    <w:p>
      <w:pPr>
        <w:pStyle w:val="Heading 1"/>
      </w:pPr>
      <w:bookmarkStart w:name="_Toc12" w:id="12"/>
      <w:r>
        <w:rPr>
          <w:rFonts w:cs="Arial Unicode MS" w:eastAsia="Arial Unicode MS"/>
          <w:rtl w:val="0"/>
        </w:rPr>
        <w:t>Appendix: M</w:t>
      </w:r>
      <w:r>
        <w:rPr>
          <w:rFonts w:cs="Arial Unicode MS" w:eastAsia="Arial Unicode MS"/>
          <w:rtl w:val="0"/>
        </w:rPr>
        <w:t xml:space="preserve">aps and </w:t>
      </w:r>
      <w:r>
        <w:rPr>
          <w:rFonts w:cs="Arial Unicode MS" w:eastAsia="Arial Unicode MS"/>
          <w:rtl w:val="0"/>
        </w:rPr>
        <w:t>F</w:t>
      </w:r>
      <w:r>
        <w:rPr>
          <w:rFonts w:cs="Arial Unicode MS" w:eastAsia="Arial Unicode MS"/>
          <w:rtl w:val="0"/>
        </w:rPr>
        <w:t>igures</w:t>
      </w:r>
      <w:r/>
      <w:bookmarkEnd w:id="12"/>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tab/>
      <w:tab/>
    </w:r>
    <w:r>
      <w:rPr>
        <w:rtl w:val="0"/>
        <w:lang w:val="en-US"/>
      </w:rPr>
      <w:t xml:space="preserve">Page </w:t>
    </w:r>
    <w:r>
      <w:rPr/>
      <w:fldChar w:fldCharType="begin" w:fldLock="0"/>
    </w:r>
    <w:r>
      <w:instrText xml:space="preserve"> PAGE </w:instrText>
    </w:r>
    <w:r>
      <w:rPr/>
      <w:fldChar w:fldCharType="separate" w:fldLock="0"/>
    </w:r>
    <w:r>
      <w:t>13</w:t>
    </w:r>
    <w:r>
      <w:rPr/>
      <w:fldChar w:fldCharType="end" w:fldLock="0"/>
    </w:r>
    <w:r>
      <w:rPr>
        <w:rtl w:val="0"/>
        <w:lang w:val="en-US"/>
      </w:rPr>
      <w:t xml:space="preserve"> of </w:t>
    </w:r>
    <w:r>
      <w:rPr/>
      <w:fldChar w:fldCharType="begin" w:fldLock="0"/>
    </w:r>
    <w:r>
      <w:instrText xml:space="preserve"> NUMPAGES </w:instrText>
    </w:r>
    <w:r>
      <w:rPr/>
      <w:fldChar w:fldCharType="separate" w:fldLock="0"/>
    </w:r>
    <w:r>
      <w:t>13</w:t>
    </w:r>
    <w:r>
      <w:rPr/>
      <w:fldChar w:fldCharType="end" w:fldLock="0"/>
    </w:r>
    <w:r>
      <w:rPr>
        <w:rtl w:val="0"/>
        <w:lang w:val="en-US"/>
      </w:rPr>
      <w:t xml:space="preserve"> | NTE 20 pages</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TOC 1">
    <w:name w:val="TOC 1"/>
    <w:next w:val="TOC 1"/>
    <w:pPr>
      <w:keepNext w:val="0"/>
      <w:keepLines w:val="0"/>
      <w:pageBreakBefore w:val="0"/>
      <w:widowControl w:val="1"/>
      <w:shd w:val="clear" w:color="auto" w:fill="auto"/>
      <w:tabs>
        <w:tab w:val="left" w:pos="61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Body A"/>
    <w:pPr>
      <w:keepNext w:val="1"/>
      <w:keepLines w:val="0"/>
      <w:pageBreakBefore w:val="1"/>
      <w:widowControl w:val="1"/>
      <w:shd w:val="clear" w:color="auto" w:fill="auto"/>
      <w:suppressAutoHyphens w:val="0"/>
      <w:bidi w:val="0"/>
      <w:spacing w:before="24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6120" w:leader="dot"/>
      </w:tabs>
      <w:suppressAutoHyphens w:val="0"/>
      <w:bidi w:val="0"/>
      <w:spacing w:before="6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