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28"/>
          <w:szCs w:val="28"/>
        </w:rPr>
      </w:pPr>
      <w:r>
        <w:rPr>
          <w:b w:val="1"/>
          <w:bCs w:val="1"/>
          <w:sz w:val="28"/>
          <w:szCs w:val="28"/>
          <w:rtl w:val="0"/>
          <w:lang w:val="en-US"/>
        </w:rPr>
        <w:t>PANHES-22-P-0000 003493 RFP - Pacific Region MATOC, for abatement and demolition services at NASA at Santa Susana Field Laboratory (SSFL), Ventura County, CA</w:t>
      </w:r>
    </w:p>
    <w:p>
      <w:pPr>
        <w:pStyle w:val="Body"/>
        <w:jc w:val="center"/>
      </w:pPr>
      <w:r>
        <w:rPr>
          <w:rtl w:val="0"/>
          <w:lang w:val="en-US"/>
        </w:rPr>
        <w:t>Due: 21 July 2022 12:00</w:t>
      </w:r>
    </w:p>
    <w:p>
      <w:pPr>
        <w:pStyle w:val="Body"/>
        <w:jc w:val="center"/>
      </w:pPr>
      <w:r>
        <w:rPr>
          <w:rtl w:val="0"/>
          <w:lang w:val="en-US"/>
        </w:rPr>
        <w:t xml:space="preserve">Submit to: Reneda.d.kelley@usace.army.mil | Darrell.d.walker@usace.army.mil | FRPProposalsInboxhnc@usace.army.mil </w:t>
      </w:r>
    </w:p>
    <w:p>
      <w:pPr>
        <w:pStyle w:val="Body"/>
        <w:bidi w:val="0"/>
      </w:pPr>
    </w:p>
    <w:p>
      <w:pPr>
        <w:pStyle w:val="Body"/>
        <w:bidi w:val="0"/>
      </w:pPr>
    </w:p>
    <w:p>
      <w:pPr>
        <w:pStyle w:val="Body"/>
        <w:bidi w:val="0"/>
      </w:pPr>
    </w:p>
    <w:p>
      <w:pPr>
        <w:pStyle w:val="Body"/>
        <w:rPr>
          <w:i w:val="1"/>
          <w:iCs w:val="1"/>
        </w:rPr>
      </w:pPr>
      <w:r>
        <w:rPr>
          <w:i w:val="1"/>
          <w:iCs w:val="1"/>
          <w:rtl w:val="0"/>
          <w:lang w:val="en-US"/>
        </w:rPr>
        <w:t xml:space="preserve">The contractor is required to identify the primary and alternate point of contacts (POCs) for this effort. Information shall include the POC name, office telephone numbers, mobile telephone numbers, and e-mail address. Details of Corporate experience is not required at the task order level. </w:t>
      </w:r>
    </w:p>
    <w:p>
      <w:pPr>
        <w:pStyle w:val="Body"/>
        <w:bidi w:val="0"/>
      </w:pPr>
    </w:p>
    <w:p>
      <w:pPr>
        <w:pStyle w:val="Body"/>
        <w:pageBreakBefore w:val="1"/>
        <w:rPr>
          <w:b w:val="1"/>
          <w:bCs w:val="1"/>
        </w:rPr>
      </w:pPr>
      <w:r>
        <w:rPr>
          <w:b w:val="1"/>
          <w:bCs w:val="1"/>
          <w:rtl w:val="0"/>
          <w:lang w:val="en-US"/>
        </w:rPr>
        <w:t>Cover Letter</w:t>
      </w:r>
    </w:p>
    <w:p>
      <w:pPr>
        <w:pStyle w:val="Body"/>
        <w:bidi w:val="0"/>
      </w:pPr>
    </w:p>
    <w:p>
      <w:pPr>
        <w:pStyle w:val="Body"/>
        <w:bidi w:val="0"/>
      </w:pPr>
      <w:r>
        <w:rPr>
          <w:rtl w:val="0"/>
        </w:rPr>
        <w:t xml:space="preserve">the offeror shall provide a signed cover letter with the total price of the project, (including demolition, and abatement, if necessary) </w:t>
      </w:r>
    </w:p>
    <w:p>
      <w:pPr>
        <w:pStyle w:val="Body"/>
        <w:bidi w:val="0"/>
      </w:pPr>
      <w:r>
        <w:rPr>
          <w:rtl w:val="0"/>
        </w:rPr>
        <w:t xml:space="preserve">See attached: </w:t>
      </w:r>
      <w:r>
        <w:rPr>
          <w:rtl w:val="0"/>
          <w:lang w:val="de-DE"/>
        </w:rPr>
        <w:t>Attachment B</w:t>
      </w:r>
      <w:r>
        <w:rPr>
          <w:rtl w:val="0"/>
        </w:rPr>
        <w:t xml:space="preserve"> - </w:t>
      </w:r>
      <w:r>
        <w:rPr>
          <w:rtl w:val="0"/>
        </w:rPr>
        <w:t xml:space="preserve">Summary Spreadsheet </w:t>
      </w:r>
    </w:p>
    <w:p>
      <w:pPr>
        <w:pStyle w:val="Body"/>
        <w:bidi w:val="0"/>
      </w:pPr>
    </w:p>
    <w:p>
      <w:pPr>
        <w:pStyle w:val="Body"/>
        <w:bidi w:val="0"/>
      </w:pPr>
    </w:p>
    <w:p>
      <w:pPr>
        <w:pStyle w:val="Body"/>
        <w:pageBreakBefore w:val="1"/>
        <w:rPr>
          <w:b w:val="1"/>
          <w:bCs w:val="1"/>
        </w:rPr>
      </w:pPr>
      <w:r>
        <w:rPr>
          <w:b w:val="1"/>
          <w:bCs w:val="1"/>
          <w:rtl w:val="0"/>
          <w:lang w:val="en-US"/>
        </w:rPr>
        <w:t>Contents</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bidi w:val="0"/>
      </w:pPr>
    </w:p>
    <w:p>
      <w:pPr>
        <w:pStyle w:val="Body"/>
        <w:bidi w:val="0"/>
      </w:pPr>
    </w:p>
    <w:p>
      <w:pPr>
        <w:pStyle w:val="Heading 1"/>
        <w:bidi w:val="0"/>
      </w:pPr>
      <w:r>
        <w:rPr>
          <w:rtl w:val="0"/>
        </w:rPr>
        <w:t>Technical Approach</w:t>
      </w:r>
    </w:p>
    <w:p>
      <w:pPr>
        <w:pStyle w:val="Body"/>
        <w:bidi w:val="0"/>
      </w:pPr>
      <w:r>
        <w:rPr>
          <w:rtl w:val="0"/>
        </w:rPr>
        <w:t xml:space="preserve">The proposal submitted in response to a task order Request for Proposal (RFP) under the Facilities Reduction Program shall be evaluated for technical acceptability using the following guidelines: a. The proposal shall be site-specific, not generic. It shall not merely repeat the task order PWS The proposal shall provide a clear, concise, and logical description of the work methods, means, and sequence Contractor intends to use to meet specific requirements of the task order PWS and associated Appendices and Attachments. It should specifically address any atypical structures which will require specialized demolition methods (e.g., structures over 3 floors, basements more than 1 level deep, hardened or extra thick concrete [more than 8" thick], confined space demolition [vault, wind tunnel, or basement interior only], or ACM/ORM abatement with unusual conditions or quantities). Proposal shall include sufficient detail, to include maps and figures, to demonstrate that the Contractor clearly understands requirements of the task order PWS. </w:t>
      </w:r>
    </w:p>
    <w:p>
      <w:pPr>
        <w:pStyle w:val="Heading 2"/>
        <w:bidi w:val="0"/>
      </w:pPr>
      <w:r>
        <w:rPr>
          <w:rtl w:val="0"/>
        </w:rPr>
        <w:t>Exhibit: Assumptions and Exceptions</w:t>
      </w:r>
    </w:p>
    <w:p>
      <w:pPr>
        <w:pStyle w:val="Body"/>
        <w:bidi w:val="0"/>
      </w:pPr>
      <w:r>
        <w:rPr>
          <w:rtl w:val="0"/>
        </w:rPr>
        <w:t xml:space="preserve">j. The technical proposal shall contain a table at the beginning of the proposal which clearly articulates all assumptions, deviations from PWS requirement(s) to include exceptions to the proposed milestone schedule, and interpretations of regulations that contradict PWS intent. </w:t>
      </w:r>
    </w:p>
    <w:p>
      <w:pPr>
        <w:pStyle w:val="Body"/>
        <w:rPr>
          <w:b w:val="1"/>
          <w:bCs w:val="1"/>
        </w:rPr>
      </w:pPr>
    </w:p>
    <w:p>
      <w:pPr>
        <w:pStyle w:val="Heading 2"/>
        <w:bidi w:val="0"/>
      </w:pPr>
      <w:r>
        <w:rPr>
          <w:rtl w:val="0"/>
        </w:rPr>
        <w:t xml:space="preserve">Exhibit: </w:t>
      </w:r>
      <w:r>
        <w:rPr>
          <w:rtl w:val="0"/>
        </w:rPr>
        <w:t xml:space="preserve">proposed project schedule </w:t>
      </w:r>
      <w:r>
        <w:rPr>
          <w:rtl w:val="0"/>
        </w:rPr>
        <w:t>(</w:t>
      </w:r>
      <w:r>
        <w:rPr>
          <w:rtl w:val="0"/>
          <w:lang w:val="nl-NL"/>
        </w:rPr>
        <w:t>Gantt chart</w:t>
      </w:r>
      <w:r>
        <w:rPr>
          <w:rtl w:val="0"/>
        </w:rPr>
        <w:t>)</w:t>
      </w:r>
    </w:p>
    <w:p>
      <w:pPr>
        <w:pStyle w:val="Body"/>
        <w:rPr>
          <w:i w:val="1"/>
          <w:iCs w:val="1"/>
          <w:sz w:val="20"/>
          <w:szCs w:val="20"/>
        </w:rPr>
      </w:pPr>
      <w:r>
        <w:rPr>
          <w:i w:val="1"/>
          <w:iCs w:val="1"/>
          <w:sz w:val="20"/>
          <w:szCs w:val="20"/>
          <w:rtl w:val="0"/>
          <w:lang w:val="en-US"/>
        </w:rPr>
        <w:t xml:space="preserve">Notes: </w:t>
      </w:r>
      <w:r>
        <w:rPr>
          <w:i w:val="1"/>
          <w:iCs w:val="1"/>
          <w:sz w:val="20"/>
          <w:szCs w:val="20"/>
          <w:rtl w:val="0"/>
          <w:lang w:val="en-US"/>
        </w:rPr>
        <w:t xml:space="preserve">The proposed schedule shall provide an estimated NTP date, mobilization date, and shall detail the sequence of work for each major activity (abatement, demolition, restoration) by facilities or groups of facilities, dependency relationships between activities, and the overall schedule in the task order PWS, to include base work and any/all options. The schedule is not included in the page limitation. </w:t>
      </w:r>
    </w:p>
    <w:p>
      <w:pPr>
        <w:pStyle w:val="Body"/>
        <w:bidi w:val="0"/>
      </w:pPr>
    </w:p>
    <w:p>
      <w:pPr>
        <w:pStyle w:val="Body"/>
        <w:bidi w:val="0"/>
      </w:pPr>
      <w:r>
        <w:rPr>
          <w:rtl w:val="0"/>
        </w:rPr>
        <w:t xml:space="preserve">b. Contractor shall provide a proposed project schedule, with a clearly delineated critical path, using a Gantt chart format. The proposed schedule shall provide an estimated NTP date, mobilization date, and shall detail the sequence of work for each major activity (abatement, demolition, restoration) by facilities or groups of facilities, dependency relationships between activities, and the overall schedule in the task order PWS, to include base work and any/all options. Maximum durations are contained within the milestone schedule section of the PWS. The Offeror shall not propose shortening durations for Government functions such as reviews, contracting actions, etc. </w:t>
      </w:r>
    </w:p>
    <w:p>
      <w:pPr>
        <w:pStyle w:val="Body"/>
        <w:bidi w:val="0"/>
      </w:pPr>
      <w:r>
        <w:rPr>
          <w:rtl w:val="0"/>
        </w:rPr>
        <w:t xml:space="preserve">c. The proposal shall clearly describe Contractor's on-site management and project planning processes through which it will adapt work schedules and processes when encountering changing conditions based on owner needs, site condition problems, and/ or weather delays, etc. </w:t>
      </w:r>
    </w:p>
    <w:p>
      <w:pPr>
        <w:pStyle w:val="Body"/>
        <w:bidi w:val="0"/>
      </w:pPr>
      <w:r>
        <w:rPr>
          <w:rtl w:val="0"/>
        </w:rPr>
        <w:t xml:space="preserve">d. The proposal shall describe the types and numbers of pieces of equipment Contractor expects to use, describe expected number of personnel by position, identify subcontractors, and provide any information relevant to the evaluation of Contractor's technical ability to perform the required work within the proposed project schedule provided in the task order PWS. </w:t>
      </w:r>
    </w:p>
    <w:p>
      <w:pPr>
        <w:pStyle w:val="Body"/>
        <w:bidi w:val="0"/>
      </w:pPr>
      <w:r>
        <w:rPr>
          <w:rtl w:val="0"/>
        </w:rPr>
        <w:t xml:space="preserve">e. The proposal shall indicate the expected diversion rate and indicate whether it will meet diversion goals prescribed in the task order PWS. If the expected diversion rate is less than 60% by weight, the proposal shall describe the reasons for not reaching the expected minimum diversion rate. </w:t>
      </w:r>
    </w:p>
    <w:p>
      <w:pPr>
        <w:pStyle w:val="Body"/>
        <w:bidi w:val="0"/>
      </w:pPr>
      <w:r>
        <w:rPr>
          <w:rtl w:val="0"/>
        </w:rPr>
        <w:t xml:space="preserve">f. The proposal shall describe the anticipated quantities and types of materials for diversion/recycling. The proposal shall identify company names, locations, and certifications that will receive diverted/recyclable material. This information may be submitted in tabular form within the technical proposal. </w:t>
      </w:r>
    </w:p>
    <w:p>
      <w:pPr>
        <w:pStyle w:val="Body"/>
        <w:bidi w:val="0"/>
      </w:pPr>
      <w:r>
        <w:rPr>
          <w:rtl w:val="0"/>
        </w:rPr>
        <w:t xml:space="preserve">g. The proposal shall describe the anticipated quantities and types of ACM and ORM waste. The proposal shall identify company names, locations, and certifications that will receive ACM and ORM waste. This information may be submitted in tabular form within the technical proposal. h. The proposal shall describe anticipated quantities and types of non-ACM and non-ORM materials not eligible for diversion/recycling (e.g., materials disposed at landfill, etc.). The proposal shall identify company names and locations that will receive these non-diverted/non- recyclable materials. This information may be submitted in tabular form within the technical proposal. </w:t>
      </w:r>
    </w:p>
    <w:p>
      <w:pPr>
        <w:pStyle w:val="Body"/>
        <w:bidi w:val="0"/>
      </w:pPr>
      <w:r>
        <w:rPr>
          <w:rtl w:val="0"/>
        </w:rPr>
        <w:t xml:space="preserve">i. The proposal shall not contain details of corporate or personal experience since all MATOC contractors are already pre-qualified for experience. The names and position held by the expected key personnel shall be furnished in the proposal. Key personnel as prescribed in the base MATOC contract and task order PWS. Proposal shall define dual hatting of personnel within the narrative and shall not conflict with the guidance given in the PWS.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r>
      <w:rPr>
        <w:rtl w:val="0"/>
        <w:lang w:val="en-US"/>
      </w:rPr>
      <w:t xml:space="preserve"> | NTE 20 pages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Body"/>
    <w:pPr>
      <w:keepNext w:val="1"/>
      <w:keepLines w:val="0"/>
      <w:pageBreakBefore w:val="1"/>
      <w:widowControl w:val="1"/>
      <w:shd w:val="clear" w:color="auto" w:fill="auto"/>
      <w:suppressAutoHyphens w:val="0"/>
      <w:bidi w:val="0"/>
      <w:spacing w:before="240" w:after="12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