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003887 for </w:t>
      </w:r>
      <w:r>
        <w:rPr>
          <w:b w:val="1"/>
          <w:bCs w:val="1"/>
          <w:sz w:val="28"/>
          <w:szCs w:val="28"/>
          <w:rtl w:val="0"/>
          <w:lang w:val="en-US"/>
        </w:rPr>
        <w:t>A</w:t>
      </w:r>
      <w:r>
        <w:rPr>
          <w:b w:val="1"/>
          <w:bCs w:val="1"/>
          <w:sz w:val="28"/>
          <w:szCs w:val="28"/>
          <w:rtl w:val="0"/>
          <w:lang w:val="en-US"/>
        </w:rPr>
        <w:t xml:space="preserve">batement and </w:t>
      </w:r>
      <w:r>
        <w:rPr>
          <w:b w:val="1"/>
          <w:bCs w:val="1"/>
          <w:sz w:val="28"/>
          <w:szCs w:val="28"/>
          <w:rtl w:val="0"/>
          <w:lang w:val="en-US"/>
        </w:rPr>
        <w:t>D</w:t>
      </w:r>
      <w:r>
        <w:rPr>
          <w:b w:val="1"/>
          <w:bCs w:val="1"/>
          <w:sz w:val="28"/>
          <w:szCs w:val="28"/>
          <w:rtl w:val="0"/>
          <w:lang w:val="en-US"/>
        </w:rPr>
        <w:t xml:space="preserve">emolition </w:t>
      </w:r>
      <w:r>
        <w:rPr>
          <w:b w:val="1"/>
          <w:bCs w:val="1"/>
          <w:sz w:val="28"/>
          <w:szCs w:val="28"/>
          <w:rtl w:val="0"/>
          <w:lang w:val="en-US"/>
        </w:rPr>
        <w:t>S</w:t>
      </w:r>
      <w:r>
        <w:rPr>
          <w:b w:val="1"/>
          <w:bCs w:val="1"/>
          <w:sz w:val="28"/>
          <w:szCs w:val="28"/>
          <w:rtl w:val="0"/>
          <w:lang w:val="en-US"/>
        </w:rPr>
        <w:t xml:space="preserve">ervices </w:t>
      </w:r>
      <w:r>
        <w:rPr>
          <w:b w:val="1"/>
          <w:bCs w:val="1"/>
          <w:sz w:val="28"/>
          <w:szCs w:val="28"/>
        </w:rPr>
        <w:br w:type="textWrapping"/>
      </w:r>
      <w:r>
        <w:rPr>
          <w:b w:val="1"/>
          <w:bCs w:val="1"/>
          <w:sz w:val="28"/>
          <w:szCs w:val="28"/>
          <w:rtl w:val="0"/>
          <w:lang w:val="en-US"/>
        </w:rPr>
        <w:t>Kirtland Air Force Base, Albuquerque, NM</w:t>
      </w:r>
    </w:p>
    <w:p>
      <w:pPr>
        <w:pStyle w:val="Body A"/>
        <w:jc w:val="center"/>
      </w:pPr>
      <w:r>
        <w:rPr>
          <w:rtl w:val="0"/>
          <w:lang w:val="en-US"/>
        </w:rPr>
        <w:t>Submitted on: 06 September 2022, 12:00 local time</w:t>
      </w:r>
    </w:p>
    <w:p>
      <w:pPr>
        <w:pStyle w:val="Body A"/>
        <w:jc w:val="center"/>
      </w:pPr>
      <w:r>
        <w:rPr>
          <w:rtl w:val="0"/>
          <w:lang w:val="en-US"/>
        </w:rPr>
        <w:t xml:space="preserve">Submitted to: US Army Corps of Engineers, Engineering and Support Center, </w:t>
      </w:r>
      <w:r>
        <w:br w:type="textWrapping"/>
      </w:r>
      <w:r>
        <w:rPr>
          <w:rtl w:val="0"/>
          <w:lang w:val="en-US"/>
        </w:rPr>
        <w:t>Huntsville (CEHNC)</w:t>
      </w:r>
      <w:r>
        <w:drawing>
          <wp:anchor distT="152400" distB="152400" distL="152400" distR="152400" simplePos="0" relativeHeight="251660288" behindDoc="0" locked="0" layoutInCell="1" allowOverlap="1">
            <wp:simplePos x="0" y="0"/>
            <wp:positionH relativeFrom="margin">
              <wp:posOffset>2137529</wp:posOffset>
            </wp:positionH>
            <wp:positionV relativeFrom="line">
              <wp:posOffset>317885</wp:posOffset>
            </wp:positionV>
            <wp:extent cx="1668542" cy="1668542"/>
            <wp:effectExtent l="0" t="0" r="0" b="0"/>
            <wp:wrapTopAndBottom distT="152400" distB="15240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4">
                      <a:extLst/>
                    </a:blip>
                    <a:stretch>
                      <a:fillRect/>
                    </a:stretch>
                  </pic:blipFill>
                  <pic:spPr>
                    <a:xfrm>
                      <a:off x="0" y="0"/>
                      <a:ext cx="1668542" cy="1668542"/>
                    </a:xfrm>
                    <a:prstGeom prst="rect">
                      <a:avLst/>
                    </a:prstGeom>
                    <a:ln w="12700" cap="flat">
                      <a:noFill/>
                      <a:miter lim="400000"/>
                    </a:ln>
                    <a:effectLst/>
                  </pic:spPr>
                </pic:pic>
              </a:graphicData>
            </a:graphic>
          </wp:anchor>
        </w:drawing>
      </w:r>
      <w:r>
        <w:rPr>
          <w:rtl w:val="0"/>
          <w:lang w:val="en-US"/>
        </w:rPr>
        <w:t xml:space="preserve">  </w:t>
        <w:br w:type="textWrapping"/>
        <w:t xml:space="preserve"> </w:t>
      </w:r>
    </w:p>
    <w:p>
      <w:pPr>
        <w:pStyle w:val="Body A"/>
        <w:jc w:val="center"/>
      </w:pPr>
      <w:r>
        <w:drawing>
          <wp:anchor distT="0" distB="0" distL="0" distR="0" simplePos="0" relativeHeight="251661312" behindDoc="0" locked="0" layoutInCell="1" allowOverlap="1">
            <wp:simplePos x="0" y="0"/>
            <wp:positionH relativeFrom="margin">
              <wp:posOffset>1951215</wp:posOffset>
            </wp:positionH>
            <wp:positionV relativeFrom="line">
              <wp:posOffset>184797</wp:posOffset>
            </wp:positionV>
            <wp:extent cx="1854855" cy="984678"/>
            <wp:effectExtent l="0" t="0" r="0" b="0"/>
            <wp:wrapTopAndBottom distT="0" distB="0"/>
            <wp:docPr id="1073741827"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7" name="New logo - APS" descr="New logo - APS"/>
                    <pic:cNvPicPr>
                      <a:picLocks noChangeAspect="1"/>
                    </pic:cNvPicPr>
                  </pic:nvPicPr>
                  <pic:blipFill>
                    <a:blip r:embed="rId5">
                      <a:extLst/>
                    </a:blip>
                    <a:stretch>
                      <a:fillRect/>
                    </a:stretch>
                  </pic:blipFill>
                  <pic:spPr>
                    <a:xfrm>
                      <a:off x="0" y="0"/>
                      <a:ext cx="1854855" cy="984678"/>
                    </a:xfrm>
                    <a:prstGeom prst="rect">
                      <a:avLst/>
                    </a:prstGeom>
                    <a:ln w="12700" cap="flat">
                      <a:noFill/>
                      <a:miter lim="400000"/>
                    </a:ln>
                    <a:effectLst/>
                  </pic:spPr>
                </pic:pic>
              </a:graphicData>
            </a:graphic>
          </wp:anchor>
        </w:drawing>
      </w:r>
    </w:p>
    <w:p>
      <w:pPr>
        <w:pStyle w:val="Body A"/>
        <w:jc w:val="center"/>
        <w:rPr>
          <w:b w:val="1"/>
          <w:bCs w:val="1"/>
        </w:rPr>
      </w:pPr>
      <w:r>
        <w:rPr>
          <w:b w:val="1"/>
          <w:bCs w:val="1"/>
          <w:rtl w:val="0"/>
          <w:lang w:val="en-US"/>
        </w:rPr>
        <w:t>Submitted by:</w:t>
      </w:r>
    </w:p>
    <w:p>
      <w:pPr>
        <w:pStyle w:val="Body A"/>
        <w:jc w:val="center"/>
        <w:rPr>
          <w:b w:val="1"/>
          <w:bCs w:val="1"/>
        </w:rPr>
      </w:pP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carlos@allphase.org34 SW 5th Avenue | Delray Beach FL 33444 US</w:t>
      </w:r>
      <w:r>
        <w:rPr>
          <w:b w:val="1"/>
          <w:bCs w:val="1"/>
        </w:rPr>
        <w:br w:type="textWrapping"/>
      </w:r>
      <w:r>
        <w:rPr>
          <w:b w:val="1"/>
          <w:bCs w:val="1"/>
          <w:rtl w:val="0"/>
          <w:lang w:val="en-US"/>
        </w:rPr>
        <w:t>Phone: 561-620-8222 or 561-756-6647 | Fax: 866-260-2024 | Web: www.allphaseenv.com</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-6349</wp:posOffset>
                </wp:positionH>
                <wp:positionV relativeFrom="line">
                  <wp:posOffset>726222</wp:posOffset>
                </wp:positionV>
                <wp:extent cx="5943600" cy="1410100"/>
                <wp:effectExtent l="0" t="0" r="0" b="0"/>
                <wp:wrapTopAndBottom distT="152400" distB="152400"/>
                <wp:docPr id="1073741828"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57.2pt;width:468.0pt;height:111.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margin"/>
              </v:shape>
            </w:pict>
          </mc:Fallback>
        </mc:AlternateContent>
      </w:r>
    </w:p>
    <w:p>
      <w:pPr>
        <w:pStyle w:val="Body A"/>
        <w:pageBreakBefore w:val="1"/>
      </w:pPr>
      <w:r>
        <w:rPr>
          <w:b w:val="1"/>
          <w:bCs w:val="1"/>
          <w:rtl w:val="0"/>
          <w:lang w:val="en-US"/>
        </w:rPr>
        <w:t>Cover Letter</w:t>
      </w:r>
      <w:r>
        <w:br w:type="textWrapping"/>
      </w:r>
    </w:p>
    <w:p>
      <w:pPr>
        <w:pStyle w:val="Body A"/>
      </w:pPr>
      <w:r>
        <w:rPr>
          <w:rtl w:val="0"/>
        </w:rPr>
        <w:t>6-September-2022</w:t>
      </w:r>
    </w:p>
    <w:p>
      <w:pPr>
        <w:pStyle w:val="Body A"/>
      </w:pPr>
      <w:r>
        <w:rPr>
          <w:rtl w:val="0"/>
        </w:rPr>
        <w:t>To:</w:t>
      </w:r>
      <w:r>
        <w:rPr>
          <w:rtl w:val="0"/>
        </w:rPr>
        <w:t xml:space="preserve"> </w:t>
      </w:r>
      <w:r>
        <w:rPr>
          <w:rtl w:val="0"/>
        </w:rPr>
        <w:t>US Army Corps of Engineers, Engineering and Support Center, Huntsville (CEHNC)</w:t>
      </w:r>
    </w:p>
    <w:p>
      <w:pPr>
        <w:pStyle w:val="Body A"/>
      </w:pPr>
      <w:r>
        <w:rPr>
          <w:rtl w:val="0"/>
        </w:rPr>
        <w:t>Dear Sir/Madam:</w:t>
      </w:r>
    </w:p>
    <w:p>
      <w:pPr>
        <w:pStyle w:val="Body A"/>
      </w:pPr>
      <w:r>
        <w:rPr>
          <w:rtl w:val="0"/>
        </w:rPr>
        <w:t>All Phase Services, Inc. is pleased to submit this proposal in response to PANHES-22-P-0000 003887 Request for Proposal for FY22 Kirtland AFB Demolition and Site Restoration. Our proposal conforms to the instructions and requirements of the solicitation and addresses the Task Order SOW. We acknowledge receipt of associated maps and Site Survey Report, and Q&amp;A</w:t>
      </w:r>
      <w:r>
        <w:rPr>
          <w:rtl w:val="0"/>
        </w:rPr>
        <w:t>’</w:t>
      </w:r>
      <w:r>
        <w:rPr>
          <w:rtl w:val="0"/>
        </w:rPr>
        <w:t xml:space="preserve">s, as well as the RFP, including all amendments up to received </w:t>
      </w:r>
      <w:r>
        <w:rPr>
          <w:rtl w:val="0"/>
        </w:rPr>
        <w:t>04-September-2022</w:t>
      </w:r>
      <w:r>
        <w:rPr>
          <w:rtl w:val="0"/>
        </w:rPr>
        <w:t>. All Phase takes no exceptions to the terms, conditions, and provisions contained therein. Furthermore, we make no assumptions within this proposal that are intended to offset any risk onto the Government.</w:t>
      </w:r>
    </w:p>
    <w:p>
      <w:pPr>
        <w:pStyle w:val="Body A"/>
      </w:pPr>
      <w:r>
        <w:rPr>
          <w:rtl w:val="0"/>
        </w:rPr>
        <w:t xml:space="preserve">Our proposed contract value for the base bid is $___________; we show price breakouts for both demolition and abatement in our cost summary sheets. A cost summary sheet is also included for Options ($_________). We will meet the minimum landfill diversion goal for this task order. </w:t>
      </w:r>
    </w:p>
    <w:p>
      <w:pPr>
        <w:pStyle w:val="Body A"/>
      </w:pPr>
      <w:r>
        <w:rPr>
          <w:rtl w:val="0"/>
        </w:rPr>
        <w:t>Eric Newman, Pre-Construction Manager of All Phase Services, Inc. will be the point of contact for this proposal with full authority to negotiate and sign the contract resulting from this procurement on All Phase</w:t>
      </w:r>
      <w:r>
        <w:rPr>
          <w:rtl w:val="0"/>
        </w:rPr>
        <w:t>’</w:t>
      </w:r>
      <w:r>
        <w:rPr>
          <w:rtl w:val="0"/>
        </w:rPr>
        <w:t xml:space="preserve">s behalf, with contact information provided, below. Sal Rabah, President of All Phase, will be the </w:t>
      </w:r>
      <w:r>
        <w:rPr>
          <w:rtl w:val="0"/>
        </w:rPr>
        <w:t>primary</w:t>
      </w:r>
      <w:r>
        <w:rPr>
          <w:rtl w:val="0"/>
        </w:rPr>
        <w:t xml:space="preserve"> POC. </w:t>
      </w:r>
    </w:p>
    <w:p>
      <w:pPr>
        <w:pStyle w:val="Body A"/>
        <w:keepNext w:val="1"/>
      </w:pPr>
      <w:r>
        <w:rPr>
          <w:rtl w:val="0"/>
          <w:lang w:val="en-US"/>
        </w:rPr>
        <w:t>Respectfully,</w:t>
      </w:r>
    </w:p>
    <w:p>
      <w:pPr>
        <w:pStyle w:val="Body A"/>
      </w:pPr>
      <w:r>
        <w:rPr>
          <w:rtl w:val="0"/>
        </w:rPr>
        <w:t>/S/</w:t>
      </w:r>
    </w:p>
    <w:p>
      <w:pPr>
        <w:pStyle w:val="Body A"/>
        <w:spacing w:line="240" w:lineRule="auto"/>
      </w:pPr>
      <w:r>
        <w:rPr>
          <w:rtl w:val="0"/>
          <w:lang w:val="en-US"/>
        </w:rPr>
        <w:t xml:space="preserve">Sal Rabah, President </w:t>
      </w:r>
      <w:r>
        <w:rPr>
          <w:rtl w:val="0"/>
          <w:lang w:val="en-US"/>
        </w:rPr>
        <w:t xml:space="preserve">– </w:t>
      </w:r>
      <w:r>
        <w:rPr>
          <w:rtl w:val="0"/>
          <w:lang w:val="en-US"/>
        </w:rPr>
        <w:t>Primary</w:t>
      </w:r>
      <w:r>
        <w:rPr>
          <w:rtl w:val="0"/>
          <w:lang w:val="en-US"/>
        </w:rPr>
        <w:t xml:space="preserve">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lang w:val="en-US"/>
        </w:rPr>
        <w:t>sal@allphase.org</w:t>
      </w:r>
      <w:r>
        <w:rPr/>
        <w:fldChar w:fldCharType="end" w:fldLock="0"/>
      </w:r>
    </w:p>
    <w:p>
      <w:pPr>
        <w:pStyle w:val="Body A"/>
        <w:spacing w:line="240" w:lineRule="auto"/>
      </w:pPr>
    </w:p>
    <w:p>
      <w:pPr>
        <w:pStyle w:val="Body A"/>
        <w:spacing w:line="240" w:lineRule="auto"/>
      </w:pPr>
      <w:r>
        <w:rPr>
          <w:rtl w:val="0"/>
          <w:lang w:val="en-US"/>
        </w:rPr>
        <w:t xml:space="preserve">Eric Newman, Pre-Construction Manager </w:t>
      </w:r>
      <w:r>
        <w:rPr>
          <w:rtl w:val="0"/>
          <w:lang w:val="en-US"/>
        </w:rPr>
        <w:t xml:space="preserve">– </w:t>
      </w:r>
      <w:r>
        <w:rPr>
          <w:rtl w:val="0"/>
          <w:lang w:val="en-US"/>
        </w:rPr>
        <w:t>Alternate</w:t>
      </w:r>
      <w:r>
        <w:rPr>
          <w:rtl w:val="0"/>
          <w:lang w:val="en-US"/>
        </w:rPr>
        <w:t xml:space="preserve"> POC</w:t>
      </w:r>
      <w:r>
        <w:br w:type="textWrapping"/>
      </w:r>
      <w:r>
        <w:rPr>
          <w:rtl w:val="0"/>
          <w:lang w:val="en-US"/>
        </w:rPr>
        <w:t>O: 561.272.0944 | C: 941.302.6562</w:t>
      </w:r>
      <w:r>
        <w:br w:type="textWrapping"/>
      </w:r>
      <w:r>
        <w:rPr>
          <w:rtl w:val="0"/>
          <w:lang w:val="en-US"/>
        </w:rPr>
        <w:t>Email: Eric.newman@allphase.org</w:t>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Table 2. Hazardous material abatement manpower projection</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Table 3. Subcontractors, consultants, vendors, and waste handlers to assist</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Table 4. Demolition Structure Types and Projected Difficulty Per Location</w:t>
        <w:tab/>
      </w:r>
      <w:r>
        <w:rPr/>
        <w:fldChar w:fldCharType="begin" w:fldLock="0"/>
      </w:r>
      <w:r>
        <w:instrText xml:space="preserve"> PAGEREF _Toc12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Table 5. Manpower and Major Equipment Needed</w:t>
        <w:tab/>
      </w:r>
      <w:r>
        <w:rPr/>
        <w:fldChar w:fldCharType="begin" w:fldLock="0"/>
      </w:r>
      <w:r>
        <w:instrText xml:space="preserve"> PAGEREF _Toc13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_Toc15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Table 6. Demolition Waste Recycling and Salvage</w:t>
        <w:tab/>
      </w:r>
      <w:r>
        <w:rPr/>
        <w:fldChar w:fldCharType="begin" w:fldLock="0"/>
      </w:r>
      <w:r>
        <w:instrText xml:space="preserve"> PAGEREF _Toc17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_Toc20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Table 7.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rPr>
        <w:t>Table 8.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22</w:t>
      </w:r>
      <w:r>
        <w:rPr/>
        <w:fldChar w:fldCharType="end" w:fldLock="0"/>
      </w:r>
    </w:p>
    <w:p>
      <w:pPr>
        <w:pStyle w:val="TOC 3"/>
      </w:pPr>
      <w:r>
        <w:rPr>
          <w:rFonts w:cs="Arial Unicode MS" w:eastAsia="Arial Unicode MS"/>
          <w:rtl w:val="0"/>
        </w:rPr>
        <w:t>Appendix - Preliminary Project Schedule</w:t>
        <w:tab/>
      </w:r>
      <w:r>
        <w:rPr/>
        <w:fldChar w:fldCharType="begin" w:fldLock="0"/>
      </w:r>
      <w:r>
        <w:instrText xml:space="preserve"> PAGEREF _Toc25 \h </w:instrText>
      </w:r>
      <w:r>
        <w:rPr/>
        <w:fldChar w:fldCharType="separate" w:fldLock="0"/>
      </w:r>
      <w:r>
        <w:rPr>
          <w:rFonts w:cs="Arial Unicode MS" w:eastAsia="Arial Unicode MS"/>
          <w:rtl w:val="0"/>
        </w:rPr>
        <w:t>23</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0"/>
      <w:r>
        <w:rPr>
          <w:rtl w:val="0"/>
          <w:lang w:val="en-US"/>
        </w:rPr>
        <w:t>Technical Approach</w:t>
      </w:r>
      <w:bookmarkEnd w:id="0"/>
    </w:p>
    <w:p>
      <w:pPr>
        <w:pStyle w:val="Heading"/>
        <w:widowControl w:val="0"/>
        <w:pBdr>
          <w:top w:val="nil"/>
          <w:left w:val="nil"/>
          <w:bottom w:val="nil"/>
          <w:right w:val="nil"/>
        </w:pBdr>
        <w:suppressAutoHyphens w:val="1"/>
        <w:ind w:left="2" w:hanging="2"/>
      </w:pPr>
    </w:p>
    <w:p>
      <w:pPr>
        <w:pStyle w:val="Body C"/>
        <w:suppressAutoHyphens w:val="1"/>
      </w:pPr>
      <w:r>
        <w:rPr>
          <w:rStyle w:val="None"/>
          <w:rtl w:val="0"/>
          <w:lang w:val="en-US"/>
        </w:rPr>
        <w:t>This project involves All Phase Services, Inc. (</w:t>
      </w:r>
      <w:r>
        <w:rPr>
          <w:rStyle w:val="None"/>
          <w:rFonts w:ascii="Arial Unicode MS" w:hAnsi="Arial Unicode MS" w:hint="default"/>
          <w:rtl w:val="1"/>
          <w:lang w:val="ar-SA" w:bidi="ar-SA"/>
        </w:rPr>
        <w:t>“</w:t>
      </w:r>
      <w:r>
        <w:rPr>
          <w:rStyle w:val="None"/>
          <w:rtl w:val="0"/>
          <w:lang w:val="en-US"/>
        </w:rPr>
        <w:t>All Phase</w:t>
      </w:r>
      <w:r>
        <w:rPr>
          <w:rStyle w:val="None"/>
          <w:rtl w:val="0"/>
          <w:lang w:val="en-US"/>
        </w:rPr>
        <w:t>”</w:t>
      </w:r>
      <w:r>
        <w:rPr>
          <w:rStyle w:val="None"/>
          <w:rtl w:val="0"/>
          <w:lang w:val="en-US"/>
        </w:rPr>
        <w:t xml:space="preserve">) coordinating personnel, equipment, and other resources to get this demolition process completed. In our experience, this results in inevitable complexities throughout the project, so we know it is crucial to have a well-orchestrated plan in place to coordinate the distinct aspects. Our project planning approach is based on a traditional </w:t>
      </w:r>
      <w:r>
        <w:rPr>
          <w:rStyle w:val="None"/>
          <w:rFonts w:ascii="Arial Unicode MS" w:hAnsi="Arial Unicode MS" w:hint="default"/>
          <w:rtl w:val="1"/>
          <w:lang w:val="ar-SA" w:bidi="ar-SA"/>
        </w:rPr>
        <w:t>“</w:t>
      </w:r>
      <w:r>
        <w:rPr>
          <w:rStyle w:val="None"/>
          <w:rtl w:val="0"/>
          <w:lang w:val="en-US"/>
        </w:rPr>
        <w:t>waterfall</w:t>
      </w:r>
      <w:r>
        <w:rPr>
          <w:rStyle w:val="None"/>
          <w:rtl w:val="0"/>
          <w:lang w:val="en-US"/>
        </w:rPr>
        <w:t xml:space="preserve">” </w:t>
      </w:r>
      <w:r>
        <w:rPr>
          <w:rStyle w:val="None"/>
          <w:rtl w:val="0"/>
          <w:lang w:val="en-US"/>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w:t>
      </w:r>
      <w:r>
        <mc:AlternateContent>
          <mc:Choice Requires="wps">
            <w:drawing>
              <wp:anchor distT="152400" distB="152400" distL="152400" distR="152400" simplePos="0" relativeHeight="251662336" behindDoc="0" locked="0" layoutInCell="1" allowOverlap="1">
                <wp:simplePos x="0" y="0"/>
                <wp:positionH relativeFrom="page">
                  <wp:posOffset>3302000</wp:posOffset>
                </wp:positionH>
                <wp:positionV relativeFrom="page">
                  <wp:posOffset>4157099</wp:posOffset>
                </wp:positionV>
                <wp:extent cx="5905131" cy="697267"/>
                <wp:effectExtent l="0" t="0" r="0" b="0"/>
                <wp:wrapThrough wrapText="bothSides" distL="152400" distR="152400">
                  <wp:wrapPolygon edited="1">
                    <wp:start x="-93" y="-787"/>
                    <wp:lineTo x="13100" y="-787"/>
                    <wp:lineTo x="13100" y="40129"/>
                    <wp:lineTo x="-93" y="40129"/>
                    <wp:lineTo x="-93" y="-787"/>
                  </wp:wrapPolygon>
                </wp:wrapThrough>
                <wp:docPr id="1073741830" name="officeArt object"/>
                <wp:cNvGraphicFramePr/>
                <a:graphic xmlns:a="http://schemas.openxmlformats.org/drawingml/2006/main">
                  <a:graphicData uri="http://schemas.microsoft.com/office/word/2010/wordprocessingShape">
                    <wps:wsp>
                      <wps:cNvSpPr/>
                      <wps:spPr>
                        <a:xfrm>
                          <a:off x="0" y="0"/>
                          <a:ext cx="5905131" cy="697267"/>
                        </a:xfrm>
                        <a:prstGeom prst="rect">
                          <a:avLst/>
                        </a:prstGeom>
                      </wps:spPr>
                      <wps:txbx>
                        <w:txbxContent>
                          <w:tbl>
                            <w:tblPr>
                              <w:tblW w:w="560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1380"/>
                              <w:gridCol w:w="3140"/>
                              <w:gridCol w:w="320"/>
                              <w:gridCol w:w="760"/>
                            </w:tblGrid>
                            <w:tr>
                              <w:tblPrEx>
                                <w:shd w:val="clear" w:color="auto" w:fill="auto"/>
                              </w:tblPrEx>
                              <w:trPr>
                                <w:trHeight w:val="360" w:hRule="atLeast"/>
                                <w:tblHeader/>
                              </w:trPr>
                              <w:tc>
                                <w:tcPr>
                                  <w:tcW w:type="dxa" w:w="5600"/>
                                  <w:gridSpan w:val="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9"/>
                                      <w:szCs w:val="29"/>
                                      <w:u w:val="none"/>
                                      <w:vertAlign w:val="baseline"/>
                                    </w:rPr>
                                    <w:t>Base Requirement - Demolition of Structures</w:t>
                                  </w:r>
                                </w:p>
                              </w:tc>
                            </w:tr>
                            <w:tr>
                              <w:tblPrEx>
                                <w:shd w:val="clear" w:color="auto" w:fill="auto"/>
                              </w:tblPrEx>
                              <w:trPr>
                                <w:trHeight w:val="289" w:hRule="atLeast"/>
                              </w:trPr>
                              <w:tc>
                                <w:tcPr>
                                  <w:tcW w:type="dxa" w:w="138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Body"/>
                                    <w:tabs>
                                      <w:tab w:val="left" w:pos="1440"/>
                                      <w:tab w:val="left" w:pos="2880"/>
                                    </w:tabs>
                                    <w:suppressAutoHyphens w:val="1"/>
                                    <w:outlineLvl w:val="0"/>
                                  </w:pPr>
                                  <w:r>
                                    <w:rPr>
                                      <w:rFonts w:ascii="Times New Roman" w:hAnsi="Times New Roman"/>
                                      <w:sz w:val="20"/>
                                      <w:szCs w:val="20"/>
                                      <w:rtl w:val="0"/>
                                      <w:lang w:val="en-US"/>
                                    </w:rPr>
                                    <w:t>Base - 1911</w:t>
                                  </w:r>
                                </w:p>
                              </w:tc>
                              <w:tc>
                                <w:tcPr>
                                  <w:tcW w:type="dxa" w:w="31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Former Barracks Building</w:t>
                                  </w:r>
                                </w:p>
                              </w:tc>
                              <w:tc>
                                <w:tcPr>
                                  <w:tcW w:type="dxa" w:w="32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jc w:val="center"/>
                                  </w:pPr>
                                  <w:r>
                                    <w:rPr>
                                      <w:rFonts w:ascii="Times New Roman" w:hAnsi="Times New Roman"/>
                                      <w:rtl w:val="0"/>
                                    </w:rPr>
                                    <w:t>SF</w:t>
                                  </w:r>
                                </w:p>
                              </w:tc>
                              <w:tc>
                                <w:tcPr>
                                  <w:tcW w:type="dxa" w:w="76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tab/>
                                    <w:t xml:space="preserve">16,000 </w:t>
                                  </w:r>
                                </w:p>
                              </w:tc>
                            </w:tr>
                            <w:tr>
                              <w:tblPrEx>
                                <w:shd w:val="clear" w:color="auto" w:fill="auto"/>
                              </w:tblPrEx>
                              <w:trPr>
                                <w:trHeight w:val="289" w:hRule="atLeast"/>
                              </w:trPr>
                              <w:tc>
                                <w:tcPr>
                                  <w:tcW w:type="dxa" w:w="138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Base - 1912</w:t>
                                  </w:r>
                                </w:p>
                              </w:tc>
                              <w:tc>
                                <w:tcPr>
                                  <w:tcW w:type="dxa" w:w="31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Former Pool Pump House</w:t>
                                  </w:r>
                                </w:p>
                              </w:tc>
                              <w:tc>
                                <w:tcPr>
                                  <w:tcW w:type="dxa" w:w="32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jc w:val="center"/>
                                  </w:pPr>
                                  <w:r>
                                    <w:rPr>
                                      <w:rFonts w:ascii="Times New Roman" w:hAnsi="Times New Roman"/>
                                      <w:rtl w:val="0"/>
                                    </w:rPr>
                                    <w:t>SF</w:t>
                                  </w:r>
                                </w:p>
                              </w:tc>
                              <w:tc>
                                <w:tcPr>
                                  <w:tcW w:type="dxa" w:w="76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tab/>
                                    <w:t xml:space="preserve">400 </w:t>
                                  </w:r>
                                </w:p>
                              </w:tc>
                            </w:tr>
                            <w:tr>
                              <w:tblPrEx>
                                <w:shd w:val="clear" w:color="auto" w:fill="auto"/>
                              </w:tblPrEx>
                              <w:trPr>
                                <w:trHeight w:val="289" w:hRule="atLeast"/>
                              </w:trPr>
                              <w:tc>
                                <w:tcPr>
                                  <w:tcW w:type="dxa" w:w="138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Base - 734</w:t>
                                  </w:r>
                                </w:p>
                              </w:tc>
                              <w:tc>
                                <w:tcPr>
                                  <w:tcW w:type="dxa" w:w="31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Flight Line Warehouse/Workshop</w:t>
                                  </w:r>
                                </w:p>
                              </w:tc>
                              <w:tc>
                                <w:tcPr>
                                  <w:tcW w:type="dxa" w:w="32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jc w:val="center"/>
                                  </w:pPr>
                                  <w:r>
                                    <w:rPr>
                                      <w:rFonts w:ascii="Times New Roman" w:hAnsi="Times New Roman"/>
                                      <w:rtl w:val="0"/>
                                    </w:rPr>
                                    <w:t>SF</w:t>
                                  </w:r>
                                </w:p>
                              </w:tc>
                              <w:tc>
                                <w:tcPr>
                                  <w:tcW w:type="dxa" w:w="76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11,000</w:t>
                                  </w:r>
                                </w:p>
                              </w:tc>
                            </w:tr>
                            <w:tr>
                              <w:tblPrEx>
                                <w:shd w:val="clear" w:color="auto" w:fill="auto"/>
                              </w:tblPrEx>
                              <w:trPr>
                                <w:trHeight w:val="289" w:hRule="atLeast"/>
                              </w:trPr>
                              <w:tc>
                                <w:tcPr>
                                  <w:tcW w:type="dxa" w:w="138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Option 1 - 378</w:t>
                                  </w:r>
                                </w:p>
                              </w:tc>
                              <w:tc>
                                <w:tcPr>
                                  <w:tcW w:type="dxa" w:w="31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Warehouse/Storage</w:t>
                                  </w:r>
                                </w:p>
                              </w:tc>
                              <w:tc>
                                <w:tcPr>
                                  <w:tcW w:type="dxa" w:w="32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jc w:val="center"/>
                                  </w:pPr>
                                  <w:r>
                                    <w:rPr>
                                      <w:rFonts w:ascii="Times New Roman" w:hAnsi="Times New Roman"/>
                                      <w:rtl w:val="0"/>
                                    </w:rPr>
                                    <w:t>SF</w:t>
                                  </w:r>
                                </w:p>
                              </w:tc>
                              <w:tc>
                                <w:tcPr>
                                  <w:tcW w:type="dxa" w:w="76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12076</w:t>
                                  </w:r>
                                </w:p>
                              </w:tc>
                            </w:tr>
                            <w:tr>
                              <w:tblPrEx>
                                <w:shd w:val="clear" w:color="auto" w:fill="auto"/>
                              </w:tblPrEx>
                              <w:trPr>
                                <w:trHeight w:val="289" w:hRule="atLeast"/>
                              </w:trPr>
                              <w:tc>
                                <w:tcPr>
                                  <w:tcW w:type="dxa" w:w="138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Option 2 - 924</w:t>
                                  </w:r>
                                </w:p>
                              </w:tc>
                              <w:tc>
                                <w:tcPr>
                                  <w:tcW w:type="dxa" w:w="31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Former Doritory / Kennel/Training</w:t>
                                  </w:r>
                                </w:p>
                              </w:tc>
                              <w:tc>
                                <w:tcPr>
                                  <w:tcW w:type="dxa" w:w="32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jc w:val="center"/>
                                  </w:pPr>
                                  <w:r>
                                    <w:rPr>
                                      <w:rFonts w:ascii="Times New Roman" w:hAnsi="Times New Roman"/>
                                      <w:rtl w:val="0"/>
                                    </w:rPr>
                                    <w:t>SF</w:t>
                                  </w:r>
                                </w:p>
                              </w:tc>
                              <w:tc>
                                <w:tcPr>
                                  <w:tcW w:type="dxa" w:w="76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18,008</w:t>
                                  </w:r>
                                </w:p>
                              </w:tc>
                            </w:tr>
                          </w:tbl>
                        </w:txbxContent>
                      </wps:txbx>
                      <wps:bodyPr lIns="0" tIns="0" rIns="0" bIns="0">
                        <a:spAutoFit/>
                      </wps:bodyPr>
                    </wps:wsp>
                  </a:graphicData>
                </a:graphic>
              </wp:anchor>
            </w:drawing>
          </mc:Choice>
          <mc:Fallback>
            <w:pict>
              <v:shape id="_x0000_s1027" type="#_x0000_t202" style="visibility:visible;position:absolute;margin-left:260.0pt;margin-top:327.3pt;width:465.0pt;height:54.9pt;z-index:25166233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60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1380"/>
                        <w:gridCol w:w="3140"/>
                        <w:gridCol w:w="320"/>
                        <w:gridCol w:w="760"/>
                      </w:tblGrid>
                      <w:tr>
                        <w:tblPrEx>
                          <w:shd w:val="clear" w:color="auto" w:fill="auto"/>
                        </w:tblPrEx>
                        <w:trPr>
                          <w:trHeight w:val="360" w:hRule="atLeast"/>
                          <w:tblHeader/>
                        </w:trPr>
                        <w:tc>
                          <w:tcPr>
                            <w:tcW w:type="dxa" w:w="5600"/>
                            <w:gridSpan w:val="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9"/>
                                <w:szCs w:val="29"/>
                                <w:u w:val="none"/>
                                <w:vertAlign w:val="baseline"/>
                              </w:rPr>
                              <w:t>Base Requirement - Demolition of Structures</w:t>
                            </w:r>
                          </w:p>
                        </w:tc>
                      </w:tr>
                      <w:tr>
                        <w:tblPrEx>
                          <w:shd w:val="clear" w:color="auto" w:fill="auto"/>
                        </w:tblPrEx>
                        <w:trPr>
                          <w:trHeight w:val="289" w:hRule="atLeast"/>
                        </w:trPr>
                        <w:tc>
                          <w:tcPr>
                            <w:tcW w:type="dxa" w:w="138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Body"/>
                              <w:tabs>
                                <w:tab w:val="left" w:pos="1440"/>
                                <w:tab w:val="left" w:pos="2880"/>
                              </w:tabs>
                              <w:suppressAutoHyphens w:val="1"/>
                              <w:outlineLvl w:val="0"/>
                            </w:pPr>
                            <w:r>
                              <w:rPr>
                                <w:rFonts w:ascii="Times New Roman" w:hAnsi="Times New Roman"/>
                                <w:sz w:val="20"/>
                                <w:szCs w:val="20"/>
                                <w:rtl w:val="0"/>
                                <w:lang w:val="en-US"/>
                              </w:rPr>
                              <w:t>Base - 1911</w:t>
                            </w:r>
                          </w:p>
                        </w:tc>
                        <w:tc>
                          <w:tcPr>
                            <w:tcW w:type="dxa" w:w="31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Former Barracks Building</w:t>
                            </w:r>
                          </w:p>
                        </w:tc>
                        <w:tc>
                          <w:tcPr>
                            <w:tcW w:type="dxa" w:w="32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jc w:val="center"/>
                            </w:pPr>
                            <w:r>
                              <w:rPr>
                                <w:rFonts w:ascii="Times New Roman" w:hAnsi="Times New Roman"/>
                                <w:rtl w:val="0"/>
                              </w:rPr>
                              <w:t>SF</w:t>
                            </w:r>
                          </w:p>
                        </w:tc>
                        <w:tc>
                          <w:tcPr>
                            <w:tcW w:type="dxa" w:w="76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tab/>
                              <w:t xml:space="preserve">16,000 </w:t>
                            </w:r>
                          </w:p>
                        </w:tc>
                      </w:tr>
                      <w:tr>
                        <w:tblPrEx>
                          <w:shd w:val="clear" w:color="auto" w:fill="auto"/>
                        </w:tblPrEx>
                        <w:trPr>
                          <w:trHeight w:val="289" w:hRule="atLeast"/>
                        </w:trPr>
                        <w:tc>
                          <w:tcPr>
                            <w:tcW w:type="dxa" w:w="138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Base - 1912</w:t>
                            </w:r>
                          </w:p>
                        </w:tc>
                        <w:tc>
                          <w:tcPr>
                            <w:tcW w:type="dxa" w:w="31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Former Pool Pump House</w:t>
                            </w:r>
                          </w:p>
                        </w:tc>
                        <w:tc>
                          <w:tcPr>
                            <w:tcW w:type="dxa" w:w="32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jc w:val="center"/>
                            </w:pPr>
                            <w:r>
                              <w:rPr>
                                <w:rFonts w:ascii="Times New Roman" w:hAnsi="Times New Roman"/>
                                <w:rtl w:val="0"/>
                              </w:rPr>
                              <w:t>SF</w:t>
                            </w:r>
                          </w:p>
                        </w:tc>
                        <w:tc>
                          <w:tcPr>
                            <w:tcW w:type="dxa" w:w="76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 </w:t>
                              <w:tab/>
                              <w:t xml:space="preserve">400 </w:t>
                            </w:r>
                          </w:p>
                        </w:tc>
                      </w:tr>
                      <w:tr>
                        <w:tblPrEx>
                          <w:shd w:val="clear" w:color="auto" w:fill="auto"/>
                        </w:tblPrEx>
                        <w:trPr>
                          <w:trHeight w:val="289" w:hRule="atLeast"/>
                        </w:trPr>
                        <w:tc>
                          <w:tcPr>
                            <w:tcW w:type="dxa" w:w="138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Base - 734</w:t>
                            </w:r>
                          </w:p>
                        </w:tc>
                        <w:tc>
                          <w:tcPr>
                            <w:tcW w:type="dxa" w:w="31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Flight Line Warehouse/Workshop</w:t>
                            </w:r>
                          </w:p>
                        </w:tc>
                        <w:tc>
                          <w:tcPr>
                            <w:tcW w:type="dxa" w:w="32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jc w:val="center"/>
                            </w:pPr>
                            <w:r>
                              <w:rPr>
                                <w:rFonts w:ascii="Times New Roman" w:hAnsi="Times New Roman"/>
                                <w:rtl w:val="0"/>
                              </w:rPr>
                              <w:t>SF</w:t>
                            </w:r>
                          </w:p>
                        </w:tc>
                        <w:tc>
                          <w:tcPr>
                            <w:tcW w:type="dxa" w:w="76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11,000</w:t>
                            </w:r>
                          </w:p>
                        </w:tc>
                      </w:tr>
                      <w:tr>
                        <w:tblPrEx>
                          <w:shd w:val="clear" w:color="auto" w:fill="auto"/>
                        </w:tblPrEx>
                        <w:trPr>
                          <w:trHeight w:val="289" w:hRule="atLeast"/>
                        </w:trPr>
                        <w:tc>
                          <w:tcPr>
                            <w:tcW w:type="dxa" w:w="138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Option 1 - 378</w:t>
                            </w:r>
                          </w:p>
                        </w:tc>
                        <w:tc>
                          <w:tcPr>
                            <w:tcW w:type="dxa" w:w="31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Warehouse/Storage</w:t>
                            </w:r>
                          </w:p>
                        </w:tc>
                        <w:tc>
                          <w:tcPr>
                            <w:tcW w:type="dxa" w:w="32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jc w:val="center"/>
                            </w:pPr>
                            <w:r>
                              <w:rPr>
                                <w:rFonts w:ascii="Times New Roman" w:hAnsi="Times New Roman"/>
                                <w:rtl w:val="0"/>
                              </w:rPr>
                              <w:t>SF</w:t>
                            </w:r>
                          </w:p>
                        </w:tc>
                        <w:tc>
                          <w:tcPr>
                            <w:tcW w:type="dxa" w:w="76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12076</w:t>
                            </w:r>
                          </w:p>
                        </w:tc>
                      </w:tr>
                      <w:tr>
                        <w:tblPrEx>
                          <w:shd w:val="clear" w:color="auto" w:fill="auto"/>
                        </w:tblPrEx>
                        <w:trPr>
                          <w:trHeight w:val="289" w:hRule="atLeast"/>
                        </w:trPr>
                        <w:tc>
                          <w:tcPr>
                            <w:tcW w:type="dxa" w:w="138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Option 2 - 924</w:t>
                            </w:r>
                          </w:p>
                        </w:tc>
                        <w:tc>
                          <w:tcPr>
                            <w:tcW w:type="dxa" w:w="314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Former Doritory / Kennel/Training</w:t>
                            </w:r>
                          </w:p>
                        </w:tc>
                        <w:tc>
                          <w:tcPr>
                            <w:tcW w:type="dxa" w:w="32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pStyle w:val="Table Style 2"/>
                              <w:jc w:val="center"/>
                            </w:pPr>
                            <w:r>
                              <w:rPr>
                                <w:rFonts w:ascii="Times New Roman" w:hAnsi="Times New Roman"/>
                                <w:rtl w:val="0"/>
                              </w:rPr>
                              <w:t>SF</w:t>
                            </w:r>
                          </w:p>
                        </w:tc>
                        <w:tc>
                          <w:tcPr>
                            <w:tcW w:type="dxa" w:w="760"/>
                            <w:tcBorders>
                              <w:top w:val="dotted" w:color="000000" w:sz="8" w:space="0" w:shadow="0" w:frame="0"/>
                              <w:left w:val="dotted" w:color="000000" w:sz="8" w:space="0" w:shadow="0" w:frame="0"/>
                              <w:bottom w:val="dotted" w:color="000000" w:sz="8" w:space="0" w:shadow="0" w:frame="0"/>
                              <w:right w:val="dotted" w:color="000000" w:sz="8" w:space="0" w:shadow="0" w:frame="0"/>
                            </w:tcBorders>
                            <w:shd w:val="clear" w:color="auto" w:fill="ffffff"/>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18,008</w:t>
                            </w:r>
                          </w:p>
                        </w:tc>
                      </w:tr>
                    </w:tbl>
                  </w:txbxContent>
                </v:textbox>
                <w10:wrap type="through" side="bothSides" anchorx="page" anchory="page"/>
              </v:shape>
            </w:pict>
          </mc:Fallback>
        </mc:AlternateContent>
      </w:r>
      <w:r>
        <w:rPr>
          <w:rStyle w:val="None"/>
          <w:rtl w:val="0"/>
          <w:lang w:val="en-US"/>
        </w:rPr>
        <w:t>completed in its entirety before moving on to the next one. For instance, all the requirements for clearing the building must be completed first before beginning the first demolition phase. Site restoration to include fill, grass, and stormwater drainage control</w:t>
      </w:r>
      <w:r>
        <w:rPr>
          <w:rStyle w:val="None"/>
          <w:rtl w:val="0"/>
          <w:lang w:val="en-US"/>
        </w:rPr>
        <w:t>.</w:t>
      </w:r>
    </w:p>
    <w:p>
      <w:pPr>
        <w:pStyle w:val="Body C"/>
        <w:suppressAutoHyphens w:val="1"/>
      </w:pPr>
      <w:r>
        <w:rPr>
          <w:rtl w:val="0"/>
          <w:lang w:val="en-US"/>
        </w:rPr>
        <w:t xml:space="preserve">We understand the requirements to be for All Phase to provide all design services, labor, tools, equipment, and services necessary to demolish Building 378 and all items, systems, and appurtenances. All Phase has carefully considered the requirements of the SOW and all other work scope documents and understand the abatement task in terms of hazardous material sources and difficulty per location (Table 1). </w:t>
      </w:r>
    </w:p>
    <w:p>
      <w:pPr>
        <w:pStyle w:val="Body C"/>
        <w:suppressAutoHyphens w:val="1"/>
      </w:pPr>
      <w:r>
        <w:rPr>
          <w:rStyle w:val="None"/>
          <w:rtl w:val="0"/>
          <w:lang w:val="en-US"/>
        </w:rPr>
        <w:t xml:space="preserve">From site visit and Pre-Demolition Survey Reports, we expect to encounter asbestos containing material ACM in </w:t>
      </w:r>
      <w:r>
        <w:rPr>
          <w:rStyle w:val="None"/>
          <w:rtl w:val="0"/>
          <w:lang w:val="en-US"/>
        </w:rPr>
        <w:t>the</w:t>
      </w:r>
      <w:r>
        <w:rPr>
          <w:rStyle w:val="None"/>
          <w:rtl w:val="0"/>
          <w:lang w:val="en-US"/>
        </w:rPr>
        <w:t xml:space="preserv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 All work we perform will comply with applicable Air Force codes and standards, as identified in the SOW on pages 5 and 6. Technical Specifications will be edited from the Unified Facility Guide Specifications (UFGS) format (from Whole Building Design Guide.org) coordinated with the required disciplines, specifically Section 02 41 00 Demolition and Deconstruction. All Phase will u</w:t>
      </w:r>
      <w:r>
        <w:rPr>
          <w:rStyle w:val="None"/>
          <w:rtl w:val="0"/>
          <w:lang w:val="fr-FR"/>
        </w:rPr>
        <w:t xml:space="preserve">se KAFB Section 01 07 50 </w:t>
      </w:r>
      <w:r>
        <w:rPr>
          <w:rStyle w:val="None"/>
          <w:rFonts w:ascii="Arial Unicode MS" w:hAnsi="Arial Unicode MS" w:hint="default"/>
          <w:rtl w:val="1"/>
          <w:lang w:val="ar-SA" w:bidi="ar-SA"/>
        </w:rPr>
        <w:t>“</w:t>
      </w:r>
      <w:r>
        <w:rPr>
          <w:rStyle w:val="None"/>
          <w:rtl w:val="0"/>
          <w:lang w:val="en-US"/>
        </w:rPr>
        <w:t>Free Zone and Airfield  Waiver</w:t>
      </w:r>
      <w:r>
        <w:rPr>
          <w:rStyle w:val="None"/>
          <w:rtl w:val="0"/>
          <w:lang w:val="en-US"/>
        </w:rPr>
        <w:t xml:space="preserve">” </w:t>
      </w:r>
      <w:r>
        <w:rPr>
          <w:rStyle w:val="None"/>
          <w:rtl w:val="0"/>
          <w:lang w:val="en-US"/>
        </w:rPr>
        <w:t xml:space="preserve">and KAFB Section 01 74 19 Construction and Demolition Waste Management: and the KAFB spreadsheet </w:t>
      </w:r>
      <w:r>
        <w:rPr>
          <w:rStyle w:val="None"/>
          <w:rFonts w:ascii="Arial Unicode MS" w:hAnsi="Arial Unicode MS" w:hint="default"/>
          <w:rtl w:val="1"/>
          <w:lang w:val="ar-SA" w:bidi="ar-SA"/>
        </w:rPr>
        <w:t>“</w:t>
      </w:r>
      <w:r>
        <w:rPr>
          <w:rStyle w:val="None"/>
          <w:rtl w:val="0"/>
          <w:lang w:val="da-DK"/>
        </w:rPr>
        <w:t>Appendix A Waste Summary</w:t>
      </w:r>
      <w:r>
        <w:rPr>
          <w:rStyle w:val="None"/>
          <w:rtl w:val="0"/>
          <w:lang w:val="en-US"/>
        </w:rPr>
        <w:t>”</w:t>
      </w:r>
      <w:r>
        <w:rPr>
          <w:rStyle w:val="None"/>
          <w:rtl w:val="0"/>
          <w:lang w:val="en-US"/>
        </w:rPr>
        <w:t xml:space="preserve">. </w:t>
      </w:r>
    </w:p>
    <w:p>
      <w:pPr>
        <w:pStyle w:val="Heading 2"/>
        <w:suppressAutoHyphens w:val="1"/>
      </w:pPr>
      <w:bookmarkStart w:name="_Toc1" w:id="1"/>
      <w:r>
        <w:rPr>
          <w:rtl w:val="0"/>
          <w:lang w:val="en-US"/>
        </w:rPr>
        <w:t>Table 1. Hazardous material abatement projected difficulty per location</w:t>
      </w:r>
      <w:bookmarkEnd w:id="1"/>
    </w:p>
    <w:p>
      <w:pPr>
        <w:pStyle w:val="Body C"/>
        <w:suppressAutoHyphens w:val="1"/>
      </w:pPr>
    </w:p>
    <w:p>
      <w:pPr>
        <w:pStyle w:val="Body C"/>
        <w:suppressAutoHyphens w:val="1"/>
      </w:pPr>
    </w:p>
    <w:p>
      <w:pPr>
        <w:pStyle w:val="Body C"/>
        <w:suppressAutoHyphens w:val="1"/>
      </w:pPr>
    </w:p>
    <w:p>
      <w:pPr>
        <w:pStyle w:val="Body C"/>
        <w:suppressAutoHyphens w:val="1"/>
      </w:pPr>
      <w:r>
        <w:rPr>
          <w:rtl w:val="0"/>
          <w:lang w:val="en-US"/>
        </w:rPr>
        <w:t>The following bid assumptions apply to structures NOT included in the survey data provided (some of these may be Option items):</w:t>
      </w:r>
    </w:p>
    <w:p>
      <w:pPr>
        <w:pStyle w:val="Body C"/>
        <w:suppressAutoHyphens w:val="1"/>
      </w:pPr>
      <w:r>
        <w:rPr>
          <w:rtl w:val="0"/>
          <w:lang w:val="en-US"/>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suppressAutoHyphens w:val="1"/>
      </w:pPr>
      <w:bookmarkStart w:name="_Toc2" w:id="2"/>
      <w:r>
        <w:rPr>
          <w:rtl w:val="0"/>
          <w:lang w:val="en-US"/>
        </w:rPr>
        <w:t>Table 2. Hazardous material abatement manpower projection</w:t>
      </w:r>
      <w:bookmarkEnd w:id="2"/>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r>
        <w:rPr>
          <w:rtl w:val="0"/>
          <w:lang w:val="en-US"/>
        </w:rPr>
        <w:t>All Phase will self-perform all work associated with this task order. We will also call upon specialty consultants, vendors, and waste handlers to assist as needed. These entities are summarized in Table 3.</w:t>
      </w:r>
    </w:p>
    <w:p>
      <w:pPr>
        <w:pStyle w:val="Heading 2"/>
        <w:suppressAutoHyphens w:val="1"/>
      </w:pPr>
      <w:bookmarkStart w:name="_Toc3" w:id="3"/>
      <w:r>
        <w:rPr>
          <w:rtl w:val="0"/>
          <w:lang w:val="en-US"/>
        </w:rPr>
        <w:t>Table 3. Subcontractors, consultants, vendors, and waste handlers to assist</w:t>
      </w:r>
      <w:bookmarkEnd w:id="3"/>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7"/>
        <w:gridCol w:w="3355"/>
        <w:gridCol w:w="2878"/>
      </w:tblGrid>
      <w:tr>
        <w:tblPrEx>
          <w:shd w:val="clear" w:color="auto" w:fill="cadfff"/>
        </w:tblPrEx>
        <w:trPr>
          <w:trHeight w:val="312" w:hRule="atLeast"/>
        </w:trPr>
        <w:tc>
          <w:tcPr>
            <w:tcW w:type="dxa" w:w="31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Expertise</w:t>
            </w:r>
          </w:p>
        </w:tc>
        <w:tc>
          <w:tcPr>
            <w:tcW w:type="dxa" w:w="33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Company</w:t>
            </w:r>
          </w:p>
        </w:tc>
        <w:tc>
          <w:tcPr>
            <w:tcW w:type="dxa" w:w="28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Location</w:t>
            </w:r>
          </w:p>
        </w:tc>
      </w:tr>
      <w:tr>
        <w:tblPrEx>
          <w:shd w:val="clear" w:color="auto" w:fill="cadfff"/>
        </w:tblPrEx>
        <w:trPr>
          <w:trHeight w:val="492" w:hRule="atLeast"/>
        </w:trPr>
        <w:tc>
          <w:tcPr>
            <w:tcW w:type="dxa" w:w="3127"/>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 xml:space="preserve">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5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H2E Consulting</w:t>
            </w:r>
          </w:p>
        </w:tc>
        <w:tc>
          <w:tcPr>
            <w:tcW w:type="dxa" w:w="287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San Francisco, CA</w:t>
            </w:r>
          </w:p>
        </w:tc>
      </w:tr>
      <w:tr>
        <w:tblPrEx>
          <w:shd w:val="clear" w:color="auto" w:fill="cadfff"/>
        </w:tblPrEx>
        <w:trPr>
          <w:trHeight w:val="29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State of California Certified Biologist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Jacobs Engineering Group, Inc.</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Pasadena, CA</w:t>
            </w:r>
          </w:p>
        </w:tc>
      </w:tr>
      <w:tr>
        <w:tblPrEx>
          <w:shd w:val="clear" w:color="auto" w:fill="cadfff"/>
        </w:tblPrEx>
        <w:trPr>
          <w:trHeight w:val="29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commentReference w:id="4"/>
            </w:r>
            <w:r>
              <w:rPr>
                <w:rStyle w:val="None"/>
                <w:b w:val="1"/>
                <w:bCs w:val="1"/>
                <w:sz w:val="18"/>
                <w:szCs w:val="18"/>
                <w:rtl w:val="0"/>
                <w:lang w:val="en-US"/>
              </w:rPr>
              <w:t>CIH</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9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Safety equipment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Needham</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Framingham, MA</w:t>
            </w:r>
          </w:p>
        </w:tc>
      </w:tr>
      <w:tr>
        <w:tblPrEx>
          <w:shd w:val="clear" w:color="auto" w:fill="cadfff"/>
        </w:tblPrEx>
        <w:trPr>
          <w:trHeight w:val="29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Refrigerant recovery</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Rapid Recovery</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Nationwide</w:t>
            </w:r>
          </w:p>
        </w:tc>
      </w:tr>
      <w:tr>
        <w:tblPrEx>
          <w:shd w:val="clear" w:color="auto" w:fill="cadfff"/>
        </w:tblPrEx>
        <w:trPr>
          <w:trHeight w:val="49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rPr>
                <w:rStyle w:val="None"/>
                <w:sz w:val="18"/>
                <w:szCs w:val="18"/>
              </w:rPr>
            </w:pPr>
            <w:r>
              <w:rPr>
                <w:rStyle w:val="None"/>
                <w:b w:val="1"/>
                <w:bCs w:val="1"/>
                <w:sz w:val="18"/>
                <w:szCs w:val="18"/>
                <w:rtl w:val="0"/>
                <w:lang w:val="en-US"/>
              </w:rPr>
              <w:t>Landfill</w:t>
            </w:r>
          </w:p>
          <w:p>
            <w:pPr>
              <w:pStyle w:val="Body C"/>
              <w:suppressAutoHyphens w:val="1"/>
              <w:bidi w:val="0"/>
              <w:spacing w:after="0" w:line="240" w:lineRule="auto"/>
              <w:ind w:left="0" w:right="0" w:firstLine="0"/>
              <w:jc w:val="center"/>
              <w:outlineLvl w:val="0"/>
              <w:rPr>
                <w:rtl w:val="0"/>
              </w:rPr>
            </w:pPr>
            <w:r>
              <w:rPr>
                <w:rStyle w:val="None"/>
                <w:sz w:val="18"/>
                <w:szCs w:val="18"/>
                <w:rtl w:val="0"/>
                <w:lang w:val="en-US"/>
              </w:rPr>
              <w:t>C&amp;D</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Southwest Landfill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Albuquerque, NM</w:t>
            </w:r>
          </w:p>
        </w:tc>
      </w:tr>
      <w:tr>
        <w:tblPrEx>
          <w:shd w:val="clear" w:color="auto" w:fill="cadfff"/>
        </w:tblPrEx>
        <w:trPr>
          <w:trHeight w:val="49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rPr>
                <w:rStyle w:val="None"/>
                <w:sz w:val="18"/>
                <w:szCs w:val="18"/>
              </w:rPr>
            </w:pPr>
            <w:r>
              <w:rPr>
                <w:rStyle w:val="None"/>
                <w:b w:val="1"/>
                <w:bCs w:val="1"/>
                <w:sz w:val="18"/>
                <w:szCs w:val="18"/>
                <w:rtl w:val="0"/>
                <w:lang w:val="en-US"/>
              </w:rPr>
              <w:t>Landfill</w:t>
            </w:r>
          </w:p>
          <w:p>
            <w:pPr>
              <w:pStyle w:val="Body C"/>
              <w:suppressAutoHyphens w:val="1"/>
              <w:bidi w:val="0"/>
              <w:spacing w:after="0" w:line="240" w:lineRule="auto"/>
              <w:ind w:left="0" w:right="0" w:firstLine="0"/>
              <w:jc w:val="center"/>
              <w:outlineLvl w:val="0"/>
              <w:rPr>
                <w:rtl w:val="0"/>
              </w:rPr>
            </w:pPr>
            <w:r>
              <w:rPr>
                <w:rStyle w:val="None"/>
                <w:sz w:val="18"/>
                <w:szCs w:val="18"/>
                <w:rtl w:val="0"/>
                <w:lang w:val="en-US"/>
              </w:rPr>
              <w:t>friable + non-friable asbestos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Special Waste Disposal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Mountainair, NM</w:t>
            </w:r>
          </w:p>
        </w:tc>
      </w:tr>
      <w:tr>
        <w:tblPrEx>
          <w:shd w:val="clear" w:color="auto" w:fill="cadfff"/>
        </w:tblPrEx>
        <w:trPr>
          <w:trHeight w:val="29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Concrete and Asphalt Recycling</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Waste Management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Simi Valley, CA</w:t>
            </w:r>
          </w:p>
        </w:tc>
      </w:tr>
      <w:tr>
        <w:tblPrEx>
          <w:shd w:val="clear" w:color="auto" w:fill="cadfff"/>
        </w:tblPrEx>
        <w:trPr>
          <w:trHeight w:val="29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Universal Wastes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Veolia ES Technical Solutions</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Nationwide</w:t>
            </w:r>
          </w:p>
        </w:tc>
      </w:tr>
      <w:tr>
        <w:tblPrEx>
          <w:shd w:val="clear" w:color="auto" w:fill="cadfff"/>
        </w:tblPrEx>
        <w:trPr>
          <w:trHeight w:val="49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Metals Salvage</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Albuquerque Metal Recycling</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Albuquerque, NM</w:t>
            </w:r>
          </w:p>
        </w:tc>
      </w:tr>
      <w:tr>
        <w:tblPrEx>
          <w:shd w:val="clear" w:color="auto" w:fill="cadfff"/>
        </w:tblPrEx>
        <w:trPr>
          <w:trHeight w:val="29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Topsoil / Backfill</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Canyon Stone and Gravel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Albuquerque, NM</w:t>
            </w:r>
          </w:p>
        </w:tc>
      </w:tr>
    </w:tbl>
    <w:p>
      <w:pPr>
        <w:pStyle w:val="Heading 2"/>
        <w:widowControl w:val="0"/>
        <w:suppressAutoHyphens w:val="1"/>
        <w:ind w:left="108" w:hanging="108"/>
      </w:pPr>
    </w:p>
    <w:p>
      <w:pPr>
        <w:pStyle w:val="Body C"/>
        <w:suppressAutoHyphens w:val="1"/>
      </w:pPr>
    </w:p>
    <w:p>
      <w:pPr>
        <w:pStyle w:val="Heading"/>
        <w:suppressAutoHyphens w:val="1"/>
      </w:pPr>
      <w:bookmarkStart w:name="_Toc4" w:id="5"/>
      <w:r>
        <w:rPr>
          <w:rtl w:val="0"/>
          <w:lang w:val="en-US"/>
        </w:rPr>
        <w:t>1. Project Planning</w:t>
      </w:r>
      <w:bookmarkEnd w:id="5"/>
    </w:p>
    <w:p>
      <w:pPr>
        <w:pStyle w:val="Body C"/>
        <w:suppressAutoHyphens w:val="1"/>
      </w:pPr>
      <w:r>
        <w:rPr>
          <w:rtl w:val="0"/>
          <w:lang w:val="en-US"/>
        </w:rPr>
        <w:t xml:space="preserve">All Phase will submit a site-specific demolition plan, drawings, and specifications for the execution of this project, four (4) weeks prior to start of work. The demolition activities for Building 378 will be performed in accordance with the submitted and approved documents. We will coordinate and acquire a free zone and airfield waiver </w:t>
      </w:r>
      <w:r>
        <w:rPr>
          <w:rtl w:val="0"/>
          <w:lang w:val="en-US"/>
        </w:rPr>
        <w:t xml:space="preserve">— </w:t>
      </w:r>
      <w:r>
        <w:rPr>
          <w:rtl w:val="0"/>
          <w:lang w:val="en-US"/>
        </w:rPr>
        <w:t xml:space="preserve">All Phase will be responsible for controlling access to the site and for always maintaining a secure site. We will establish and secure an entry control point (ECP) to control traffic in and out of the site, as will be discussed in the free zone and airfield waiver application. </w:t>
      </w:r>
    </w:p>
    <w:p>
      <w:pPr>
        <w:pStyle w:val="Body C"/>
        <w:suppressAutoHyphens w:val="1"/>
      </w:pPr>
      <w:r>
        <w:rPr>
          <w:rStyle w:val="None"/>
          <w:b w:val="1"/>
          <w:bCs w:val="1"/>
          <w:i w:val="1"/>
          <w:iCs w:val="1"/>
          <w:rtl w:val="0"/>
          <w:lang w:val="en-US"/>
        </w:rPr>
        <w:t>Design</w:t>
      </w:r>
      <w:r>
        <w:rPr>
          <w:rStyle w:val="None"/>
          <w:b w:val="1"/>
          <w:bCs w:val="1"/>
          <w:rtl w:val="0"/>
          <w:lang w:val="en-US"/>
        </w:rPr>
        <w:t xml:space="preserve"> </w:t>
      </w:r>
      <w:r>
        <w:rPr>
          <w:rStyle w:val="None"/>
          <w:b w:val="1"/>
          <w:bCs w:val="1"/>
          <w:i w:val="1"/>
          <w:iCs w:val="1"/>
          <w:rtl w:val="0"/>
          <w:lang w:val="en-US"/>
        </w:rPr>
        <w:t>Considerations</w:t>
      </w:r>
      <w:r>
        <w:rPr>
          <w:rtl w:val="0"/>
          <w:lang w:val="en-US"/>
        </w:rPr>
        <w:t>: All Phase will utilize available information provided as the basis of the demolition for the proposed project and shall include contractor site visit for investigation. All Phase will be responsible for obtaining additional information required to execute the demolition. This shall include retrieving from the government as-builts, site measurements, surveys, tests, and other material necessary to provide the Contractor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shall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suppressAutoHyphens w:val="1"/>
      </w:pPr>
      <w:r>
        <w:rPr>
          <w:rtl w:val="0"/>
          <w:lang w:val="en-US"/>
        </w:rPr>
        <w:t>Demolition Drawings will be prepared in AutoCAD. Demolition Drawings and Specifications will be delivered for review, comment, and approval in an iterative and incremental process. Full size Demolition drawings will be 36" x 24". Reduced drawings will be 11" x 17". The All Phase project architect/engineer will stamp, date, and sign all final drawings prior to final base representative signatures. All applicable base activity representatives will sign the review block on the cover page of the final Demo drawings.</w:t>
      </w:r>
    </w:p>
    <w:p>
      <w:pPr>
        <w:pStyle w:val="Heading"/>
        <w:suppressAutoHyphens w:val="1"/>
      </w:pPr>
      <w:bookmarkStart w:name="_Toc5" w:id="6"/>
      <w:r>
        <w:rPr>
          <w:rtl w:val="0"/>
          <w:lang w:val="en-US"/>
        </w:rPr>
        <w:t>2. Abatement Approach and Disposal</w:t>
      </w:r>
      <w:bookmarkEnd w:id="6"/>
    </w:p>
    <w:p>
      <w:pPr>
        <w:pStyle w:val="Body C"/>
        <w:suppressAutoHyphens w:val="1"/>
      </w:pPr>
      <w:r>
        <w:rPr>
          <w:rtl w:val="0"/>
          <w:lang w:val="en-US"/>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p>
    <w:p>
      <w:pPr>
        <w:pStyle w:val="Body C"/>
        <w:suppressAutoHyphens w:val="1"/>
      </w:pPr>
      <w:r>
        <w:rPr>
          <w:rtl w:val="0"/>
          <w:lang w:val="en-US"/>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 Lead-Containing Paint (Paint with Lead but Not Considered Lead-Based Painted) is regulated by OSHA, for occupational exposure to lead containing materials during construction activities. Any occurrence of lead in construction materials could be potentially hazardous during activities that may impact a lead containing material. Lead-based painted components will be handled in accordance with OSHA and HUD.</w:t>
      </w:r>
    </w:p>
    <w:p>
      <w:pPr>
        <w:pStyle w:val="Heading 2"/>
        <w:suppressAutoHyphens w:val="1"/>
      </w:pPr>
      <w:bookmarkStart w:name="_Toc6" w:id="7"/>
      <w:r>
        <w:rPr>
          <w:rtl w:val="0"/>
          <w:lang w:val="en-US"/>
        </w:rPr>
        <w:t>Abatement and Disposal of Asbestos Containing Material</w:t>
      </w:r>
      <w:bookmarkEnd w:id="7"/>
    </w:p>
    <w:p>
      <w:pPr>
        <w:pStyle w:val="Body C"/>
        <w:suppressAutoHyphens w:val="1"/>
      </w:pPr>
      <w:r>
        <w:rPr>
          <w:rtl w:val="0"/>
          <w:lang w:val="en-US"/>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suppressAutoHyphens w:val="1"/>
      </w:pPr>
      <w:r>
        <w:rPr>
          <w:rtl w:val="0"/>
          <w:lang w:val="en-US"/>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C"/>
        <w:suppressAutoHyphens w:val="1"/>
      </w:pPr>
      <w:r>
        <w:rPr>
          <w:rtl w:val="0"/>
          <w:lang w:val="en-US"/>
        </w:rPr>
        <w:t>Asbestos abatement will require special containment equipment including personnel and waste decontamination chambers, water filtering equipment to 20 micron and 5 microns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C"/>
        <w:suppressAutoHyphens w:val="1"/>
      </w:pPr>
      <w:r>
        <w:rPr>
          <w:rtl w:val="0"/>
          <w:lang w:val="en-US"/>
        </w:rPr>
        <w:t>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w:t>
      </w:r>
      <w:r>
        <w:rPr>
          <w:rtl w:val="0"/>
          <w:lang w:val="en-US"/>
        </w:rPr>
        <w:t xml:space="preserve">’ </w:t>
      </w:r>
      <w:r>
        <w:rPr>
          <w:rtl w:val="0"/>
          <w:lang w:val="en-US"/>
        </w:rPr>
        <w:t>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C"/>
        <w:suppressAutoHyphens w:val="1"/>
      </w:pPr>
      <w:r>
        <w:rPr>
          <w:rtl w:val="0"/>
          <w:lang w:val="en-US"/>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C"/>
        <w:suppressAutoHyphens w:val="1"/>
      </w:pPr>
      <w:r>
        <w:rPr>
          <w:rtl w:val="0"/>
          <w:lang w:val="en-US"/>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C"/>
        <w:suppressAutoHyphens w:val="1"/>
      </w:pPr>
      <w:r>
        <w:rPr>
          <w:rtl w:val="0"/>
          <w:lang w:val="en-US"/>
        </w:rPr>
        <w:t xml:space="preserve">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access. </w:t>
      </w:r>
    </w:p>
    <w:p>
      <w:pPr>
        <w:pStyle w:val="Body C"/>
        <w:suppressAutoHyphens w:val="1"/>
      </w:pPr>
      <w:r>
        <w:rPr>
          <w:rtl w:val="0"/>
          <w:lang w:val="en-US"/>
        </w:rPr>
        <w:t>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w:t>
      </w:r>
    </w:p>
    <w:p>
      <w:pPr>
        <w:pStyle w:val="Body C"/>
        <w:suppressAutoHyphens w:val="1"/>
      </w:pPr>
      <w:r>
        <w:rPr>
          <w:rtl w:val="0"/>
          <w:lang w:val="en-US"/>
        </w:rPr>
        <w:t>Roofing material as well as material above the worker</w:t>
      </w:r>
      <w:r>
        <w:rPr>
          <w:rStyle w:val="None"/>
          <w:rFonts w:ascii="Arial Unicode MS" w:hAnsi="Arial Unicode MS" w:hint="default"/>
          <w:rtl w:val="0"/>
          <w:lang w:val="en-US"/>
        </w:rPr>
        <w:t>’</w:t>
      </w:r>
      <w:r>
        <w:rPr>
          <w:rtl w:val="0"/>
          <w:lang w:val="en-US"/>
        </w:rPr>
        <w:t xml:space="preserve">s reach will be accessed in compliance with the USACE Fall Protection Guide. A Fall Protection survey will be completed by the SSHO, and a Fall Protection &amp; Prevention plan created for the site-specific fall hazards. All materials will be adequately wet and kept wet during removal. </w:t>
      </w:r>
    </w:p>
    <w:p>
      <w:pPr>
        <w:pStyle w:val="Body C"/>
        <w:suppressAutoHyphens w:val="1"/>
      </w:pPr>
      <w:r>
        <w:rPr>
          <w:rtl w:val="0"/>
          <w:lang w:val="en-US"/>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C"/>
        <w:suppressAutoHyphens w:val="1"/>
      </w:pPr>
      <w:r>
        <w:rPr>
          <w:rStyle w:val="None"/>
          <w:b w:val="1"/>
          <w:bCs w:val="1"/>
          <w:i w:val="1"/>
          <w:iCs w:val="1"/>
          <w:rtl w:val="0"/>
          <w:lang w:val="en-US"/>
        </w:rPr>
        <w:t>Decontamination Unit</w:t>
      </w:r>
      <w:r>
        <w:rPr>
          <w:rtl w:val="0"/>
          <w:lang w:val="en-US"/>
        </w:rPr>
        <w:t>: The decontamination station is designed to allow passage to and from the work area during removal operations with no leakage of asbestos fibers outside the contained work area. The unit consists of a clean room, washroom, and equipment room separated by airlocks. The airlocks are formed by overlapping three sheets of polyethylene at the exit of each room, and three sheets at the entrance to the next room with 2-3 feet of space between barriers.</w:t>
      </w:r>
    </w:p>
    <w:p>
      <w:pPr>
        <w:pStyle w:val="Body C"/>
        <w:suppressAutoHyphens w:val="1"/>
      </w:pPr>
      <w:r>
        <w:rPr>
          <w:rStyle w:val="None"/>
          <w:b w:val="1"/>
          <w:bCs w:val="1"/>
          <w:i w:val="1"/>
          <w:iCs w:val="1"/>
          <w:rtl w:val="0"/>
          <w:lang w:val="en-US"/>
        </w:rPr>
        <w:t>Clean Room</w:t>
      </w:r>
      <w:r>
        <w:rPr>
          <w:rtl w:val="0"/>
          <w:lang w:val="en-US"/>
        </w:rPr>
        <w:t>: No asbestos contaminated items will enter this room. Workers use this area to suit up, store street clothes, and put on respiratory protection before they enter the work area, and to dress in clean clothes after washing.</w:t>
      </w:r>
    </w:p>
    <w:p>
      <w:pPr>
        <w:pStyle w:val="Body C"/>
        <w:suppressAutoHyphens w:val="1"/>
      </w:pPr>
      <w:r>
        <w:rPr>
          <w:rStyle w:val="None"/>
          <w:b w:val="1"/>
          <w:bCs w:val="1"/>
          <w:i w:val="1"/>
          <w:iCs w:val="1"/>
          <w:rtl w:val="0"/>
          <w:lang w:val="en-US"/>
        </w:rPr>
        <w:t>Shower Room</w:t>
      </w:r>
      <w:r>
        <w:rPr>
          <w:rtl w:val="0"/>
          <w:lang w:val="en-US"/>
        </w:rPr>
        <w:t>: Workers pass through the shower room on their way to the removal area and use the shower area on their way out after leaving their contaminated clothing in the equipment room. Wastewater will be collected and treated as asbestos containing material or filtered through a 5-micron filter before disposal into the sanitary sewer. State and local requirements on methods of wastewater disposal vary. All Phase will follow all local and state specifications for handling wastewater.</w:t>
      </w:r>
    </w:p>
    <w:p>
      <w:pPr>
        <w:pStyle w:val="Body C"/>
        <w:suppressAutoHyphens w:val="1"/>
      </w:pPr>
      <w:r>
        <w:rPr>
          <w:rStyle w:val="None"/>
          <w:b w:val="1"/>
          <w:bCs w:val="1"/>
          <w:i w:val="1"/>
          <w:iCs w:val="1"/>
          <w:rtl w:val="0"/>
          <w:lang w:val="en-US"/>
        </w:rPr>
        <w:t>Equipment Room</w:t>
      </w:r>
      <w:r>
        <w:rPr>
          <w:rtl w:val="0"/>
          <w:lang w:val="en-US"/>
        </w:rPr>
        <w:t>: This is a contaminated area where equipment, boots, hard hats, goggles, and contaminated work clothes are stored. Workers place disposable clothing such as coveralls, boots, and hoods in bins before leaving this area for the washroom. Respirators are worn until workers enter the washroom and these are then thoroughly soaked with water. The equipment room may require clean up several times daily to prevent asbestos materials from being tracked into the washroom and clean room.</w:t>
      </w:r>
    </w:p>
    <w:p>
      <w:pPr>
        <w:pStyle w:val="Body C"/>
        <w:suppressAutoHyphens w:val="1"/>
      </w:pPr>
      <w:r>
        <w:rPr>
          <w:rStyle w:val="None"/>
          <w:b w:val="1"/>
          <w:bCs w:val="1"/>
          <w:i w:val="1"/>
          <w:iCs w:val="1"/>
          <w:rtl w:val="0"/>
          <w:lang w:val="en-US"/>
        </w:rPr>
        <w:t>Protective Equipment</w:t>
      </w:r>
      <w:r>
        <w:rPr>
          <w:rtl w:val="0"/>
          <w:lang w:val="en-US"/>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Style w:val="None"/>
          <w:rFonts w:ascii="Arial Unicode MS" w:hAnsi="Arial Unicode MS" w:hint="default"/>
          <w:rtl w:val="0"/>
          <w:lang w:val="en-US"/>
        </w:rPr>
        <w:t xml:space="preserve">’ </w:t>
      </w:r>
      <w:r>
        <w:rPr>
          <w:rtl w:val="0"/>
          <w:lang w:val="en-US"/>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C"/>
        <w:suppressAutoHyphens w:val="1"/>
      </w:pPr>
      <w:r>
        <w:rPr>
          <w:rtl w:val="0"/>
          <w:lang w:val="en-US"/>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suppressAutoHyphens w:val="1"/>
      </w:pPr>
      <w:r>
        <w:rPr>
          <w:rStyle w:val="None"/>
          <w:b w:val="1"/>
          <w:bCs w:val="1"/>
          <w:i w:val="1"/>
          <w:iCs w:val="1"/>
          <w:rtl w:val="0"/>
          <w:lang w:val="en-US"/>
        </w:rPr>
        <w:t>Basis of Initial Exposure Assessment</w:t>
      </w:r>
      <w:r>
        <w:rPr>
          <w:rtl w:val="0"/>
          <w:lang w:val="en-US"/>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more than the PELs, or otherwise makes a negative exposure assessment, we will presume that employees are exposed more than the TWA and excursion limit.</w:t>
      </w:r>
    </w:p>
    <w:p>
      <w:pPr>
        <w:pStyle w:val="Body C"/>
        <w:suppressAutoHyphens w:val="1"/>
      </w:pPr>
      <w:r>
        <w:rPr>
          <w:rStyle w:val="None"/>
          <w:b w:val="1"/>
          <w:bCs w:val="1"/>
          <w:i w:val="1"/>
          <w:iCs w:val="1"/>
          <w:rtl w:val="0"/>
          <w:lang w:val="en-US"/>
        </w:rPr>
        <w:t>Cleanup during Gross Removal</w:t>
      </w:r>
      <w:r>
        <w:rPr>
          <w:rtl w:val="0"/>
          <w:lang w:val="en-US"/>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C"/>
        <w:suppressAutoHyphens w:val="1"/>
      </w:pPr>
      <w:r>
        <w:rPr>
          <w:rStyle w:val="None"/>
          <w:b w:val="1"/>
          <w:bCs w:val="1"/>
          <w:i w:val="1"/>
          <w:iCs w:val="1"/>
          <w:rtl w:val="0"/>
          <w:lang w:val="en-US"/>
        </w:rPr>
        <w:t>Perform Final Wipe Down of Equipment</w:t>
      </w:r>
      <w:r>
        <w:rPr>
          <w:rtl w:val="0"/>
          <w:lang w:val="en-US"/>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C"/>
        <w:suppressAutoHyphens w:val="1"/>
      </w:pPr>
      <w:r>
        <w:rPr>
          <w:rStyle w:val="None"/>
          <w:b w:val="1"/>
          <w:bCs w:val="1"/>
          <w:i w:val="1"/>
          <w:iCs w:val="1"/>
          <w:rtl w:val="0"/>
          <w:lang w:val="en-US"/>
        </w:rPr>
        <w:t>Visual Inspection of all Surface Areas</w:t>
      </w:r>
      <w:r>
        <w:rPr>
          <w:rtl w:val="0"/>
          <w:lang w:val="en-US"/>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C"/>
        <w:suppressAutoHyphens w:val="1"/>
      </w:pPr>
      <w:r>
        <w:rPr>
          <w:rStyle w:val="None"/>
          <w:b w:val="1"/>
          <w:bCs w:val="1"/>
          <w:i w:val="1"/>
          <w:iCs w:val="1"/>
          <w:rtl w:val="0"/>
          <w:lang w:val="en-US"/>
        </w:rPr>
        <w:t>Encapsulation Methods</w:t>
      </w:r>
      <w:r>
        <w:rPr>
          <w:rtl w:val="0"/>
          <w:lang w:val="en-US"/>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low-pressure airless sprayer. All Phase will submit the material safety data sheets (MSDS) for approval.</w:t>
      </w:r>
    </w:p>
    <w:p>
      <w:pPr>
        <w:pStyle w:val="Body C"/>
        <w:suppressAutoHyphens w:val="1"/>
      </w:pPr>
      <w:r>
        <w:rPr>
          <w:rStyle w:val="None"/>
          <w:b w:val="1"/>
          <w:bCs w:val="1"/>
          <w:i w:val="1"/>
          <w:iCs w:val="1"/>
          <w:rtl w:val="0"/>
          <w:lang w:val="en-US"/>
        </w:rPr>
        <w:t>Final Clearance Monitoring</w:t>
      </w:r>
      <w:r>
        <w:rPr>
          <w:rtl w:val="0"/>
          <w:lang w:val="en-US"/>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C"/>
        <w:suppressAutoHyphens w:val="1"/>
      </w:pPr>
      <w:r>
        <w:rPr>
          <w:rStyle w:val="None"/>
          <w:b w:val="1"/>
          <w:bCs w:val="1"/>
          <w:i w:val="1"/>
          <w:iCs w:val="1"/>
          <w:rtl w:val="0"/>
          <w:lang w:val="en-US"/>
        </w:rPr>
        <w:t>Training &amp; Medical Surveillance</w:t>
      </w:r>
      <w:r>
        <w:rPr>
          <w:rtl w:val="0"/>
          <w:lang w:val="en-US"/>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C"/>
        <w:suppressAutoHyphens w:val="1"/>
      </w:pPr>
      <w:r>
        <w:rPr>
          <w:rStyle w:val="None"/>
          <w:b w:val="1"/>
          <w:bCs w:val="1"/>
          <w:i w:val="1"/>
          <w:iCs w:val="1"/>
          <w:rtl w:val="0"/>
          <w:lang w:val="pt-PT"/>
        </w:rPr>
        <w:t>Asbestos Disposition</w:t>
      </w:r>
      <w:r>
        <w:rPr>
          <w:rStyle w:val="None"/>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Heading"/>
        <w:suppressAutoHyphens w:val="1"/>
      </w:pPr>
      <w:bookmarkStart w:name="_Toc7" w:id="8"/>
      <w:r>
        <w:rPr>
          <w:rtl w:val="0"/>
          <w:lang w:val="en-US"/>
        </w:rPr>
        <w:t>3. Project Execution</w:t>
      </w:r>
      <w:bookmarkEnd w:id="8"/>
    </w:p>
    <w:p>
      <w:pPr>
        <w:pStyle w:val="Body C"/>
        <w:suppressAutoHyphens w:val="1"/>
      </w:pPr>
      <w:r>
        <w:rPr>
          <w:rtl w:val="0"/>
          <w:lang w:val="en-US"/>
        </w:rPr>
        <w:t>At All Phase, we recognize that on-site management requires a chain of different tasks and responsibilities which are followed with great precision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0"/>
          <w:lang w:val="en-US"/>
        </w:rPr>
        <w:t>’</w:t>
      </w:r>
      <w:r>
        <w:rPr>
          <w:rtl w:val="0"/>
          <w:lang w:val="en-US"/>
        </w:rPr>
        <w:t>s detailed specifications or changed circumstances. When appropriate, the PM will make proposals for the acceleration of all or part of any demolition work package or task elements to achieve the target dates of the project.</w:t>
      </w:r>
    </w:p>
    <w:p>
      <w:pPr>
        <w:pStyle w:val="Body C"/>
        <w:suppressAutoHyphens w:val="1"/>
      </w:pPr>
      <w:r>
        <w:rPr>
          <w:rtl w:val="0"/>
          <w:lang w:val="en-US"/>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co-ordinate any further setting out conducted by the workforce. The on-site PM will establish and effectively manage task execution and final acceptance procedures and monitor their implementation. The PM will instruct any subcontractors regarding required documentation to be handed over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C"/>
        <w:suppressAutoHyphens w:val="1"/>
      </w:pPr>
      <w:r>
        <w:rPr>
          <w:rStyle w:val="None"/>
          <w:b w:val="1"/>
          <w:bCs w:val="1"/>
          <w:i w:val="1"/>
          <w:iCs w:val="1"/>
          <w:rtl w:val="0"/>
          <w:lang w:val="en-US"/>
        </w:rPr>
        <w:t>Regulations and Permitting</w:t>
      </w:r>
      <w:r>
        <w:rPr>
          <w:rtl w:val="0"/>
          <w:lang w:val="en-US"/>
        </w:rPr>
        <w:t>: The work shall comply with applicable Air Force codes and standards, unless otherwise directed. All Phase Superintendents and workers will have their state accreditations to work on this project. All Phase will coordinate removal and disposal of all regulated materials with the state Department of Environmental Protection.</w:t>
      </w:r>
    </w:p>
    <w:p>
      <w:pPr>
        <w:pStyle w:val="Body C"/>
        <w:suppressAutoHyphens w:val="1"/>
      </w:pPr>
      <w:r>
        <w:rPr>
          <w:rStyle w:val="None"/>
          <w:rtl w:val="0"/>
          <w:lang w:val="en-US"/>
        </w:rPr>
        <w:t xml:space="preserve">In accord with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suppressAutoHyphens w:val="1"/>
      </w:pPr>
      <w:r>
        <w:rPr>
          <w:rStyle w:val="None"/>
          <w:b w:val="1"/>
          <w:bCs w:val="1"/>
          <w:i w:val="1"/>
          <w:iCs w:val="1"/>
          <w:rtl w:val="0"/>
          <w:lang w:val="nl-NL"/>
        </w:rPr>
        <w:t>Coordination</w:t>
      </w:r>
      <w:r>
        <w:rPr>
          <w:rStyle w:val="None"/>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suppressAutoHyphens w:val="1"/>
      </w:pPr>
      <w:r>
        <w:rPr>
          <w:rStyle w:val="None"/>
          <w:b w:val="1"/>
          <w:bCs w:val="1"/>
          <w:i w:val="1"/>
          <w:iCs w:val="1"/>
          <w:rtl w:val="0"/>
          <w:lang w:val="en-US"/>
        </w:rPr>
        <w:t>Traffic and Work Hours</w:t>
      </w:r>
      <w:r>
        <w:rPr>
          <w:rtl w:val="0"/>
          <w:lang w:val="en-US"/>
        </w:rPr>
        <w:t>: Haul routes will be identified/approved after award but prior to mobilization.</w:t>
      </w:r>
    </w:p>
    <w:p>
      <w:pPr>
        <w:pStyle w:val="Body C"/>
        <w:suppressAutoHyphens w:val="1"/>
      </w:pPr>
      <w:r>
        <w:rPr>
          <w:rStyle w:val="None"/>
          <w:b w:val="1"/>
          <w:bCs w:val="1"/>
          <w:i w:val="1"/>
          <w:iCs w:val="1"/>
          <w:rtl w:val="0"/>
          <w:lang w:val="en-US"/>
        </w:rPr>
        <w:t>Staging</w:t>
      </w:r>
      <w:r>
        <w:rPr>
          <w:rtl w:val="0"/>
          <w:lang w:val="en-US"/>
        </w:rPr>
        <w:t>: We will confirm the precise locations for staging with the CO/COR.</w:t>
      </w:r>
    </w:p>
    <w:p>
      <w:pPr>
        <w:pStyle w:val="Body C"/>
        <w:suppressAutoHyphens w:val="1"/>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 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suppressAutoHyphens w:val="1"/>
      </w:pPr>
      <w:r>
        <w:rPr>
          <w:rStyle w:val="None"/>
          <w:b w:val="1"/>
          <w:bCs w:val="1"/>
          <w:i w:val="1"/>
          <w:iCs w:val="1"/>
          <w:rtl w:val="0"/>
          <w:lang w:val="en-US"/>
        </w:rPr>
        <w:t>Controlled Materials</w:t>
      </w:r>
      <w:r>
        <w:rPr>
          <w:rtl w:val="0"/>
          <w:lang w:val="en-US"/>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suppressAutoHyphens w:val="1"/>
      </w:pPr>
      <w:r>
        <w:rPr>
          <w:rStyle w:val="None"/>
          <w:b w:val="1"/>
          <w:bCs w:val="1"/>
          <w:i w:val="1"/>
          <w:iCs w:val="1"/>
          <w:rtl w:val="0"/>
          <w:lang w:val="en-US"/>
        </w:rPr>
        <w:t>Ordnance Explosive Safety Support</w:t>
      </w:r>
      <w:r>
        <w:rPr>
          <w:rtl w:val="0"/>
          <w:lang w:val="en-US"/>
        </w:rPr>
        <w:t>: An explosives safety submission (ESS) is not required.</w:t>
      </w:r>
    </w:p>
    <w:p>
      <w:pPr>
        <w:pStyle w:val="Body C"/>
        <w:suppressAutoHyphens w:val="1"/>
      </w:pPr>
      <w:r>
        <w:rPr>
          <w:rStyle w:val="None"/>
          <w:b w:val="1"/>
          <w:bCs w:val="1"/>
          <w:i w:val="1"/>
          <w:iCs w:val="1"/>
          <w:rtl w:val="0"/>
          <w:lang w:val="en-US"/>
        </w:rPr>
        <w:t>Reporting</w:t>
      </w:r>
      <w:r>
        <w:rPr>
          <w:rtl w:val="0"/>
          <w:lang w:val="en-US"/>
        </w:rPr>
        <w:t>: All Phase will submit a status report via e-mail every week to the Government Project Manager by close of business on the first working day of each week. We will submit a monthly Progress Report not later than the tenth day of the month.</w:t>
      </w:r>
    </w:p>
    <w:p>
      <w:pPr>
        <w:pStyle w:val="Body C"/>
        <w:suppressAutoHyphens w:val="1"/>
      </w:pPr>
      <w:r>
        <w:rPr>
          <w:rStyle w:val="None"/>
          <w:b w:val="1"/>
          <w:bCs w:val="1"/>
          <w:i w:val="1"/>
          <w:iCs w:val="1"/>
          <w:rtl w:val="0"/>
          <w:lang w:val="en-US"/>
        </w:rPr>
        <w:t>Close-out</w:t>
      </w:r>
      <w:r>
        <w:rPr>
          <w:rtl w:val="0"/>
          <w:lang w:val="en-US"/>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C"/>
        <w:suppressAutoHyphens w:val="1"/>
      </w:pPr>
      <w:r>
        <w:rPr>
          <w:rStyle w:val="None"/>
          <w:b w:val="1"/>
          <w:bCs w:val="1"/>
          <w:i w:val="1"/>
          <w:iCs w:val="1"/>
          <w:rtl w:val="0"/>
          <w:lang w:val="en-US"/>
        </w:rPr>
        <w:t>Execution</w:t>
      </w:r>
      <w:r>
        <w:rPr>
          <w:rtl w:val="0"/>
          <w:lang w:val="en-US"/>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suppressAutoHyphens w:val="1"/>
      </w:pPr>
      <w:r>
        <w:rPr>
          <w:rtl w:val="0"/>
          <w:lang w:val="en-US"/>
        </w:rPr>
        <w:t>Our Quality Control Manager (QCM) will perform a walk-through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suppressAutoHyphens w:val="1"/>
      </w:pPr>
      <w:r>
        <w:rPr>
          <w:rtl w:val="0"/>
          <w:lang w:val="en-US"/>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8" w:id="9"/>
      <w:r>
        <w:rPr>
          <w:rtl w:val="0"/>
          <w:lang w:val="en-US"/>
        </w:rPr>
        <w:t>Preliminary Schedule</w:t>
      </w:r>
      <w:bookmarkEnd w:id="9"/>
    </w:p>
    <w:p>
      <w:pPr>
        <w:pStyle w:val="Body C"/>
        <w:suppressAutoHyphens w:val="1"/>
      </w:pPr>
      <w:r>
        <w:rPr>
          <w:rtl w:val="0"/>
          <w:lang w:val="en-US"/>
        </w:rPr>
        <w:t>In the attached appendix, we attach our work schedule in the form of a Gantt Chart. The schedule is broken down into four main work phases: (1) Start-up + Mobilization; (2) Hazmat Abatement + Salvage + Demolition, (3) Site Restoration + Demobilization; and (4) Project Close-out.</w:t>
      </w:r>
    </w:p>
    <w:p>
      <w:pPr>
        <w:pStyle w:val="Body C"/>
        <w:suppressAutoHyphens w:val="1"/>
      </w:pPr>
      <w:r>
        <w:rPr>
          <w:rtl w:val="0"/>
          <w:lang w:val="en-US"/>
        </w:rPr>
        <w:t>As described previously, All Phase will execute the project using an abatement crew consisting of a Supervisor overseeing laborers. The demolition crew will consist of a Supervisor plus operators and laborers. There is no stated order of priority in the SOW. Following the project startup phase, the base bid structures targeted will be systematically abated and demolished in the order shown in the schedule.</w:t>
      </w:r>
    </w:p>
    <w:p>
      <w:pPr>
        <w:pStyle w:val="Heading 2"/>
        <w:suppressAutoHyphens w:val="1"/>
      </w:pPr>
      <w:bookmarkStart w:name="_Toc9" w:id="10"/>
      <w:r>
        <w:rPr>
          <w:rtl w:val="0"/>
          <w:lang w:val="en-US"/>
        </w:rPr>
        <w:t>Change Orders</w:t>
      </w:r>
      <w:bookmarkEnd w:id="10"/>
    </w:p>
    <w:p>
      <w:pPr>
        <w:pStyle w:val="Body C"/>
        <w:suppressAutoHyphens w:val="1"/>
      </w:pPr>
      <w:r>
        <w:rPr>
          <w:rtl w:val="0"/>
          <w:lang w:val="en-US"/>
        </w:rPr>
        <w:t>By closely reviewing the master schedule on a weekly basis, All Phase will anticipate impacts caused by owner changes, unforeseen site conditions, weather, etc. We can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suppressAutoHyphens w:val="1"/>
      </w:pPr>
      <w:r>
        <w:rPr>
          <w:rStyle w:val="None"/>
          <w:b w:val="1"/>
          <w:bCs w:val="1"/>
          <w:i w:val="1"/>
          <w:iCs w:val="1"/>
          <w:rtl w:val="0"/>
          <w:lang w:val="en-US"/>
        </w:rPr>
        <w:t>Unforeseen Conditions and Change Orders</w:t>
      </w:r>
      <w:r>
        <w:rPr>
          <w:rtl w:val="0"/>
          <w:lang w:val="en-US"/>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if discovered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C"/>
        <w:suppressAutoHyphens w:val="1"/>
      </w:pPr>
      <w:r>
        <w:rPr>
          <w:rtl w:val="0"/>
          <w:lang w:val="en-US"/>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lang w:val="en-US"/>
        </w:rPr>
        <w:t>s most accurate price estimate for the Change Order. Based on our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0" w:id="11"/>
      <w:r>
        <w:rPr>
          <w:rtl w:val="0"/>
          <w:lang w:val="en-US"/>
        </w:rPr>
        <w:t>4. Demolition Approach</w:t>
      </w:r>
      <w:bookmarkEnd w:id="11"/>
    </w:p>
    <w:p>
      <w:pPr>
        <w:pStyle w:val="Body C"/>
        <w:suppressAutoHyphens w:val="1"/>
      </w:pPr>
      <w:r>
        <w:rPr>
          <w:rtl w:val="0"/>
          <w:lang w:val="en-US"/>
        </w:rPr>
        <w:t>For the demolition of the buildings go smoothly, we will draft a Project Management Plan (PMP) for the government</w:t>
      </w:r>
      <w:r>
        <w:rPr>
          <w:rStyle w:val="None"/>
          <w:rFonts w:ascii="Arial Unicode MS" w:hAnsi="Arial Unicode MS" w:hint="default"/>
          <w:rtl w:val="0"/>
          <w:lang w:val="en-US"/>
        </w:rPr>
        <w:t>’</w:t>
      </w:r>
      <w:r>
        <w:rPr>
          <w:rtl w:val="0"/>
          <w:lang w:val="en-US"/>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Heading 2"/>
        <w:suppressAutoHyphens w:val="1"/>
      </w:pPr>
      <w:bookmarkStart w:name="_Toc11" w:id="12"/>
      <w:r>
        <w:rPr>
          <w:rtl w:val="0"/>
          <w:lang w:val="en-US"/>
        </w:rPr>
        <w:t>Task Order-Specific Approach</w:t>
      </w:r>
      <w:bookmarkEnd w:id="12"/>
    </w:p>
    <w:p>
      <w:pPr>
        <w:pStyle w:val="Body C"/>
        <w:suppressAutoHyphens w:val="1"/>
      </w:pPr>
      <w:r>
        <w:rPr>
          <w:rStyle w:val="None"/>
          <w:rtl w:val="0"/>
          <w:lang w:val="en-US"/>
        </w:rPr>
        <w:t xml:space="preserve">We distinguish each of the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and indicate how difficult we anticipate the required effort will be (Table 4).</w:t>
      </w:r>
    </w:p>
    <w:p>
      <w:pPr>
        <w:pStyle w:val="Body C"/>
        <w:suppressAutoHyphens w:val="1"/>
      </w:pPr>
      <w:r>
        <w:rPr>
          <w:rtl w:val="0"/>
          <w:lang w:val="en-US"/>
        </w:rPr>
        <w:t>Prior to beginning work, All Phase will submit a site-specific demolition plan, drawings, and specifications for the execution of this project. Submit the documents four (4) weeks prior to start of work. The demolition activities for Building 378 will be performed in accordance with the submitted and approved documents. There are twenty-two (22) fluorescent lighting fixtures with ballasts and lamps that are to be removed. Building walls have been confirmed to not have lead-based paint. All Phase will coordinate and acquire a free zone and airfield Waiver. All Phase will be responsible for controlling access to the site and for always maintaining a secure site.</w:t>
      </w:r>
    </w:p>
    <w:p>
      <w:pPr>
        <w:pStyle w:val="Body C"/>
        <w:suppressAutoHyphens w:val="1"/>
      </w:pPr>
      <w:r>
        <w:rPr>
          <w:rtl w:val="0"/>
          <w:lang w:val="en-US"/>
        </w:rPr>
        <w:t>All Phase will submit an Entry Authority List (EAL) of all personnel working for our firm, including our sub-contractors. The EAL will be updated every time an employee is no longer on the project or when a new employee is assigned to the project. The EAL must be vetted and approved by security forces before any worker is allowed on site. An entry control point (ECP) will be established to control traffic in and out of the site, this should be discussed in the free zone and airfield waiver.</w:t>
      </w:r>
    </w:p>
    <w:p>
      <w:pPr>
        <w:pStyle w:val="Body C"/>
        <w:suppressAutoHyphens w:val="1"/>
      </w:pPr>
      <w:r>
        <w:rPr>
          <w:rtl w:val="0"/>
          <w:lang w:val="en-US"/>
        </w:rPr>
        <w:t>All Phase will coordinate the FAA Obstruction Evaluation / Airports Airspace Analysis (OE/AAA) and acquire a FAA permit since the building is on an airfield and within restricted air space. Work cannot commence until the FAA permit is obtained at the FAA application web portal. Prior to demolition, All Phase will obtain the Kirtland AFB Form 103 Base Civil Engineer Digging Permit and comply with all guidance provided by Form 103. Prior to demolition, All Phase will coordinate and acquire all necessary additional permits such as: fugitive dust permit and burn permit) to perform this work if required. Once permits are obtained, the permits will be posted on-site.</w:t>
      </w:r>
    </w:p>
    <w:p>
      <w:pPr>
        <w:pStyle w:val="Body C"/>
        <w:suppressAutoHyphens w:val="1"/>
      </w:pPr>
      <w:r>
        <w:rPr>
          <w:rtl w:val="0"/>
          <w:lang w:val="en-US"/>
        </w:rPr>
        <w:t>For this project, All Phase will ensure disconnect all utilities from the current facility to be demoed per the included drawing. During demolition, All Phase will coordinate with KAFB Geospatial to survey the actual location and depth of the utilities before backfilling. All Phase will is responsible for ensuring that all utilities are rendered safe for demolition to occur.</w:t>
      </w:r>
    </w:p>
    <w:p>
      <w:pPr>
        <w:pStyle w:val="Body C"/>
        <w:suppressAutoHyphens w:val="1"/>
      </w:pPr>
      <w:r>
        <w:rPr>
          <w:rtl w:val="0"/>
          <w:lang w:val="en-US"/>
        </w:rPr>
        <w:t>Prior to demolition, All Phase will perform abatement and remediation as required by the ACM/LBP report and dispose of hazardous material in compliance with the KAFB Special Waste Disposal Policy. The report(s) will be included with the package. Construction debris will be taken to an appropriate landfill. All metals, and concrete, will be taken to a recycler. All Phase will perform an architectural/engineering investigation of the facility and surrounding area. Investigate the structure to determine structural hazards and the best way to lay the structure down. The investigation results and design plans for removal of facilities will be submitted prior to any demolition work and stamped by Registered Architect and/or Engineers. All Phase will be to visit the site to determine extent of removal work required to provide demolition plans. All final demolition plans for removal are to be stamped by a Licensed Architect and/or Professional Engineer.</w:t>
      </w:r>
    </w:p>
    <w:p>
      <w:pPr>
        <w:pStyle w:val="Body C"/>
        <w:suppressAutoHyphens w:val="1"/>
      </w:pPr>
      <w:r>
        <w:rPr>
          <w:rtl w:val="0"/>
          <w:lang w:val="en-US"/>
        </w:rPr>
        <w:t>Plans will depict any modifications, additions, revisions to the electrical systems. All final electrical design plans for removal/relocation/demolition will be stamped by a Licensed Electrical Engineer.</w:t>
      </w:r>
    </w:p>
    <w:p>
      <w:pPr>
        <w:pStyle w:val="Body C"/>
        <w:suppressAutoHyphens w:val="1"/>
      </w:pPr>
      <w:r>
        <w:rPr>
          <w:rtl w:val="0"/>
          <w:lang w:val="en-US"/>
        </w:rPr>
        <w:t>In the interest of occupational safety and health, we will perform the work in accordance with EM 385-1-1 Section 23, Demolition, and other applicable sections. All Phase will provide and maintain shoring, bracing, or structural support to preserve stability and prevent unwanted movement or collapse of the structure or equipment.</w:t>
      </w:r>
    </w:p>
    <w:p>
      <w:pPr>
        <w:pStyle w:val="Body C"/>
        <w:suppressAutoHyphens w:val="1"/>
      </w:pPr>
      <w:r>
        <w:rPr>
          <w:rStyle w:val="None"/>
          <w:b w:val="1"/>
          <w:bCs w:val="1"/>
          <w:i w:val="1"/>
          <w:iCs w:val="1"/>
          <w:rtl w:val="0"/>
          <w:lang w:val="en-US"/>
        </w:rPr>
        <w:t>Flight Line</w:t>
      </w:r>
      <w:r>
        <w:rPr>
          <w:rtl w:val="0"/>
          <w:lang w:val="en-US"/>
        </w:rPr>
        <w:t xml:space="preserve"> — </w:t>
      </w:r>
      <w:r>
        <w:rPr>
          <w:rtl w:val="0"/>
          <w:lang w:val="en-US"/>
        </w:rPr>
        <w:t xml:space="preserve">Since the building is within the flight line, All Phase will clean and clear the site during the workday, and at the end of each workday to prevent foreign object damage (FOD) from entering the flight line, </w:t>
      </w:r>
      <w:r>
        <w:rPr>
          <w:rStyle w:val="None"/>
          <w:b w:val="1"/>
          <w:bCs w:val="1"/>
          <w:i w:val="1"/>
          <w:iCs w:val="1"/>
          <w:rtl w:val="0"/>
          <w:lang w:val="en-US"/>
        </w:rPr>
        <w:t>no</w:t>
      </w:r>
      <w:r>
        <w:rPr>
          <w:rStyle w:val="None"/>
          <w:b w:val="1"/>
          <w:bCs w:val="1"/>
          <w:rtl w:val="0"/>
          <w:lang w:val="en-US"/>
        </w:rPr>
        <w:t xml:space="preserve"> </w:t>
      </w:r>
      <w:r>
        <w:rPr>
          <w:rStyle w:val="None"/>
          <w:b w:val="1"/>
          <w:bCs w:val="1"/>
          <w:i w:val="1"/>
          <w:iCs w:val="1"/>
          <w:rtl w:val="0"/>
          <w:lang w:val="en-US"/>
        </w:rPr>
        <w:t>exceptions</w:t>
      </w:r>
      <w:r>
        <w:rPr>
          <w:rtl w:val="0"/>
          <w:lang w:val="en-US"/>
        </w:rPr>
        <w:t>. We will erect temporary fencing, min. 7 feet high with barb wire on top. Locate the fencing on the east and south sides of the construction site separating the site from the airfield. Maintain the fence for the duration of the project.</w:t>
      </w:r>
    </w:p>
    <w:p>
      <w:pPr>
        <w:pStyle w:val="Body C"/>
        <w:suppressAutoHyphens w:val="1"/>
      </w:pPr>
      <w:r>
        <w:rPr>
          <w:rtl w:val="0"/>
          <w:lang w:val="en-US"/>
        </w:rPr>
        <w:t>Excavated material, i.e., soil found natural and uncontaminated, will be placed back in the excavated area. Cutting and removal of asphalt, concrete, concrete pipe, etc. will be required to be taken to an off-base landfill. Construction debris will be taken to an appropriate landfill. All metals, and concrete, will be taken to a recycler.</w:t>
      </w:r>
    </w:p>
    <w:p>
      <w:pPr>
        <w:pStyle w:val="Body C"/>
        <w:suppressAutoHyphens w:val="1"/>
      </w:pPr>
      <w:r>
        <w:rPr>
          <w:rtl w:val="0"/>
          <w:lang w:val="en-US"/>
        </w:rPr>
        <w:t>All demolition work will follow the demolition plans and specifications. Completely demolish the paint booth, PEMB structure and concrete floor slab and foundation. Completely demolish the CMU walls, roof structure and concrete floor of the compressor building.</w:t>
      </w:r>
    </w:p>
    <w:p>
      <w:pPr>
        <w:pStyle w:val="Body C"/>
        <w:suppressAutoHyphens w:val="1"/>
      </w:pPr>
      <w:r>
        <w:rPr>
          <w:rtl w:val="0"/>
          <w:lang w:val="en-US"/>
        </w:rPr>
        <w:t>Two sections of fence will be removed, starting from the SW corner of the PEMB running west for approximately 33 feet that includes a pair of gates and the second section of fence to be removed is from the NW corner of the PEMB running north for approximately 7 feet. A raised concrete slab on the west side of the PEMB used as the base for the ground mounted heating unit will be removed. Any concrete pavement damaged by the demolition process will be replaced.</w:t>
      </w:r>
    </w:p>
    <w:p>
      <w:pPr>
        <w:pStyle w:val="Body C"/>
        <w:suppressAutoHyphens w:val="1"/>
      </w:pPr>
      <w:r>
        <w:rPr>
          <w:rtl w:val="0"/>
          <w:lang w:val="en-US"/>
        </w:rPr>
        <w:t>We will completely remove all mechanical and plumbing systems within Building 378 in their entirety. The mechanical systems to be removed include the systems indicated under 1.2.3, 1.2.4 and 1.2.5 of the SOW. All electrical and special systems within Building 378, will be removed in their entirety back to their service points. A concrete utility vault on the northeast side of the building will be left undamaged. An H-20 lid will be supplied by All Phase will to cover the vault for future traffic.</w:t>
      </w:r>
    </w:p>
    <w:p>
      <w:pPr>
        <w:pStyle w:val="Body C"/>
        <w:suppressAutoHyphens w:val="1"/>
      </w:pPr>
      <w:r>
        <w:rPr>
          <w:rStyle w:val="None"/>
          <w:b w:val="1"/>
          <w:bCs w:val="1"/>
          <w:i w:val="1"/>
          <w:iCs w:val="1"/>
          <w:rtl w:val="0"/>
          <w:lang w:val="fr-FR"/>
        </w:rPr>
        <w:t>Communication Lines</w:t>
      </w:r>
      <w:r>
        <w:rPr>
          <w:rStyle w:val="None"/>
          <w:rtl w:val="0"/>
          <w:lang w:val="fr-FR"/>
        </w:rPr>
        <w:t xml:space="preserve"> </w:t>
      </w:r>
      <w:r>
        <w:rPr>
          <w:rStyle w:val="None"/>
          <w:rtl w:val="0"/>
          <w:lang w:val="en-US"/>
        </w:rPr>
        <w:t xml:space="preserve">– </w:t>
      </w:r>
      <w:r>
        <w:rPr>
          <w:rStyle w:val="None"/>
          <w:rtl w:val="0"/>
          <w:lang w:val="en-US"/>
        </w:rPr>
        <w:t>Bldg. 378 cable count is CA 103 2426 2431. This 6 pair cable will be exposed and clear capped. The cable conductors will be spliced into 25 pair splice modular connector and incased in a splice case. Once the splice case is buried provide Geospatial coordinates to be able to locate it later. This effort will be coordinated with KAFB Communications.</w:t>
      </w:r>
    </w:p>
    <w:p>
      <w:pPr>
        <w:pStyle w:val="Body C"/>
        <w:suppressAutoHyphens w:val="1"/>
      </w:pPr>
      <w:r>
        <w:rPr>
          <w:rtl w:val="0"/>
          <w:lang w:val="en-US"/>
        </w:rPr>
        <w:t>At completion of demolition work All Phase will compact the soil to 95% compaction flush with the surrounding pavement in the area left exposed by demolition efforts.</w:t>
      </w:r>
    </w:p>
    <w:p>
      <w:pPr>
        <w:pStyle w:val="Heading 2"/>
        <w:pageBreakBefore w:val="1"/>
        <w:suppressAutoHyphens w:val="1"/>
      </w:pPr>
      <w:bookmarkStart w:name="_Toc12" w:id="13"/>
      <w:r>
        <w:rPr>
          <w:rtl w:val="0"/>
          <w:lang w:val="en-US"/>
        </w:rPr>
        <w:t>Table 4. Demolition Structure Types and Projected Difficulty Per Location</w:t>
      </w:r>
      <w:bookmarkEnd w:id="13"/>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r>
        <w:rPr>
          <w:rtl w:val="0"/>
          <w:lang w:val="en-US"/>
        </w:rPr>
        <w:t>Building 378 is a vacant, single story pre-engineered metal building (PEMB) on a thickened edge concrete slab that houses one large spray booth. The building was constructed in 1964. It is approximately 1,270 square feet. The building eave height is at 20</w:t>
      </w:r>
      <w:r>
        <w:rPr>
          <w:rStyle w:val="None"/>
          <w:rFonts w:ascii="Arial Unicode MS" w:hAnsi="Arial Unicode MS" w:hint="default"/>
          <w:rtl w:val="0"/>
          <w:lang w:val="en-US"/>
        </w:rPr>
        <w:t xml:space="preserve">’ </w:t>
      </w:r>
      <w:r>
        <w:rPr>
          <w:rtl w:val="0"/>
          <w:lang w:val="en-US"/>
        </w:rPr>
        <w:t>-6</w:t>
      </w:r>
      <w:r>
        <w:rPr>
          <w:rtl w:val="0"/>
          <w:lang w:val="en-US"/>
        </w:rPr>
        <w:t>”</w:t>
      </w:r>
      <w:r>
        <w:rPr>
          <w:rtl w:val="0"/>
          <w:lang w:val="en-US"/>
        </w:rPr>
        <w:t xml:space="preserve">. The interior paint booth is approx. 416 square feet and approx. 14 feet high. The building and paint booth are abandoned and deteriorated. </w:t>
      </w:r>
    </w:p>
    <w:p>
      <w:pPr>
        <w:pStyle w:val="Body C"/>
        <w:suppressAutoHyphens w:val="1"/>
      </w:pPr>
      <w:r>
        <w:rPr>
          <w:rtl w:val="0"/>
          <w:lang w:val="en-US"/>
        </w:rPr>
        <w:t xml:space="preserve">An existing lean-too addition, containing a compressor is located on the east side of the PEMB. The addition is constructed of CMU (concrete masonry unit) walls, metal joist, metal deck roof structure and is BUR (built up roof) membrane. The lean-too addition is approx. 70 SF (square feet) and is 8 feet AFF (above finished floor). The existing compressor serves the adjacent B377 building and will be relocated prior to demolition. </w:t>
      </w:r>
    </w:p>
    <w:p>
      <w:pPr>
        <w:pStyle w:val="Body C"/>
        <w:suppressAutoHyphens w:val="1"/>
      </w:pPr>
      <w:r>
        <w:rPr>
          <w:rtl w:val="0"/>
          <w:lang w:val="en-US"/>
        </w:rPr>
        <w:t>All of the work can be accomplished using an 80K# class excavator with various attachments and skid steers. Little hand work will be required. None of these demolition tasks should prove unusual or difficult.</w:t>
      </w:r>
    </w:p>
    <w:p>
      <w:pPr>
        <w:pStyle w:val="Body C"/>
        <w:suppressAutoHyphens w:val="1"/>
      </w:pPr>
      <w:r>
        <w:rPr>
          <w:rStyle w:val="None"/>
          <w:b w:val="1"/>
          <w:bCs w:val="1"/>
          <w:i w:val="1"/>
          <w:iCs w:val="1"/>
          <w:rtl w:val="0"/>
          <w:lang w:val="en-US"/>
        </w:rPr>
        <w:t>Manpower and Equipment</w:t>
      </w:r>
      <w:r>
        <w:rPr>
          <w:rtl w:val="0"/>
          <w:lang w:val="en-US"/>
        </w:rPr>
        <w:t>: Effort required to salvage and recycle usable materials and demolish and restore the site is summarized in Table 5.</w:t>
      </w:r>
    </w:p>
    <w:p>
      <w:pPr>
        <w:pStyle w:val="Body C"/>
        <w:suppressAutoHyphens w:val="1"/>
      </w:pPr>
      <w:r>
        <w:rPr>
          <w:rtl w:val="0"/>
          <w:lang w:val="en-US"/>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an 80K# class demolition excavator, skid steers, and various trucks.</w:t>
      </w:r>
    </w:p>
    <w:p>
      <w:pPr>
        <w:pStyle w:val="Heading 2"/>
        <w:suppressAutoHyphens w:val="1"/>
      </w:pPr>
      <w:bookmarkStart w:name="_Toc13" w:id="14"/>
      <w:r>
        <w:rPr>
          <w:rtl w:val="0"/>
          <w:lang w:val="en-US"/>
        </w:rPr>
        <w:t>Table 5. Manpower and Major Equipment Needed</w:t>
      </w:r>
      <w:bookmarkEnd w:id="14"/>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Heading"/>
        <w:suppressAutoHyphens w:val="1"/>
      </w:pPr>
      <w:bookmarkStart w:name="_Toc14" w:id="15"/>
      <w:r>
        <w:rPr>
          <w:rtl w:val="0"/>
          <w:lang w:val="en-US"/>
        </w:rPr>
        <w:t>5. Debris Handling, Waste Diversion, Recycling</w:t>
      </w:r>
      <w:bookmarkEnd w:id="15"/>
    </w:p>
    <w:p>
      <w:pPr>
        <w:pStyle w:val="Body C"/>
        <w:suppressAutoHyphens w:val="1"/>
      </w:pPr>
      <w:r>
        <w:rPr>
          <w:rtl w:val="0"/>
          <w:lang w:val="en-US"/>
        </w:rPr>
        <w:t>All Phase is fastidious in its implementation of the 3R</w:t>
      </w:r>
      <w:r>
        <w:rPr>
          <w:rStyle w:val="None"/>
          <w:rFonts w:ascii="Arial Unicode MS" w:hAnsi="Arial Unicode MS" w:hint="default"/>
          <w:rtl w:val="0"/>
          <w:lang w:val="en-US"/>
        </w:rPr>
        <w:t>’</w:t>
      </w:r>
      <w:r>
        <w:rPr>
          <w:rtl w:val="0"/>
          <w:lang w:val="en-US"/>
        </w:rPr>
        <w:t>s:</w:t>
      </w:r>
    </w:p>
    <w:p>
      <w:pPr>
        <w:pStyle w:val="Body C"/>
        <w:suppressAutoHyphens w:val="1"/>
      </w:pPr>
      <w:r>
        <w:rPr>
          <w:rtl w:val="0"/>
          <w:lang w:val="en-US"/>
        </w:rPr>
        <w:t xml:space="preserve">• </w:t>
      </w:r>
      <w:r>
        <w:rPr>
          <w:rtl w:val="0"/>
          <w:lang w:val="en-US"/>
        </w:rPr>
        <w:t>REDUCE: Make every effort to minimize the amount of waste generated</w:t>
      </w:r>
    </w:p>
    <w:p>
      <w:pPr>
        <w:pStyle w:val="Body C"/>
        <w:suppressAutoHyphens w:val="1"/>
      </w:pPr>
      <w:r>
        <w:rPr>
          <w:rtl w:val="0"/>
          <w:lang w:val="en-US"/>
        </w:rPr>
        <w:t xml:space="preserve">• </w:t>
      </w:r>
      <w:r>
        <w:rPr>
          <w:rtl w:val="0"/>
          <w:lang w:val="en-US"/>
        </w:rPr>
        <w:t>REUSE: Segregate items that can potentially be reused</w:t>
      </w:r>
    </w:p>
    <w:p>
      <w:pPr>
        <w:pStyle w:val="Body C"/>
        <w:suppressAutoHyphens w:val="1"/>
      </w:pPr>
      <w:r>
        <w:rPr>
          <w:rtl w:val="0"/>
          <w:lang w:val="en-US"/>
        </w:rPr>
        <w:t xml:space="preserve">• </w:t>
      </w:r>
      <w:r>
        <w:rPr>
          <w:rtl w:val="0"/>
          <w:lang w:val="en-US"/>
        </w:rPr>
        <w:t>RECYCLE: Segregate recyclable items and place them in appropriate containers</w:t>
      </w:r>
    </w:p>
    <w:p>
      <w:pPr>
        <w:pStyle w:val="Heading 2"/>
        <w:suppressAutoHyphens w:val="1"/>
      </w:pPr>
      <w:bookmarkStart w:name="_Toc15" w:id="16"/>
      <w:r>
        <w:rPr>
          <w:rtl w:val="0"/>
        </w:rPr>
        <w:t>Debris Handling</w:t>
      </w:r>
      <w:bookmarkEnd w:id="16"/>
    </w:p>
    <w:p>
      <w:pPr>
        <w:pStyle w:val="Body C"/>
        <w:suppressAutoHyphens w:val="1"/>
      </w:pPr>
      <w:r>
        <w:rPr>
          <w:rtl w:val="0"/>
          <w:lang w:val="en-US"/>
        </w:rPr>
        <w:t>We will comply with the requirement to provide a waste management and diversion plan as required by the SOW. All concrete, brick, and masonry will be separated from the C&amp;D debris. Disposal will be a last resort only when recycling is not economically practical. All abatement and demolition materials will be exported off site to an appropriate waste management landfill (C&amp;D + ACM).</w:t>
      </w:r>
    </w:p>
    <w:p>
      <w:pPr>
        <w:pStyle w:val="Body C"/>
        <w:suppressAutoHyphens w:val="1"/>
      </w:pPr>
      <w:r>
        <w:rPr>
          <w:rtl w:val="0"/>
          <w:lang w:val="en-US"/>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pPr>
      <w:bookmarkStart w:name="_Toc16" w:id="17"/>
      <w:r>
        <w:rPr>
          <w:rtl w:val="0"/>
          <w:lang w:val="en-US"/>
        </w:rPr>
        <w:t>Waste Diversion and Recycling</w:t>
      </w:r>
      <w:bookmarkEnd w:id="17"/>
    </w:p>
    <w:p>
      <w:pPr>
        <w:pStyle w:val="Body C"/>
        <w:suppressAutoHyphens w:val="1"/>
      </w:pPr>
      <w:r>
        <w:rPr>
          <w:rtl w:val="0"/>
          <w:lang w:val="en-US"/>
        </w:rPr>
        <w:t>All Phase</w:t>
      </w:r>
      <w:r>
        <w:rPr>
          <w:rStyle w:val="None"/>
          <w:rFonts w:ascii="Arial Unicode MS" w:hAnsi="Arial Unicode MS" w:hint="default"/>
          <w:rtl w:val="0"/>
          <w:lang w:val="en-US"/>
        </w:rPr>
        <w:t>’</w:t>
      </w:r>
      <w:r>
        <w:rPr>
          <w:rtl w:val="0"/>
          <w:lang w:val="en-US"/>
        </w:rPr>
        <w:t>s intent is to maximize the economic recycling of materials. This maximizes our return on scrap value and minimizes the waste stream of materials that will go to landfill.</w:t>
      </w:r>
    </w:p>
    <w:p>
      <w:pPr>
        <w:pStyle w:val="Body C"/>
        <w:suppressAutoHyphens w:val="1"/>
      </w:pPr>
      <w:r>
        <w:rPr>
          <w:rtl w:val="0"/>
          <w:lang w:val="en-US"/>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suppressAutoHyphens w:val="1"/>
      </w:pPr>
      <w:r>
        <w:rPr>
          <w:rtl w:val="0"/>
          <w:lang w:val="en-US"/>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Heading 2"/>
        <w:suppressAutoHyphens w:val="1"/>
      </w:pPr>
      <w:bookmarkStart w:name="_Toc17" w:id="18"/>
      <w:r>
        <w:rPr>
          <w:rtl w:val="0"/>
          <w:lang w:val="en-US"/>
        </w:rPr>
        <w:t>Table 6. Demolition Waste Recycling and Salvage</w:t>
      </w:r>
      <w:bookmarkEnd w:id="18"/>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Heading"/>
        <w:suppressAutoHyphens w:val="1"/>
      </w:pPr>
      <w:bookmarkStart w:name="_Toc18" w:id="19"/>
      <w:r>
        <w:rPr>
          <w:rtl w:val="0"/>
          <w:lang w:val="en-US"/>
        </w:rPr>
        <w:t>6. Site Security and Safety Approach</w:t>
      </w:r>
      <w:bookmarkEnd w:id="19"/>
    </w:p>
    <w:p>
      <w:pPr>
        <w:pStyle w:val="Body C"/>
        <w:suppressAutoHyphens w:val="1"/>
      </w:pPr>
      <w:r>
        <w:rPr>
          <w:rtl w:val="0"/>
          <w:lang w:val="en-US"/>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conduct an initial site security assessment to verify the conditions as laid out in the RFP. </w:t>
      </w:r>
    </w:p>
    <w:p>
      <w:pPr>
        <w:pStyle w:val="Heading 2"/>
        <w:suppressAutoHyphens w:val="1"/>
      </w:pPr>
      <w:bookmarkStart w:name="_Toc19" w:id="20"/>
      <w:r>
        <w:rPr>
          <w:rtl w:val="0"/>
          <w:lang w:val="en-US"/>
        </w:rPr>
        <w:t>Site Security</w:t>
      </w:r>
      <w:bookmarkEnd w:id="20"/>
    </w:p>
    <w:p>
      <w:pPr>
        <w:pStyle w:val="Body C"/>
        <w:suppressAutoHyphens w:val="1"/>
      </w:pPr>
      <w:r>
        <w:rPr>
          <w:rtl w:val="0"/>
          <w:lang w:val="en-US"/>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suppressAutoHyphens w:val="1"/>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suppressAutoHyphens w:val="1"/>
      </w:pPr>
      <w:r>
        <w:rPr>
          <w:rtl w:val="0"/>
          <w:lang w:val="en-US"/>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0" w:id="21"/>
      <w:r>
        <w:rPr>
          <w:rtl w:val="0"/>
          <w:lang w:val="en-US"/>
        </w:rPr>
        <w:t>Safety Approach</w:t>
      </w:r>
      <w:bookmarkEnd w:id="21"/>
    </w:p>
    <w:p>
      <w:pPr>
        <w:pStyle w:val="Body C"/>
        <w:suppressAutoHyphens w:val="1"/>
      </w:pPr>
      <w:r>
        <w:rPr>
          <w:rtl w:val="0"/>
          <w:lang w:val="en-US"/>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suppressAutoHyphens w:val="1"/>
      </w:pPr>
      <w:r>
        <w:rPr>
          <w:rStyle w:val="None"/>
          <w:rtl w:val="0"/>
          <w:lang w:val="en-US"/>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each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p>
      <w:pPr>
        <w:pStyle w:val="Heading 2"/>
        <w:keepNext w:val="0"/>
        <w:widowControl w:val="0"/>
        <w:suppressAutoHyphens w:val="1"/>
      </w:pPr>
      <w:bookmarkStart w:name="_Toc21" w:id="22"/>
      <w:r>
        <w:rPr>
          <w:rtl w:val="0"/>
          <w:lang w:val="en-US"/>
        </w:rPr>
        <w:t>Table 7. Preliminary Activity Hazard Analysis</w:t>
      </w:r>
      <w:bookmarkEnd w:id="22"/>
    </w:p>
    <w:tbl>
      <w:tblPr>
        <w:tblW w:w="9241"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22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daily.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near machines or using other equipment that creates a noise hazard.</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 All equipment will be equipped with backup alarms. Drivers will always keep all workers on foot in sight, if you lose sight of someone, Stop!</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Heading 2"/>
        <w:keepNext w:val="0"/>
        <w:widowControl w:val="0"/>
        <w:suppressAutoHyphens w:val="1"/>
        <w:ind w:left="216" w:hanging="216"/>
      </w:pPr>
    </w:p>
    <w:p>
      <w:pPr>
        <w:pStyle w:val="Body C"/>
        <w:widowControl w:val="0"/>
        <w:suppressAutoHyphens w:val="1"/>
        <w:spacing w:line="240" w:lineRule="auto"/>
        <w:ind w:left="108" w:hanging="108"/>
      </w:pPr>
    </w:p>
    <w:p>
      <w:pPr>
        <w:pStyle w:val="Body A"/>
      </w:pPr>
    </w:p>
    <w:p>
      <w:pPr>
        <w:pStyle w:val="Body C"/>
        <w:suppressAutoHyphens w:val="1"/>
      </w:pPr>
      <w:r>
        <w:rPr>
          <w:rStyle w:val="None"/>
          <w:b w:val="1"/>
          <w:bCs w:val="1"/>
          <w:i w:val="1"/>
          <w:iCs w:val="1"/>
          <w:rtl w:val="0"/>
          <w:lang w:val="en-US"/>
        </w:rPr>
        <w:t>General Site Safety Approach</w:t>
      </w:r>
      <w:r>
        <w:rPr>
          <w:rtl w:val="0"/>
          <w:lang w:val="en-US"/>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Style w:val="None"/>
          <w:rFonts w:ascii="Arial Unicode MS" w:hAnsi="Arial Unicode MS" w:hint="default"/>
          <w:rtl w:val="0"/>
          <w:lang w:val="en-US"/>
        </w:rPr>
        <w:t xml:space="preserve">’ </w:t>
      </w:r>
      <w:r>
        <w:rPr>
          <w:rtl w:val="0"/>
          <w:lang w:val="en-US"/>
        </w:rPr>
        <w:t>medical records, refresher training, EPA Training certificates, fitness tests, and certificate of worker acknowledgements are up to date.</w:t>
      </w:r>
    </w:p>
    <w:p>
      <w:pPr>
        <w:pStyle w:val="Body C"/>
        <w:suppressAutoHyphens w:val="1"/>
      </w:pPr>
      <w:r>
        <w:rPr>
          <w:rtl w:val="0"/>
          <w:lang w:val="en-US"/>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suppressAutoHyphens w:val="1"/>
      </w:pP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w:t>
      </w:r>
      <w:r>
        <w:rPr>
          <w:rStyle w:val="None"/>
          <w:rtl w:val="0"/>
          <w:lang w:val="en-US"/>
        </w:rPr>
        <w:t>for</w:t>
      </w:r>
      <w:r>
        <w:rPr>
          <w:rStyle w:val="None"/>
          <w:rtl w:val="0"/>
          <w:lang w:val="en-US"/>
        </w:rPr>
        <w:t xml:space="preserve"> hazardous materials </w:t>
      </w:r>
      <w:r>
        <w:rPr>
          <w:rStyle w:val="None"/>
          <w:rtl w:val="0"/>
          <w:lang w:val="en-US"/>
        </w:rPr>
        <w:t>handling</w:t>
      </w:r>
      <w:r>
        <w:rPr>
          <w:rStyle w:val="None"/>
          <w:rtl w:val="0"/>
          <w:lang w:val="en-US"/>
        </w:rPr>
        <w:t xml:space="preserve">,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toolbox</w:t>
      </w:r>
      <w:r>
        <w:rPr>
          <w:rStyle w:val="None"/>
          <w:rtl w:val="0"/>
          <w:lang w:val="en-US"/>
        </w:rPr>
        <w:t xml:space="preserve">” </w:t>
      </w:r>
      <w:r>
        <w:rPr>
          <w:rStyle w:val="None"/>
          <w:rtl w:val="0"/>
          <w:lang w:val="en-US"/>
        </w:rPr>
        <w:t>safety meeting each week during which hazards specific to their operation will be discussed.</w:t>
      </w:r>
    </w:p>
    <w:p>
      <w:pPr>
        <w:pStyle w:val="Body C"/>
        <w:suppressAutoHyphens w:val="1"/>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suppressAutoHyphens w:val="1"/>
      </w:pPr>
      <w:r>
        <w:rPr>
          <w:rStyle w:val="None"/>
          <w:b w:val="1"/>
          <w:bCs w:val="1"/>
          <w:i w:val="1"/>
          <w:iCs w:val="1"/>
          <w:rtl w:val="0"/>
          <w:lang w:val="en-US"/>
        </w:rPr>
        <w:t>Safety Inspections</w:t>
      </w:r>
      <w:r>
        <w:rPr>
          <w:rtl w:val="0"/>
          <w:lang w:val="en-US"/>
        </w:rPr>
        <w:t>: The Job-Site Superintendent will make a daily informal safety inspection of work areas and equipment. Any violations will be corrected immediately, or reported to the PM, CO, and COR for necessary action. Compliance in the use of personal protective clothing and equipment is included in the daily inspection.</w:t>
      </w:r>
      <w:r>
        <w:rPr>
          <w:rtl w:val="0"/>
          <w:lang w:val="en-US"/>
        </w:rPr>
        <w:t xml:space="preserve"> </w:t>
      </w:r>
      <w:r>
        <w:rPr>
          <w:rtl w:val="0"/>
          <w:lang w:val="en-US"/>
        </w:rPr>
        <w:t>The SSHO will conduct a formal monthly Safety and Health Survey, to include:</w:t>
      </w:r>
      <w:r>
        <w:rPr>
          <w:rtl w:val="0"/>
          <w:lang w:val="en-US"/>
        </w:rPr>
        <w:t xml:space="preserve"> </w:t>
      </w:r>
      <w:r>
        <w:rPr>
          <w:rtl w:val="0"/>
          <w:lang w:val="en-US"/>
        </w:rPr>
        <w:t>Inspecting, locating, and correcting all unsafe conditions</w:t>
      </w:r>
      <w:r>
        <w:rPr>
          <w:rtl w:val="0"/>
          <w:lang w:val="en-US"/>
        </w:rPr>
        <w:t xml:space="preserve">; and, </w:t>
      </w:r>
      <w:r>
        <w:rPr>
          <w:rtl w:val="0"/>
          <w:lang w:val="en-US"/>
        </w:rPr>
        <w:t>Ensuring that all signs, traffic markings, equipment, machinery, are marked and painted to identify use and hazard. Colors and marking will conform to OSHA regulations.</w:t>
      </w:r>
      <w:r>
        <w:rPr>
          <w:rtl w:val="0"/>
          <w:lang w:val="en-US"/>
        </w:rPr>
        <w:t xml:space="preserve"> </w:t>
      </w:r>
      <w:r>
        <w:rPr>
          <w:rtl w:val="0"/>
          <w:lang w:val="en-US"/>
        </w:rPr>
        <w:t>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suppressAutoHyphens w:val="1"/>
      </w:pPr>
      <w:r>
        <w:rPr>
          <w:rStyle w:val="None"/>
          <w:b w:val="1"/>
          <w:bCs w:val="1"/>
          <w:i w:val="1"/>
          <w:iCs w:val="1"/>
          <w:rtl w:val="0"/>
          <w:lang w:val="en-US"/>
        </w:rPr>
        <w:t>Monitoring</w:t>
      </w:r>
      <w:r>
        <w:rPr>
          <w:rtl w:val="0"/>
          <w:lang w:val="en-US"/>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suppressAutoHyphens w:val="1"/>
      </w:pPr>
      <w:r>
        <w:rPr>
          <w:rStyle w:val="None"/>
          <w:b w:val="1"/>
          <w:bCs w:val="1"/>
          <w:i w:val="1"/>
          <w:iCs w:val="1"/>
          <w:rtl w:val="0"/>
          <w:lang w:val="en-US"/>
        </w:rPr>
        <w:t>Accident Reporting and Record Keeping</w:t>
      </w:r>
      <w:r>
        <w:rPr>
          <w:rtl w:val="0"/>
          <w:lang w:val="en-US"/>
        </w:rPr>
        <w:t>: On the job site, our Job-Site Superintendent will be responsible for recording and reporting all accident exposure and experience, including sub-contractors, incidental to the work. At a minimum, these records will include exposure work</w:t>
      </w:r>
      <w:r>
        <w:rPr>
          <w:rtl w:val="0"/>
          <w:lang w:val="en-US"/>
        </w:rPr>
        <w:t xml:space="preserve"> </w:t>
      </w:r>
      <w:r>
        <w:rPr>
          <w:rtl w:val="0"/>
          <w:lang w:val="en-US"/>
        </w:rPr>
        <w:t>hours and a log of occupational injuries and illnesses in accordance with OSHA and specific agency requirements. All injuries and diagnosed occupational illnesses that result in a lost workday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w:suppressAutoHyphens w:val="1"/>
      </w:pPr>
      <w:bookmarkStart w:name="_Toc22" w:id="23"/>
      <w:r>
        <w:rPr>
          <w:rtl w:val="0"/>
          <w:lang w:val="en-US"/>
        </w:rPr>
        <w:t>7. Site Restoration</w:t>
      </w:r>
      <w:bookmarkEnd w:id="23"/>
    </w:p>
    <w:p>
      <w:pPr>
        <w:pStyle w:val="Body C"/>
        <w:suppressAutoHyphens w:val="1"/>
      </w:pPr>
      <w:r>
        <w:rPr>
          <w:rtl w:val="0"/>
          <w:lang w:val="en-US"/>
        </w:rPr>
        <w:t>Site restoration for the base bid is scheduled to take place in _____. We estimate that ___ CY of backfill will be needed to restore the finished surface as specified in the SOW. We will coordinate with the government to access fill material needed for this project. Fill and topsoil will be imported from a local vendor. Clean 2</w:t>
      </w:r>
      <w:r>
        <w:rPr>
          <w:rtl w:val="0"/>
          <w:lang w:val="en-US"/>
        </w:rPr>
        <w:t xml:space="preserve">” </w:t>
      </w:r>
      <w:r>
        <w:rPr>
          <w:rtl w:val="0"/>
          <w:lang w:val="en-US"/>
        </w:rPr>
        <w:t>minus concrete will be acceptable as fill.</w:t>
      </w:r>
    </w:p>
    <w:p>
      <w:pPr>
        <w:pStyle w:val="Body C"/>
        <w:suppressAutoHyphens w:val="1"/>
      </w:pPr>
      <w:r>
        <w:rPr>
          <w:rtl w:val="0"/>
          <w:lang w:val="en-US"/>
        </w:rPr>
        <w:t>Soils will be blended and graded to match the surrounding area with positive drainage and no ponding of water. Soil erosion blankets will be used on steep grades to always meet government requirements.</w:t>
      </w:r>
    </w:p>
    <w:p>
      <w:pPr>
        <w:pStyle w:val="Heading"/>
        <w:suppressAutoHyphens w:val="1"/>
      </w:pPr>
      <w:bookmarkStart w:name="_Toc23" w:id="24"/>
      <w:r>
        <w:rPr>
          <w:rtl w:val="0"/>
          <w:lang w:val="fr-FR"/>
        </w:rPr>
        <w:t>8. Key Personnel</w:t>
      </w:r>
      <w:bookmarkEnd w:id="24"/>
    </w:p>
    <w:p>
      <w:pPr>
        <w:pStyle w:val="Body C"/>
        <w:suppressAutoHyphens w:val="1"/>
      </w:pPr>
      <w:r>
        <w:rPr>
          <w:rStyle w:val="None"/>
          <w:rtl w:val="0"/>
          <w:lang w:val="en-US"/>
        </w:rPr>
        <w:t>Having scoped this project based on our experience with similar efforts, All Phase is assigning the following Key Personnel, shown in Table 8.</w:t>
      </w:r>
    </w:p>
    <w:p>
      <w:pPr>
        <w:pStyle w:val="Heading 2"/>
        <w:suppressAutoHyphens w:val="1"/>
      </w:pPr>
      <w:bookmarkStart w:name="_Toc24" w:id="25"/>
      <w:r>
        <w:rPr>
          <w:rtl w:val="0"/>
          <w:lang w:val="en-US"/>
        </w:rPr>
        <w:t>Table 8. Key Personnel to be Assigned</w:t>
      </w:r>
      <w:bookmarkEnd w:id="25"/>
    </w:p>
    <w:p>
      <w:pPr>
        <w:pStyle w:val="Body C"/>
        <w:suppressAutoHyphens w:val="1"/>
      </w:pPr>
    </w:p>
    <w:p>
      <w:pPr>
        <w:pStyle w:val="Body C"/>
        <w:suppressAutoHyphens w:val="1"/>
      </w:pPr>
    </w:p>
    <w:p>
      <w:pPr>
        <w:pStyle w:val="Body C"/>
        <w:suppressAutoHyphens w:val="1"/>
      </w:pPr>
    </w:p>
    <w:p>
      <w:pPr>
        <w:pStyle w:val="Body C"/>
        <w:suppressAutoHyphens w:val="1"/>
      </w:pPr>
    </w:p>
    <w:p>
      <w:pPr>
        <w:pStyle w:val="Heading"/>
        <w:pageBreakBefore w:val="1"/>
        <w:suppressAutoHyphens w:val="1"/>
      </w:pPr>
      <w:bookmarkStart w:name="_Toc25" w:id="26"/>
      <w:r>
        <w:rPr>
          <w:rtl w:val="0"/>
          <w:lang w:val="en-US"/>
        </w:rPr>
        <w:t>Appendix - Preliminary Project Schedule</w:t>
      </w:r>
      <w:bookmarkEnd w:id="26"/>
    </w:p>
    <w:p>
      <w:pPr>
        <w:pStyle w:val="Body A"/>
      </w:pPr>
    </w:p>
    <w:p>
      <w:pPr>
        <w:pStyle w:val="Body C"/>
        <w:suppressAutoHyphens w:val="1"/>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8"/>
      <w:footerReference w:type="default" r:id="rId9"/>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 w:author="Tom Termini" w:date="2022-08-26T22:12:00Z">
    <w:p w14:paraId="1111FFFF">
      <w:pPr>
        <w:pStyle w:val="Default"/>
      </w:pPr>
    </w:p>
    <w:p w14:paraId="11120000">
      <w:pPr>
        <w:pStyle w:val="Default"/>
      </w:pPr>
      <w:r>
        <w:rPr>
          <w:rtl w:val="0"/>
        </w:rPr>
        <w:t>NEED VENDOR INFORMATION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23</w:t>
    </w:r>
    <w:r>
      <w:rPr/>
      <w:fldChar w:fldCharType="end" w:fldLock="0"/>
    </w:r>
    <w:r>
      <w:rPr>
        <w:rtl w:val="0"/>
        <w:lang w:val="en-US"/>
      </w:rPr>
      <w:t xml:space="preserve"> of </w:t>
    </w:r>
    <w:r>
      <w:rPr/>
      <w:fldChar w:fldCharType="begin" w:fldLock="0"/>
    </w:r>
    <w:r>
      <w:instrText xml:space="preserve"> NUMPAGES </w:instrText>
    </w:r>
    <w:r>
      <w:rPr/>
      <w:fldChar w:fldCharType="separate" w:fldLock="0"/>
    </w:r>
    <w:r>
      <w:t>23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003887</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PANHES-22-P-0000 003887</w:t>
      <w:tab/>
      <w:tab/>
      <w:tab/>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