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PANHES-22-P-0000 004073</w:t>
      </w:r>
      <w:r>
        <w:rPr>
          <w:b w:val="1"/>
          <w:bCs w:val="1"/>
          <w:sz w:val="28"/>
          <w:szCs w:val="28"/>
          <w:rtl w:val="0"/>
          <w:lang w:val="en-US"/>
        </w:rPr>
        <w:t xml:space="preserve"> - </w:t>
      </w:r>
      <w:r>
        <w:rPr>
          <w:b w:val="1"/>
          <w:bCs w:val="1"/>
          <w:sz w:val="28"/>
          <w:szCs w:val="28"/>
          <w:rtl w:val="0"/>
          <w:lang w:val="en-US"/>
        </w:rPr>
        <w:t xml:space="preserve">South Eastern Region MATOC, </w:t>
      </w:r>
      <w:r>
        <w:rPr>
          <w:b w:val="1"/>
          <w:bCs w:val="1"/>
          <w:sz w:val="28"/>
          <w:szCs w:val="28"/>
        </w:rPr>
        <w:br w:type="textWrapping"/>
      </w:r>
      <w:r>
        <w:rPr>
          <w:b w:val="1"/>
          <w:bCs w:val="1"/>
          <w:sz w:val="28"/>
          <w:szCs w:val="28"/>
          <w:rtl w:val="0"/>
          <w:lang w:val="en-US"/>
        </w:rPr>
        <w:t xml:space="preserve">for abatement and demolition services at </w:t>
      </w:r>
      <w:r>
        <w:rPr>
          <w:b w:val="1"/>
          <w:bCs w:val="1"/>
          <w:sz w:val="28"/>
          <w:szCs w:val="28"/>
        </w:rPr>
        <w:br w:type="textWrapping"/>
      </w:r>
      <w:r>
        <w:rPr>
          <w:b w:val="1"/>
          <w:bCs w:val="1"/>
          <w:sz w:val="28"/>
          <w:szCs w:val="28"/>
          <w:rtl w:val="0"/>
          <w:lang w:val="en-US"/>
        </w:rPr>
        <w:t>Milan AAP</w:t>
      </w:r>
      <w:r>
        <w:rPr>
          <w:b w:val="1"/>
          <w:bCs w:val="1"/>
          <w:sz w:val="28"/>
          <w:szCs w:val="28"/>
          <w:rtl w:val="0"/>
          <w:lang w:val="en-US"/>
        </w:rPr>
        <w:t>,</w:t>
      </w:r>
      <w:r>
        <w:rPr>
          <w:b w:val="1"/>
          <w:bCs w:val="1"/>
          <w:sz w:val="28"/>
          <w:szCs w:val="28"/>
          <w:rtl w:val="0"/>
          <w:lang w:val="en-US"/>
        </w:rPr>
        <w:t xml:space="preserve"> Milan, TN</w:t>
      </w:r>
    </w:p>
    <w:p>
      <w:pPr>
        <w:pStyle w:val="Body A"/>
        <w:jc w:val="center"/>
      </w:pPr>
      <w:r>
        <w:rPr>
          <w:rtl w:val="0"/>
          <w:lang w:val="en-US"/>
        </w:rPr>
        <w:t xml:space="preserve">Submitted on: </w:t>
      </w:r>
      <w:r>
        <w:rPr>
          <w:rtl w:val="0"/>
          <w:lang w:val="en-US"/>
        </w:rPr>
        <w:t>29</w:t>
      </w:r>
      <w:r>
        <w:rPr>
          <w:rtl w:val="0"/>
          <w:lang w:val="en-US"/>
        </w:rPr>
        <w:t>-August-2022 12:00 local time</w:t>
      </w:r>
    </w:p>
    <w:p>
      <w:pPr>
        <w:pStyle w:val="Body A"/>
        <w:jc w:val="center"/>
      </w:pPr>
      <w:r>
        <w:rPr>
          <w:rtl w:val="0"/>
          <w:lang w:val="en-US"/>
        </w:rPr>
        <w:t xml:space="preserve">Submitted to: </w:t>
      </w:r>
      <w:r>
        <w:drawing>
          <wp:anchor distT="0" distB="0" distL="0" distR="0" simplePos="0" relativeHeight="251659264" behindDoc="0" locked="0" layoutInCell="1" allowOverlap="1">
            <wp:simplePos x="0" y="0"/>
            <wp:positionH relativeFrom="page">
              <wp:posOffset>2728911</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_______</w:t>
      </w:r>
      <w:r>
        <w:rPr>
          <w:rtl w:val="0"/>
          <w:lang w:val="en-US"/>
        </w:rPr>
        <w:t xml:space="preserve">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r>
        <w:rPr>
          <w:b w:val="1"/>
          <w:bCs w:val="1"/>
          <w:sz w:val="28"/>
          <w:szCs w:val="28"/>
        </w:rPr>
        <w:br w:type="textWrapping"/>
      </w:r>
    </w:p>
    <w:p>
      <w:pPr>
        <w:pStyle w:val="Body A"/>
        <w:jc w:val="center"/>
        <w:rPr>
          <w:b w:val="1"/>
          <w:bCs w:val="1"/>
        </w:rPr>
      </w:pPr>
      <w:r>
        <w:rPr>
          <w:b w:val="1"/>
          <w:bCs w:val="1"/>
          <w:rtl w:val="0"/>
          <w:lang w:val="en-US"/>
        </w:rPr>
        <w:t>POC Name: Carlos Martins / President</w:t>
      </w:r>
      <w:r>
        <w:rPr>
          <w:b w:val="1"/>
          <w:bCs w:val="1"/>
        </w:rPr>
        <w:br w:type="textWrapping"/>
      </w:r>
      <w:r>
        <w:rPr>
          <w:b w:val="1"/>
          <w:bCs w:val="1"/>
          <w:rtl w:val="0"/>
          <w:lang w:val="en-US"/>
        </w:rPr>
        <w:t>Email:</w:t>
      </w:r>
      <w:r>
        <w:rPr>
          <w:b w:val="1"/>
          <w:bCs w:val="1"/>
          <w:rtl w:val="0"/>
          <w:lang w:val="en-US"/>
        </w:rPr>
        <w:t xml:space="preserve"> </w:t>
      </w:r>
      <w:r>
        <w:rPr>
          <w:b w:val="1"/>
          <w:bCs w:val="1"/>
          <w:rtl w:val="0"/>
          <w:lang w:val="en-US"/>
        </w:rPr>
        <w:t>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jc w:val="center"/>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margin">
                  <wp:posOffset>0</wp:posOffset>
                </wp:positionH>
                <wp:positionV relativeFrom="line">
                  <wp:posOffset>634783</wp:posOffset>
                </wp:positionV>
                <wp:extent cx="5943600" cy="1410098"/>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8"/>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50.0pt;width:468.0pt;height:111.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r>
        <w:br w:type="textWrapping"/>
      </w:r>
    </w:p>
    <w:p>
      <w:pPr>
        <w:pStyle w:val="Body A"/>
      </w:pPr>
      <w:r>
        <w:rPr>
          <w:rtl w:val="0"/>
        </w:rPr>
        <w:t>DD-MM-YYYY</w:t>
      </w:r>
    </w:p>
    <w:p>
      <w:pPr>
        <w:pStyle w:val="Body A"/>
      </w:pPr>
      <w:r>
        <w:rPr>
          <w:rtl w:val="0"/>
        </w:rPr>
        <w:t>To:</w:t>
      </w:r>
      <w:r>
        <w:br w:type="textWrapping"/>
      </w:r>
      <w:r>
        <w:rPr>
          <w:rtl w:val="0"/>
        </w:rPr>
        <w:t>[INSERT CONTACTS]</w:t>
      </w:r>
    </w:p>
    <w:p>
      <w:pPr>
        <w:pStyle w:val="Body A"/>
      </w:pPr>
      <w:r>
        <w:rPr>
          <w:rtl w:val="0"/>
        </w:rPr>
        <w:t>Dear Sir/Madam</w:t>
      </w:r>
      <w:r>
        <w:rPr>
          <w:rtl w:val="0"/>
        </w:rPr>
        <w:t>:</w:t>
      </w:r>
    </w:p>
    <w:p>
      <w:pPr>
        <w:pStyle w:val="Body A"/>
      </w:pPr>
      <w:r>
        <w:rPr>
          <w:rtl w:val="0"/>
        </w:rPr>
        <w:t xml:space="preserve">All Phase Services, Inc. is pleased to submit this proposal in response to the </w:t>
      </w:r>
      <w:r>
        <w:rPr>
          <w:rtl w:val="0"/>
        </w:rPr>
        <w:t>______</w:t>
      </w:r>
      <w:r>
        <w:rPr>
          <w:rtl w:val="0"/>
        </w:rPr>
        <w:t xml:space="preserve">. Our proposal conforms to the instructions and requirements of the solicitation and addresses the Task Order PWS. We acknowledge receipt of associated maps and Site Survey Report, </w:t>
      </w:r>
      <w:r>
        <w:rPr>
          <w:rtl w:val="0"/>
        </w:rPr>
        <w:t xml:space="preserve">and </w:t>
      </w:r>
      <w:r>
        <w:rPr>
          <w:rtl w:val="0"/>
        </w:rPr>
        <w:t xml:space="preserve">Q&amp;As, as well as the RFP, including all amendments up to received </w:t>
      </w:r>
      <w:r>
        <w:rPr>
          <w:rtl w:val="0"/>
        </w:rPr>
        <w:t>_______</w:t>
      </w:r>
      <w:r>
        <w:rPr>
          <w:rtl w:val="0"/>
        </w:rPr>
        <w:t>. All Phase takes no exceptions to the terms, conditions, and provisions contained therein. Furthermore, we make no assumptions within this proposal that are intended to offset any risk onto the Government.</w:t>
        <w:br w:type="textWrapping"/>
      </w:r>
      <w:commentRangeStart w:id="0"/>
    </w:p>
    <w:p>
      <w:pPr>
        <w:pStyle w:val="Body A"/>
      </w:pPr>
      <w:r>
        <w:rPr>
          <w:rtl w:val="0"/>
        </w:rPr>
        <w:t>Our proposed contract</w:t>
      </w:r>
      <w:commentRangeEnd w:id="0"/>
      <w:r>
        <w:commentReference w:id="0"/>
      </w:r>
      <w:r>
        <w:rPr>
          <w:rtl w:val="0"/>
        </w:rPr>
        <w:t xml:space="preserve"> value for the base bid is $___________; we show price breakouts for both demolition and abatement in our cost summary sheets. A cost summary sheet is also included for Options ($_________). We will meet the minimum </w:t>
      </w:r>
      <w:r>
        <w:rPr>
          <w:rtl w:val="0"/>
        </w:rPr>
        <w:t>___</w:t>
      </w:r>
      <w:r>
        <w:rPr>
          <w:rtl w:val="0"/>
        </w:rPr>
        <w:t xml:space="preserve">%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rPr>
        <w:t>/S/</w:t>
      </w:r>
    </w:p>
    <w:p>
      <w:pPr>
        <w:pStyle w:val="Body A"/>
      </w:pPr>
    </w:p>
    <w:p>
      <w:pPr>
        <w:pStyle w:val="Body A"/>
      </w:pPr>
      <w:r>
        <w:rPr>
          <w:rtl w:val="0"/>
        </w:rPr>
        <w:t xml:space="preserve">Eric Newman, Pre-Construction Manager </w:t>
      </w:r>
      <w:r>
        <w:rPr>
          <w:rtl w:val="0"/>
        </w:rPr>
        <w:t xml:space="preserve">– </w:t>
      </w:r>
      <w:r>
        <w:rPr>
          <w:rtl w:val="0"/>
        </w:rPr>
        <w:t>Primary POC</w:t>
      </w:r>
      <w:r>
        <w:br w:type="textWrapping"/>
      </w:r>
      <w:r>
        <w:rPr>
          <w:rtl w:val="0"/>
        </w:rPr>
        <w:t>O: 561.272.0944 | C: 941.302.6562</w:t>
      </w:r>
      <w:r>
        <w:br w:type="textWrapping"/>
      </w:r>
      <w:r>
        <w:rPr>
          <w:rtl w:val="0"/>
        </w:rPr>
        <w:t>Email: Eric.newman@allphase.org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Exhibit: Buildings Being Demolished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1. Hazardous material abatement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2. Hazardous material abatement manpower projection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3. Subcontractors, consultants, vendors, and waste handlers to assist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Abatement and Disposal of Asbestos Containing Material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Preliminary Schedule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Schedule Adjustment for Optional Tasks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_Toc10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Change Orders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_Toc12 \h </w:instrText>
      </w:r>
      <w:r>
        <w:rPr/>
        <w:fldChar w:fldCharType="separate" w:fldLock="0"/>
      </w:r>
      <w:r>
        <w:rPr>
          <w:rFonts w:cs="Arial Unicode MS" w:eastAsia="Arial Unicode MS"/>
          <w:rtl w:val="0"/>
        </w:rPr>
        <w:t>19</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 Order-Specific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_Toc13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4. Demolition Structure Types and Projected Difficulty Per Location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_Toc14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5. Manpower and Major Equipment Needed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Debris Handling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_Toc17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Waste Diversion and Recycling</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_Toc18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6. Demolition Waste Recycling and Salvage Worksheet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_Toc19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_Toc20 \h </w:instrText>
      </w:r>
      <w:r>
        <w:rPr/>
        <w:fldChar w:fldCharType="separate" w:fldLock="0"/>
      </w:r>
      <w:r>
        <w:rPr>
          <w:rFonts w:cs="Arial Unicode MS" w:eastAsia="Arial Unicode MS"/>
          <w:rtl w:val="0"/>
        </w:rPr>
        <w:t>21</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Site Security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_Toc21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Safety Approach</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_Toc22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_Toc24 \h </w:instrText>
      </w:r>
      <w:r>
        <w:rPr/>
        <w:fldChar w:fldCharType="separate" w:fldLock="0"/>
      </w:r>
      <w:r>
        <w:rPr>
          <w:rFonts w:cs="Arial Unicode MS" w:eastAsia="Arial Unicode MS"/>
          <w:rtl w:val="0"/>
        </w:rPr>
        <w:t>26</w:t>
      </w:r>
      <w:r>
        <w:rPr/>
        <w:fldChar w:fldCharType="end" w:fldLock="0"/>
      </w:r>
    </w:p>
    <w:p>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Table 8. Key Personnel to be Assigned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instrText xml:space="preserve"> PAGEREF _Toc25 \h </w:instrTex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separate"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27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p>
      <w:pPr>
        <w:pStyle w:val="TOC 1"/>
      </w:pPr>
      <w:r>
        <w:rPr>
          <w:rFonts w:cs="Arial Unicode MS" w:eastAsia="Arial Unicode MS"/>
          <w:rtl w:val="0"/>
          <w:lang w:val="en-US"/>
        </w:rPr>
        <w:t>9. Site Specific Issues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_Toc27 \h </w:instrText>
      </w:r>
      <w:r>
        <w:rPr/>
        <w:fldChar w:fldCharType="separate" w:fldLock="0"/>
      </w:r>
      <w:r>
        <w:rPr>
          <w:rFonts w:cs="Arial Unicode MS" w:eastAsia="Arial Unicode MS"/>
          <w:rtl w:val="0"/>
        </w:rPr>
        <w:t>28</w:t>
      </w:r>
      <w:r>
        <w:rPr/>
        <w:fldChar w:fldCharType="end" w:fldLock="0"/>
      </w:r>
    </w:p>
    <w:p>
      <w:pPr>
        <w:pStyle w:val="Body A"/>
        <w:rPr>
          <w:rStyle w:val="None"/>
        </w:rPr>
      </w:pPr>
      <w:r>
        <w:rPr>
          <w:rStyle w:val="None"/>
          <w:b w:val="1"/>
          <w:bCs w:val="1"/>
        </w:rPr>
        <w:fldChar w:fldCharType="end" w:fldLock="0"/>
      </w:r>
    </w:p>
    <w:p>
      <w:pPr>
        <w:pStyle w:val="Body A"/>
        <w:spacing w:after="0"/>
        <w:rPr>
          <w:rStyle w:val="None"/>
          <w:b w:val="1"/>
          <w:bCs w:val="1"/>
        </w:rPr>
      </w:pPr>
      <w:r>
        <w:rPr>
          <w:rStyle w:val="None"/>
          <w:b w:val="1"/>
          <w:bCs w:val="1"/>
          <w:rtl w:val="0"/>
          <w:lang w:val="en-US"/>
        </w:rPr>
        <w:t>Tables</w:t>
      </w:r>
    </w:p>
    <w:p>
      <w:pPr>
        <w:pStyle w:val="Body A"/>
        <w:spacing w:after="0" w:line="240" w:lineRule="auto"/>
        <w:rPr>
          <w:rStyle w:val="None"/>
        </w:rPr>
      </w:pPr>
      <w:r>
        <w:rPr>
          <w:rStyle w:val="None"/>
          <w:rtl w:val="0"/>
          <w:lang w:val="en-US"/>
        </w:rPr>
        <w:t xml:space="preserve">Table 1. </w:t>
      </w:r>
      <w:r>
        <w:rPr>
          <w:rStyle w:val="None"/>
          <w:rtl w:val="0"/>
          <w:lang w:val="en-US"/>
        </w:rPr>
        <w:t>Hazardous Material Abatement Projected Difficulty Per Location</w:t>
      </w:r>
    </w:p>
    <w:p>
      <w:pPr>
        <w:pStyle w:val="Body A"/>
        <w:spacing w:after="0" w:line="240" w:lineRule="auto"/>
        <w:rPr>
          <w:rStyle w:val="None"/>
        </w:rPr>
      </w:pPr>
      <w:r>
        <w:rPr>
          <w:rStyle w:val="None"/>
          <w:rtl w:val="0"/>
          <w:lang w:val="en-US"/>
        </w:rPr>
        <w:t>Table 2. Hazardous Material Abatement Manpower Projection</w:t>
      </w:r>
    </w:p>
    <w:p>
      <w:pPr>
        <w:pStyle w:val="Body A"/>
        <w:spacing w:after="0" w:line="240" w:lineRule="auto"/>
        <w:rPr>
          <w:rStyle w:val="None"/>
        </w:rPr>
      </w:pPr>
      <w:r>
        <w:rPr>
          <w:rStyle w:val="None"/>
          <w:rtl w:val="0"/>
          <w:lang w:val="en-US"/>
        </w:rPr>
        <w:t>Table 3. Subcontractors, Consultants, Vendors, and Waste Handlers To Assist</w:t>
      </w:r>
    </w:p>
    <w:p>
      <w:pPr>
        <w:pStyle w:val="Body A"/>
        <w:spacing w:after="0" w:line="240" w:lineRule="auto"/>
        <w:rPr>
          <w:rStyle w:val="None"/>
        </w:rPr>
      </w:pPr>
      <w:r>
        <w:rPr>
          <w:rStyle w:val="None"/>
          <w:rtl w:val="0"/>
          <w:lang w:val="en-US"/>
        </w:rPr>
        <w:t>Table 4. Demolition Structure Types and Projected Difficulty Per Location</w:t>
      </w:r>
    </w:p>
    <w:p>
      <w:pPr>
        <w:pStyle w:val="Body A"/>
        <w:spacing w:after="0" w:line="240" w:lineRule="auto"/>
        <w:rPr>
          <w:rStyle w:val="None"/>
        </w:rPr>
      </w:pPr>
      <w:r>
        <w:rPr>
          <w:rStyle w:val="None"/>
          <w:rtl w:val="0"/>
          <w:lang w:val="en-US"/>
        </w:rPr>
        <w:t>Table 5. Manpower and Major Equipment Needed</w:t>
      </w:r>
    </w:p>
    <w:p>
      <w:pPr>
        <w:pStyle w:val="Body A"/>
        <w:spacing w:after="0" w:line="240" w:lineRule="auto"/>
        <w:rPr>
          <w:rStyle w:val="None"/>
        </w:rPr>
      </w:pPr>
      <w:r>
        <w:rPr>
          <w:rStyle w:val="None"/>
          <w:rtl w:val="0"/>
          <w:lang w:val="en-US"/>
        </w:rPr>
        <w:t>Table 6. Demolition Waste Recycling and Salvage Worksheet</w:t>
      </w:r>
    </w:p>
    <w:p>
      <w:pPr>
        <w:pStyle w:val="Body A"/>
        <w:spacing w:after="0" w:line="240" w:lineRule="auto"/>
        <w:rPr>
          <w:rStyle w:val="None"/>
        </w:rPr>
      </w:pPr>
      <w:r>
        <w:rPr>
          <w:rStyle w:val="None"/>
          <w:rtl w:val="0"/>
          <w:lang w:val="en-US"/>
        </w:rPr>
        <w:t>Table 7. Preliminary Activity Hazard Analysis</w:t>
      </w:r>
    </w:p>
    <w:p>
      <w:pPr>
        <w:pStyle w:val="Body A"/>
        <w:spacing w:after="0" w:line="240" w:lineRule="auto"/>
        <w:rPr>
          <w:rStyle w:val="None"/>
        </w:rPr>
      </w:pPr>
      <w:r>
        <w:rPr>
          <w:rStyle w:val="None"/>
          <w:rtl w:val="0"/>
          <w:lang w:val="en-US"/>
        </w:rPr>
        <w:t>Table 8. Key Personnel To Be Assigned</w:t>
      </w: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1"/>
      </w:pPr>
      <w:bookmarkStart w:name="_Toc" w:id="1"/>
      <w:r>
        <w:rPr>
          <w:rFonts w:cs="Arial Unicode MS" w:eastAsia="Arial Unicode MS"/>
          <w:rtl w:val="0"/>
        </w:rPr>
        <w:t>Technical Approach</w:t>
      </w:r>
      <w:bookmarkEnd w:id="1"/>
    </w:p>
    <w:p>
      <w:pPr>
        <w:pStyle w:val="Body"/>
      </w:pPr>
      <w:r>
        <w:rPr>
          <w:rtl w:val="0"/>
        </w:rPr>
        <w:t>This project involves All Phase Services, Inc. (</w:t>
      </w:r>
      <w:r>
        <w:rPr>
          <w:rtl w:val="1"/>
          <w:lang w:val="ar-SA" w:bidi="ar-SA"/>
        </w:rPr>
        <w:t>“</w:t>
      </w:r>
      <w:r>
        <w:rPr>
          <w:rtl w:val="0"/>
        </w:rPr>
        <w:t>All Phase</w:t>
      </w:r>
      <w:r>
        <w:rPr>
          <w:rtl w:val="0"/>
        </w:rPr>
        <w:t>”</w:t>
      </w:r>
      <w:r>
        <w:rPr>
          <w:rtl w:val="0"/>
        </w:rPr>
        <w:t>) coordinating personnel, equipment, and other resources</w:t>
      </w:r>
      <w:r>
        <w:rPr>
          <w:rtl w:val="0"/>
        </w:rPr>
        <w:t xml:space="preserve"> </w:t>
      </w:r>
      <w:r>
        <w:rPr>
          <w:rtl w:val="0"/>
        </w:rPr>
        <w:t>for abatement and demolition services at FY22 Milan AAP Milan, TN</w:t>
      </w:r>
      <w:r>
        <w:rPr>
          <w:rtl w:val="0"/>
        </w:rPr>
        <w:t xml:space="preserve">. </w:t>
      </w:r>
      <w:r>
        <w:rPr>
          <w:rtl w:val="0"/>
        </w:rPr>
        <w:t>In our experience, inevitable complexities throughout the project</w:t>
      </w:r>
      <w:r>
        <w:rPr>
          <w:rtl w:val="0"/>
        </w:rPr>
        <w:t xml:space="preserve"> are mitigated by having</w:t>
      </w:r>
      <w:r>
        <w:rPr>
          <w:rtl w:val="0"/>
        </w:rPr>
        <w:t xml:space="preserve"> a well-orchestrated plan in place to coordinate the different aspects</w:t>
      </w:r>
      <w:r>
        <w:rPr>
          <w:rtl w:val="0"/>
        </w:rPr>
        <w:t xml:space="preserve"> of a demolition, particularly at a site that has unexploded ordinance (UXO), lead paint, and PCBs</w:t>
      </w:r>
      <w:r>
        <w:rPr>
          <w:rtl w:val="0"/>
        </w:rPr>
        <w:t xml:space="preserve">. </w:t>
      </w:r>
      <w:r>
        <w:rPr>
          <w:rtl w:val="0"/>
        </w:rPr>
        <w:t xml:space="preserve">We will </w:t>
      </w:r>
      <w:r>
        <w:rPr>
          <w:rtl w:val="0"/>
        </w:rPr>
        <w:t xml:space="preserve">plan and complete the removal of buildings and structures located at H-Line, as well as other supporting infrastructure. </w:t>
      </w:r>
    </w:p>
    <w:p>
      <w:pPr>
        <w:pStyle w:val="Body"/>
      </w:pPr>
      <w:r>
        <w:rPr>
          <w:rtl w:val="0"/>
        </w:rPr>
        <w:t xml:space="preserve">Our project planning approach is based on a traditional </w:t>
      </w:r>
      <w:r>
        <w:rPr>
          <w:rtl w:val="1"/>
          <w:lang w:val="ar-SA" w:bidi="ar-SA"/>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w:pPr>
      <w:r>
        <w:rPr>
          <w:rtl w:val="0"/>
        </w:rPr>
        <w:t xml:space="preserve">All Phase has carefully considered the </w:t>
      </w:r>
      <w:r>
        <w:rPr>
          <w:rtl w:val="0"/>
        </w:rPr>
        <w:t>government</w:t>
      </w:r>
      <w:r>
        <w:rPr>
          <w:rtl w:val="0"/>
        </w:rPr>
        <w:t>’</w:t>
      </w:r>
      <w:r>
        <w:rPr>
          <w:rtl w:val="0"/>
        </w:rPr>
        <w:t xml:space="preserve">s </w:t>
      </w:r>
      <w:r>
        <w:rPr>
          <w:rtl w:val="0"/>
        </w:rPr>
        <w:t xml:space="preserve">requirements and all other work scope documents, and understand the abatement task in terms of hazardous material sources and difficulty per location (Table 1). From site visit and Pre-Demolition Survey Reports, we expect to encounter </w:t>
      </w:r>
      <w:r>
        <w:rPr>
          <w:rtl w:val="0"/>
        </w:rPr>
        <w:t xml:space="preserve">UXO, lead paint, PCBs, </w:t>
      </w:r>
      <w:r>
        <w:rPr>
          <w:rtl w:val="0"/>
        </w:rPr>
        <w:t>asbestos containing material ACM in ____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w:t>
      </w:r>
    </w:p>
    <w:p>
      <w:pPr>
        <w:pStyle w:val="Body Requriements"/>
      </w:pPr>
      <w:r>
        <w:rPr>
          <w:rtl w:val="0"/>
        </w:rPr>
        <w:t>MORE ON UXO, etc.</w:t>
      </w:r>
    </w:p>
    <w:p>
      <w:pPr>
        <w:pStyle w:val="Heading 2"/>
        <w:pageBreakBefore w:val="1"/>
      </w:pPr>
      <w:bookmarkStart w:name="_Toc1" w:id="2"/>
      <w:r>
        <w:rPr>
          <w:rtl w:val="0"/>
          <w:lang w:val="en-US"/>
        </w:rPr>
        <w:t>Exhibit: Buildings Being Demolished</w:t>
      </w:r>
      <w:bookmarkEnd w:id="2"/>
    </w:p>
    <w:p>
      <w:pPr>
        <w:pStyle w:val="Body Requriements"/>
      </w:pPr>
      <w:r>
        <w:rPr>
          <w:rtl w:val="0"/>
        </w:rPr>
        <w:t>See pages 15-16 (</w:t>
      </w:r>
      <w:r>
        <w:rPr>
          <w:rtl w:val="0"/>
        </w:rPr>
        <w:t>Southeast Region MATOC TABLE I</w:t>
      </w:r>
      <w:r>
        <w:rPr>
          <w:rtl w:val="0"/>
        </w:rPr>
        <w:t xml:space="preserve"> </w:t>
      </w:r>
      <w:r>
        <w:rPr>
          <w:rtl w:val="0"/>
        </w:rPr>
        <w:t>MILAN AAP_LINE E_SUMMARY OF</w:t>
      </w:r>
      <w:r>
        <w:rPr>
          <w:rtl w:val="0"/>
        </w:rPr>
        <w:t xml:space="preserve"> </w:t>
      </w:r>
      <w:r>
        <w:rPr>
          <w:rtl w:val="0"/>
        </w:rPr>
        <w:t>MEC PA SAMPLING AND PROBABILITY RESULTS</w:t>
      </w:r>
      <w:r>
        <w:rPr>
          <w:rtl w:val="0"/>
        </w:rPr>
        <w:t xml:space="preserve">) found in </w:t>
      </w:r>
      <w:r>
        <w:rPr>
          <w:rStyle w:val="None"/>
          <w:rtl w:val="0"/>
          <w:lang w:val="de-DE"/>
        </w:rPr>
        <w:t>KO SIGNED Official FY22 Milan AAP PANHES 22 P 0000 004073  FRP  RFP Letter.pdf</w:t>
      </w:r>
    </w:p>
    <w:p>
      <w:pPr>
        <w:pStyle w:val="Body"/>
      </w:pPr>
    </w:p>
    <w:p>
      <w:pPr>
        <w:pStyle w:val="Body"/>
      </w:pPr>
    </w:p>
    <w:p>
      <w:pPr>
        <w:pStyle w:val="Heading 2"/>
      </w:pPr>
      <w:bookmarkStart w:name="_Toc2" w:id="3"/>
      <w:r>
        <w:rPr>
          <w:rFonts w:cs="Arial Unicode MS" w:eastAsia="Arial Unicode MS"/>
          <w:rtl w:val="0"/>
        </w:rPr>
        <w:t>Table 1. Hazardous material abatement projected difficulty per location</w:t>
      </w:r>
      <w:bookmarkEnd w:id="3"/>
    </w:p>
    <w:p>
      <w:pPr>
        <w:pStyle w:val="Body"/>
      </w:pPr>
      <w:r>
        <w:rPr>
          <w:rtl w:val="0"/>
        </w:rPr>
        <w:t>The following bid assumptions apply to structures NOT included in the survey data provided (some of these may be Option items):</w:t>
      </w:r>
    </w:p>
    <w:p>
      <w:pPr>
        <w:pStyle w:val="Body"/>
      </w:pPr>
      <w:r>
        <w:rPr>
          <w:rtl w:val="0"/>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pPr>
      <w:bookmarkStart w:name="_Toc3" w:id="4"/>
      <w:r>
        <w:rPr>
          <w:rFonts w:cs="Arial Unicode MS" w:eastAsia="Arial Unicode MS"/>
          <w:rtl w:val="0"/>
        </w:rPr>
        <w:t>Table 2. Hazardous material abatement manpower projection</w:t>
      </w:r>
      <w:bookmarkEnd w:id="4"/>
    </w:p>
    <w:p>
      <w:pPr>
        <w:pStyle w:val="Body"/>
      </w:pPr>
      <w:r>
        <w:rPr>
          <w:rtl w:val="0"/>
        </w:rPr>
        <w:t>All Phase will self-perform all work associated with this task order. We will also call upon specialty consultants, vendors, and waste handlers to assist as needed. These entities are summarized in Table 3.</w:t>
      </w:r>
    </w:p>
    <w:p>
      <w:pPr>
        <w:pStyle w:val="Heading 2"/>
      </w:pPr>
      <w:bookmarkStart w:name="_Toc4" w:id="5"/>
      <w:r>
        <w:rPr>
          <w:rFonts w:cs="Arial Unicode MS" w:eastAsia="Arial Unicode MS"/>
          <w:rtl w:val="0"/>
        </w:rPr>
        <w:t>Table 3. Subcontractors, consultants, vendors, and waste handlers to assist</w:t>
      </w:r>
      <w:bookmarkEnd w:id="5"/>
    </w:p>
    <w:p>
      <w:pPr>
        <w:pStyle w:val="Body"/>
      </w:pPr>
    </w:p>
    <w:p>
      <w:pPr>
        <w:pStyle w:val="Heading 1"/>
      </w:pPr>
      <w:bookmarkStart w:name="_Toc5" w:id="6"/>
      <w:r>
        <w:rPr>
          <w:rFonts w:cs="Arial Unicode MS" w:eastAsia="Arial Unicode MS"/>
          <w:rtl w:val="0"/>
        </w:rPr>
        <w:t>1. Project Planning</w:t>
      </w:r>
      <w:bookmarkEnd w:id="6"/>
    </w:p>
    <w:p>
      <w:pPr>
        <w:pStyle w:val="Body"/>
      </w:pPr>
    </w:p>
    <w:p>
      <w:pPr>
        <w:pStyle w:val="Body"/>
      </w:pPr>
      <w:r>
        <w:rPr>
          <w:rtl w:val="0"/>
        </w:rPr>
        <w:t>UXO</w:t>
      </w:r>
    </w:p>
    <w:p>
      <w:pPr>
        <w:pStyle w:val="Body"/>
      </w:pPr>
      <w:r>
        <w:rPr>
          <w:rtl w:val="0"/>
        </w:rPr>
        <w:t>Lead paint</w:t>
      </w:r>
    </w:p>
    <w:p>
      <w:pPr>
        <w:pStyle w:val="Body"/>
      </w:pPr>
      <w:r>
        <w:rPr>
          <w:rtl w:val="0"/>
        </w:rPr>
        <w:t>PCBs</w:t>
      </w:r>
    </w:p>
    <w:p>
      <w:pPr>
        <w:pStyle w:val="Body"/>
        <w:rPr>
          <w:rStyle w:val="None"/>
          <w:i w:val="1"/>
          <w:iCs w:val="1"/>
        </w:rPr>
      </w:pPr>
      <w:r>
        <w:rPr>
          <w:rtl w:val="0"/>
        </w:rPr>
        <w:t xml:space="preserve">Prior to full mobilization, </w:t>
      </w:r>
      <w:r>
        <w:rPr>
          <w:rtl w:val="0"/>
        </w:rPr>
        <w:t>All Phase</w:t>
      </w:r>
      <w:r>
        <w:rPr>
          <w:rtl w:val="0"/>
        </w:rPr>
        <w:t xml:space="preserve"> may request site access to perform certain pre-demolition activities that may assist with the development of work plans, accident prevention plans, and project schedules. </w:t>
      </w:r>
      <w:r>
        <w:rPr>
          <w:rtl w:val="0"/>
        </w:rPr>
        <w:t xml:space="preserve"> We will follow the parameters </w:t>
      </w:r>
      <w:r>
        <w:rPr>
          <w:rtl w:val="0"/>
        </w:rPr>
        <w:t xml:space="preserve">FRP for allowing requests for partial Notices to Proceed (NTPs). </w:t>
      </w:r>
      <w:r>
        <w:rPr>
          <w:rtl w:val="0"/>
        </w:rPr>
        <w:t xml:space="preserve">See Appendix A, pages 9-10, </w:t>
      </w:r>
      <w:r>
        <w:rPr>
          <w:rStyle w:val="None"/>
          <w:i w:val="1"/>
          <w:iCs w:val="1"/>
          <w:rtl w:val="0"/>
          <w:lang w:val="de-DE"/>
        </w:rPr>
        <w:t>KO SIGNED Official FY22 Milan AAP PANHES 22 P 0000 004073  FRP  RFP Letter.pdf</w:t>
      </w:r>
    </w:p>
    <w:p>
      <w:pPr>
        <w:pStyle w:val="Body"/>
        <w:rPr>
          <w:rStyle w:val="None"/>
          <w:i w:val="1"/>
          <w:iCs w:val="1"/>
        </w:rPr>
      </w:pPr>
    </w:p>
    <w:p>
      <w:pPr>
        <w:pStyle w:val="Body Requriements"/>
      </w:pPr>
      <w:r>
        <w:rPr>
          <w:rtl w:val="0"/>
        </w:rPr>
        <w:t>2.0 OBJECTIVE</w:t>
      </w:r>
    </w:p>
    <w:p>
      <w:pPr>
        <w:pStyle w:val="Body Requriements"/>
      </w:pPr>
      <w:r>
        <w:rPr>
          <w:rtl w:val="0"/>
        </w:rPr>
        <w:t>The objective of this Performance Work Statement (PWS) is to plan and complete the removal of buildings and structures located at H-Line, as well as other supporting infrastructure. See paragraph 3.7 for a list of facilities and features to be demolished. The project shall include, but is not limited to,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site(s) to a specified condition and providing for positive site drainage.</w:t>
      </w:r>
    </w:p>
    <w:p>
      <w:pPr>
        <w:pStyle w:val="Body Requriements"/>
      </w:pPr>
      <w:r>
        <w:rPr>
          <w:rtl w:val="0"/>
        </w:rPr>
        <w:t>3.0 DETAILED DESCRIPTION OF SERVICES</w:t>
      </w:r>
    </w:p>
    <w:p>
      <w:pPr>
        <w:pStyle w:val="Body Requriements"/>
      </w:pPr>
      <w:r>
        <w:rPr>
          <w:rtl w:val="0"/>
        </w:rPr>
        <w:t>3.1 General Requirements. All work performed by the Contractor shall be designed and implemented to conform to the requirements in the FRP Region MATOC, this PWS, all applicable Federal, State, and Local regulations, and all accepted Work Plans and submittals. If there is a conflict between Federal, State, and local regulations and the PWS, the Contractor shall immediately informthe Contracting Officer. The Contractor shall present a complete description of the planning and demolition process as applied to the subject facilities. All demolition work designed/planned by the Contractor shall be reviewed/accepted by a certified Professional Engineer (PE). The PE shall stamp the Demolition Work Plan to satisfy this requirement. It is a requirement of this action that during all field work activities, the Site Safety and Health Officer (SSHO) and Quality Control Manager (QCM) shall be on-site.</w:t>
      </w:r>
    </w:p>
    <w:p>
      <w:pPr>
        <w:pStyle w:val="Body Requriements"/>
      </w:pPr>
      <w:r>
        <w:rPr>
          <w:rtl w:val="0"/>
        </w:rPr>
        <w:t>3.2 Priority of Work. If no priority sequence of work is provided by the Government, then the Contractor shall clearly state the progression and sequence of work in the Proposal and the sequence of work shall be reflected in the schedule. Every effort shall be made to ensure abatement, demolition, and site restoration are accomplished to facilitate the completion of the h igher priority structures before the lower priority structures.</w:t>
      </w:r>
    </w:p>
    <w:p>
      <w:pPr>
        <w:pStyle w:val="Body Requriements"/>
      </w:pPr>
      <w:r>
        <w:rPr>
          <w:rtl w:val="0"/>
        </w:rPr>
        <w:t>3.3 Liquidated Damages (LDs) Requirements. Per requirements in the base contract, for each task order Liquidated Damages (LDs) are applicable under the requirements of the PWS. The following terms and conditions shall apply in terms of LDs with regard to this Task order.</w:t>
      </w:r>
    </w:p>
    <w:p>
      <w:pPr>
        <w:pStyle w:val="Body Requriements"/>
      </w:pPr>
      <w:r>
        <w:rPr>
          <w:rtl w:val="0"/>
        </w:rPr>
        <w:t xml:space="preserve">3.3.1 If the Contractor fails to complete the work within the time specified in the contract, the Contractor shall pay LDs to the Government as determined in accordance with </w:t>
      </w:r>
      <w:r>
        <w:rPr>
          <w:rtl w:val="1"/>
          <w:lang w:val="ar-SA" w:bidi="ar-SA"/>
        </w:rPr>
        <w:t>“</w:t>
      </w:r>
      <w:r>
        <w:rPr>
          <w:rtl w:val="0"/>
        </w:rPr>
        <w:t>d</w:t>
      </w:r>
      <w:r>
        <w:rPr>
          <w:rtl w:val="0"/>
        </w:rPr>
        <w:t xml:space="preserve">” </w:t>
      </w:r>
      <w:r>
        <w:rPr>
          <w:rtl w:val="0"/>
        </w:rPr>
        <w:t>below, for each working day of delay until the work is completed or accepted.</w:t>
      </w:r>
    </w:p>
    <w:p>
      <w:pPr>
        <w:pStyle w:val="Body Requriements"/>
      </w:pPr>
      <w:r>
        <w:rPr>
          <w:rtl w:val="0"/>
        </w:rPr>
        <w:t>3.3.2 If the Government terminates the Contractor's right to proceed for cause, LDs will continue to accrue until the work is completed. These LDs are in addition to excess costs of repurchase under the Termination clause.</w:t>
      </w:r>
    </w:p>
    <w:p>
      <w:pPr>
        <w:pStyle w:val="Body Requriements"/>
      </w:pPr>
      <w:r>
        <w:rPr>
          <w:rtl w:val="0"/>
        </w:rPr>
        <w:t>3.3.3 LDs are not intended to be punitive in nature. LDs will be used only in the event delay days are clearly a result of Contractor's lack of performance resulting in schedule slippage.</w:t>
      </w:r>
    </w:p>
    <w:p>
      <w:pPr>
        <w:pStyle w:val="Body Requriements"/>
      </w:pPr>
      <w:r>
        <w:rPr>
          <w:rtl w:val="0"/>
        </w:rPr>
        <w:t xml:space="preserve">3.3.4 LDs will be calculated as the awarded Firm Fixed Price Proposal cost multiplied by 5.6%; divided by the number of total working days listed in the Schedule below for the following items </w:t>
      </w:r>
      <w:r>
        <w:rPr>
          <w:rtl w:val="1"/>
          <w:lang w:val="ar-SA" w:bidi="ar-SA"/>
        </w:rPr>
        <w:t>“</w:t>
      </w:r>
      <w:r>
        <w:rPr>
          <w:rtl w:val="0"/>
        </w:rPr>
        <w:t>10 Day Site Notification/Mobilization,</w:t>
      </w:r>
      <w:r>
        <w:rPr>
          <w:rtl w:val="0"/>
        </w:rPr>
        <w:t>” “</w:t>
      </w:r>
      <w:r>
        <w:rPr>
          <w:rtl w:val="0"/>
        </w:rPr>
        <w:t>Abatement and Demolition,</w:t>
      </w:r>
      <w:r>
        <w:rPr>
          <w:rtl w:val="0"/>
        </w:rPr>
        <w:t xml:space="preserve">” </w:t>
      </w:r>
      <w:r>
        <w:rPr>
          <w:rtl w:val="0"/>
        </w:rPr>
        <w:t xml:space="preserve">and </w:t>
      </w:r>
      <w:r>
        <w:rPr>
          <w:rtl w:val="1"/>
          <w:lang w:val="ar-SA" w:bidi="ar-SA"/>
        </w:rPr>
        <w:t>“</w:t>
      </w:r>
      <w:r>
        <w:rPr>
          <w:rtl w:val="0"/>
        </w:rPr>
        <w:t>Site Restoration and Demobilization.</w:t>
      </w:r>
      <w:r>
        <w:rPr>
          <w:rtl w:val="0"/>
        </w:rPr>
        <w:t>”</w:t>
      </w:r>
    </w:p>
    <w:p>
      <w:pPr>
        <w:pStyle w:val="Body Requriements"/>
      </w:pPr>
      <w:r>
        <w:rPr>
          <w:rtl w:val="0"/>
        </w:rPr>
        <w:t xml:space="preserve">LDs per day = (5.6% x Award Amount) </w:t>
      </w:r>
      <w:r>
        <w:rPr>
          <w:rFonts w:ascii="Arial Unicode MS" w:cs="Arial Unicode MS" w:hAnsi="Arial Unicode MS" w:eastAsia="Arial Unicode MS" w:hint="default"/>
          <w:b w:val="0"/>
          <w:bCs w:val="0"/>
          <w:i w:val="0"/>
          <w:iCs w:val="0"/>
          <w:rtl w:val="0"/>
        </w:rPr>
        <w:sym w:font="Arial Unicode MS" w:char="F0B8"/>
      </w:r>
      <w:r>
        <w:rPr>
          <w:rtl w:val="0"/>
        </w:rPr>
        <w:t xml:space="preserve"> </w:t>
      </w:r>
      <w:r>
        <w:rPr>
          <w:rtl w:val="0"/>
        </w:rPr>
        <w:t>(10 Day Site Notification/Mobilization + Abatement and Demolition + Site Restoration and Demobilization)</w:t>
      </w:r>
    </w:p>
    <w:p>
      <w:pPr>
        <w:pStyle w:val="Body Requriements"/>
      </w:pPr>
      <w:r>
        <w:rPr>
          <w:rtl w:val="0"/>
        </w:rPr>
        <w:t>*KO shall determine harm or economic impact of performance delays on an individual task order basis, considering factors such as impact to other installation projects or deadlines, in addition to extended oversight costs.</w:t>
      </w:r>
    </w:p>
    <w:p>
      <w:pPr>
        <w:pStyle w:val="Body Requriements"/>
      </w:pPr>
      <w:r>
        <w:rPr>
          <w:rtl w:val="0"/>
        </w:rPr>
        <w:t>3.4 Preparation of Work Plans and Related Documents. Work Plans are a significant quality element of the work. The Contractor</w:t>
      </w:r>
      <w:r>
        <w:rPr>
          <w:rtl w:val="1"/>
        </w:rPr>
        <w:t>’</w:t>
      </w:r>
      <w:r>
        <w:rPr>
          <w:rtl w:val="0"/>
        </w:rPr>
        <w:t>s performance with respect to Work Plans will be rated in the Quality Assurance process. Work Plans are to addres s the specific needs of the task order. The inclusion of standardized processes in the technical descriptions is acceptable. Generic documents that do not address the site-specific needs are unacceptable. The Contractor shall highlight all revisions within the Work Plansubsequenttotheinitialsubmittal. A</w:t>
      </w:r>
      <w:r>
        <w:rPr>
          <w:rtl w:val="1"/>
          <w:lang w:val="ar-SA" w:bidi="ar-SA"/>
        </w:rPr>
        <w:t>“</w:t>
      </w:r>
      <w:r>
        <w:rPr>
          <w:rtl w:val="0"/>
        </w:rPr>
        <w:t>ChangesList</w:t>
      </w:r>
      <w:r>
        <w:rPr>
          <w:rtl w:val="0"/>
        </w:rPr>
        <w:t>”</w:t>
      </w:r>
      <w:r>
        <w:rPr>
          <w:rtl w:val="0"/>
        </w:rPr>
        <w:t>thatstatestherequiredchangeandthepageonwhichitislocatedshallbe placed at the front of the document for each re-submittal of the Work Plan.</w:t>
      </w:r>
    </w:p>
    <w:p>
      <w:pPr>
        <w:pStyle w:val="Body Requriements"/>
      </w:pPr>
      <w:r>
        <w:rPr>
          <w:rtl w:val="0"/>
        </w:rPr>
        <w:t>Upon award of this task order, the Contractor shall prepare and submit for acceptance a set of Work Plans and Related Documents within the allotted time. The Contractor shall take full advantage of the Work Plan preparation period to further refine/identify available markets and landfill resources in the general area in order to develop the Diversion/Recycle Plan such that the maximum cost-effective re-use/disposal of this facility is obtained. These plans and documents shall be prepared in accordance with all applicable Federal, State, and Local regulations, the instructions and guidance in the basic MATOC, and this task order PWS. The Contractor shall incorporate information and data from the pre-proposal site visit, official responses to submitted questions (via ProjNet), and other documents as available.</w:t>
      </w:r>
    </w:p>
    <w:p>
      <w:pPr>
        <w:pStyle w:val="Body Requriements"/>
      </w:pPr>
      <w:r>
        <w:rPr>
          <w:rtl w:val="0"/>
        </w:rPr>
        <w:t>3.4.1 Site Specific Work Plan. The Contractor shall submit a work plan in accordance with the requirements in the FRP Region MATOC, Attachment 7 - Work Plans Sub-Plans, and Appendices, and the specific requirements of this PWS. The Work Plan shall include the various sub-plans necessary to support/prosecute the work, e.g., Asbestos Abatement Plan (includes ACM and ORM), Site SpecificDemolitionPlan,Diversion/Re-UsePlan,AccidentPreventionPlanetc.,aswellastheplanslistedbelow. TheContractor shall include a detailed project schedule providing abatement and demolition timelines by building, restoration of sites by individual siteorgroupsofsites,andaprojectedcompletiondate,toincludetheoverallprojectcriticalpath,intheWorkPlan. TheWorkPlan shall clearly identify the Key Personnel planned to be associated with the Task Order, their qualifications, accompanying resume, and any necessary certifications to support the assigned duties. The contractor has an obligation to determine the applicable laws and regulations associated with material storage, stockpile, reuse and/or disposal for the Installation . As an example, the contractor shall determine the proposed handling, storage, and final proposed disposition of materials with coatings such as painted concrete and the suitability of these materials as fill, site restoration material, or otherwise.</w:t>
      </w:r>
    </w:p>
    <w:p>
      <w:pPr>
        <w:pStyle w:val="Body Requriements"/>
      </w:pPr>
      <w:r>
        <w:rPr>
          <w:rtl w:val="0"/>
        </w:rPr>
        <w:t xml:space="preserve">3.4.2 Accident Prevention Plan (APP). A site-specific health and safety plan shall be developed in accordance with U.S. Army Corps of Engineers Health and Safety Requirements, manual EM 385-1-1. The APP shall include a complete site-specific Activity Hazard Analysis (AHA) for each activity of the work. Refer to FRP Region MATOC Sections 1.11 and 5.6, as well as Attachment 8, Accident Prevention Plan Checklist, for requirements and instructions. In particular, the Contractor shall develop as part of the APP, specific requirements for any </w:t>
      </w:r>
      <w:r>
        <w:rPr>
          <w:rtl w:val="1"/>
          <w:lang w:val="ar-SA" w:bidi="ar-SA"/>
        </w:rPr>
        <w:t>“</w:t>
      </w:r>
      <w:r>
        <w:rPr>
          <w:rtl w:val="0"/>
        </w:rPr>
        <w:t>lift plan(s)</w:t>
      </w:r>
      <w:r>
        <w:rPr>
          <w:rtl w:val="0"/>
        </w:rPr>
        <w:t xml:space="preserve">” </w:t>
      </w:r>
      <w:r>
        <w:rPr>
          <w:rtl w:val="0"/>
        </w:rPr>
        <w:t>needed to remove vessels, equipment, trusses, or other items that require use of a crane or otherliftingdevicewhichmaycausehazardstopersonnelorstructures. Aspecifichazardanalysisforeachlocation/typeofliftshall be provided. Areas adjacent to the areas of demolition may be occupied. Work is to be conducted in such a manner as to minimize migration of dust and odors from the work area and into adjacent occupied spaces which can cause disruption of normal operations. The Contractor shall provide protection to ensure safety of passage of people around the demolition area and from occupied portions of adjacent buildings and structures. The Site-Safety Health Officer (SSHO) and the Quality Control Manager (QCM) shall be present on-site at all time while field activities are occurring. The SSHO shall comply with all applicable safety criteria and shall use their discretion to determine which activities require the SSHO to be present, and where the SSHO will be for day -to-day operations.</w:t>
      </w:r>
    </w:p>
    <w:p>
      <w:pPr>
        <w:pStyle w:val="Body Requriements"/>
      </w:pPr>
      <w:r>
        <w:rPr>
          <w:rtl w:val="0"/>
        </w:rPr>
        <w:t xml:space="preserve">Concurrent demolition of multiple facilities shall only be allowed if the Demolition Competent Person determines concurrent demolitions do not present an unacceptable risk, the PE allows for concurrent demolition in the signed work plan, and the Government DesignatedAgent(GDA)acceptsworkplanandAPP. During abatement all applicable </w:t>
      </w:r>
      <w:r>
        <w:rPr>
          <w:rtl w:val="1"/>
          <w:lang w:val="ar-SA" w:bidi="ar-SA"/>
        </w:rPr>
        <w:t>“</w:t>
      </w:r>
      <w:r>
        <w:rPr>
          <w:rtl w:val="0"/>
        </w:rPr>
        <w:t>environmental monitoring</w:t>
      </w:r>
      <w:r>
        <w:rPr>
          <w:rtl w:val="0"/>
        </w:rPr>
        <w:t xml:space="preserve">” </w:t>
      </w:r>
      <w:r>
        <w:rPr>
          <w:rtl w:val="0"/>
        </w:rPr>
        <w:t>protocols as prescribed per EM 385-1-1 are required. Note this may be in addition to any personal air sampling required by OSHA or other regulatory requirements. The APP and all Activity Hazard Analysis</w:t>
      </w:r>
      <w:r>
        <w:rPr>
          <w:rtl w:val="1"/>
        </w:rPr>
        <w:t xml:space="preserve">’ </w:t>
      </w:r>
      <w:r>
        <w:rPr>
          <w:rtl w:val="0"/>
        </w:rPr>
        <w:t>(AHAs) shall be reviewed and accepted by the Government Safety Office prior to the notice to proceed. The installation or additional stakeholders may require reviews of the Contractor</w:t>
      </w:r>
      <w:r>
        <w:rPr>
          <w:rtl w:val="1"/>
        </w:rPr>
        <w:t>’</w:t>
      </w:r>
      <w:r>
        <w:rPr>
          <w:rtl w:val="0"/>
        </w:rPr>
        <w:t>s AHAs which shall be accommodated by the Contractor.</w:t>
      </w:r>
    </w:p>
    <w:p>
      <w:pPr>
        <w:pStyle w:val="Body Requriements"/>
      </w:pPr>
      <w:r>
        <w:rPr>
          <w:rtl w:val="0"/>
        </w:rPr>
        <w:t>3.4.3 Contractor</w:t>
      </w:r>
      <w:r>
        <w:rPr>
          <w:rtl w:val="1"/>
        </w:rPr>
        <w:t>’</w:t>
      </w:r>
      <w:r>
        <w:rPr>
          <w:rtl w:val="0"/>
        </w:rPr>
        <w:t>s Quality ControlPlan (CQC). PrepareaCQCPlanperrequirementsandguidanceinFRPRegion MATOC, Attachment 7 - Work Plans Sub-Plans, and Appendices.</w:t>
      </w:r>
    </w:p>
    <w:p>
      <w:pPr>
        <w:pStyle w:val="Body Requriements"/>
      </w:pPr>
      <w:r>
        <w:rPr>
          <w:rtl w:val="0"/>
        </w:rPr>
        <w:t>3.4.4 Storm Water Pollution Prevention Plan (SWPPP)/Erosion and Sediment Control Plan (E&amp;SCP). The contractor shallobtainthenecessarypermitstoconducttheactivitiesincludedinthisTaskOrder. TheContractorshallsubmitforacceptance,a SWPPP/E&amp;SCP in accordance with Federal, State, and Local requirements. No later than the kick-off meeting the Contractor shall coordinate SWPPP/E&amp;SCP permit requirements with the State and Installation, to ensure all Federal, State, and Local requirements are addressed. The SWPPP/E&amp;SCP will be reviewed by the Installation and Owner for comment.</w:t>
      </w:r>
    </w:p>
    <w:p>
      <w:pPr>
        <w:pStyle w:val="Body Requriements"/>
      </w:pPr>
      <w:r>
        <w:rPr>
          <w:rtl w:val="0"/>
        </w:rPr>
        <w:t>MLAAP is on the National Priorities List for hazardous waste sites within the United States due historical releases of pollutants and contaminants to soil and groundwater. The Contractor shall coordinate with the Installation and comply with the applicable installation Land Use Controls while performing work.</w:t>
      </w:r>
    </w:p>
    <w:p>
      <w:pPr>
        <w:pStyle w:val="Body Requriements"/>
      </w:pPr>
      <w:r>
        <w:rPr>
          <w:rtl w:val="0"/>
        </w:rPr>
        <w:t xml:space="preserve">3.4.5 Soil Sampling and Analysis Workplan. The Contractor shall provide a Soil Sampling and Analysis Workplan for sampling soils underneath buildings for approval by the Government and regulatory stakeholders (Tennessee Department of Environment and Conservation and EPA). The plan will be prepared in accordance with and will meet the intents of the </w:t>
      </w:r>
      <w:r>
        <w:rPr>
          <w:rtl w:val="1"/>
          <w:lang w:val="ar-SA" w:bidi="ar-SA"/>
        </w:rPr>
        <w:t>“</w:t>
      </w:r>
      <w:r>
        <w:rPr>
          <w:rtl w:val="0"/>
        </w:rPr>
        <w:t>Soil Sampling Strategy for MLAAP Line H Building Demolition, Milan Army Ammunition Plant, October 20, 2021</w:t>
      </w:r>
      <w:r>
        <w:rPr>
          <w:rtl w:val="0"/>
        </w:rPr>
        <w:t>”</w:t>
      </w:r>
      <w:r>
        <w:rPr>
          <w:rtl w:val="0"/>
        </w:rPr>
        <w:t>. Data collected including sample results and work done in accordance with the plan will be provided to the Government in a report.</w:t>
      </w:r>
    </w:p>
    <w:p>
      <w:pPr>
        <w:pStyle w:val="Body Requriements"/>
      </w:pPr>
      <w:r>
        <w:rPr>
          <w:rtl w:val="0"/>
        </w:rPr>
        <w:t>3.4.6 UXOConstructionSupportPlan. TheContractorshallprepareaplantopresentallrequirementsforconductofthe UXO Construction Support effort IAW EM 385-1.97, DDESB TP 18 and EM 385-1-1.</w:t>
      </w:r>
    </w:p>
    <w:p>
      <w:pPr>
        <w:pStyle w:val="Body Requriements"/>
      </w:pPr>
      <w:r>
        <w:rPr>
          <w:rtl w:val="0"/>
        </w:rPr>
        <w:t>The contractor shall provide stand-by (on-site) UXO/MEC (Unexploded Ordnance/Munitions of Explosive Concern) safety support as required for construction activities determined to have a low probability of encountering MEC IAW EM385 -1-97 paragraph I.1.A.02.02.a.(1)</w:t>
      </w:r>
    </w:p>
    <w:p>
      <w:pPr>
        <w:pStyle w:val="Body Requriements"/>
      </w:pPr>
    </w:p>
    <w:p>
      <w:pPr>
        <w:pStyle w:val="Body Requriements"/>
      </w:pPr>
      <w:r>
        <w:rPr>
          <w:rtl w:val="0"/>
        </w:rPr>
        <w:t>UXO/MEC Team Composition- UXO/MEC construction safety team at a minimum will consist of two UXO qualified personnel (UXOQP) including one UXO Technician 3 and UXO Technician 2 IAW EM385 -1-97 paragraph I.1.A.02.02.b.(1)</w:t>
      </w:r>
    </w:p>
    <w:p>
      <w:pPr>
        <w:pStyle w:val="Body Requriements"/>
      </w:pPr>
      <w:r>
        <w:rPr>
          <w:rtl w:val="0"/>
        </w:rPr>
        <w:t>Qualifications for UXOQP</w:t>
      </w:r>
      <w:r>
        <w:rPr>
          <w:rtl w:val="1"/>
        </w:rPr>
        <w:t>’</w:t>
      </w:r>
      <w:r>
        <w:rPr>
          <w:rtl w:val="0"/>
        </w:rPr>
        <w:t>s must be IAW DDESB TP-18 Chapter 4</w:t>
      </w:r>
    </w:p>
    <w:p>
      <w:pPr>
        <w:pStyle w:val="Body Requriements"/>
      </w:pPr>
      <w:r>
        <w:rPr>
          <w:rtl w:val="0"/>
        </w:rPr>
        <w:t>The requirements of this plan, typically to be provided by the UXO Construction Support subcontractor, shall mesh with the prime contractor's Accident Prevention Plan as well as present any OE/UXO-specific APP/safety considerations.</w:t>
      </w:r>
    </w:p>
    <w:p>
      <w:pPr>
        <w:pStyle w:val="Body Requriements"/>
      </w:pPr>
      <w:r>
        <w:rPr>
          <w:rtl w:val="0"/>
          <w:lang w:val="de-DE"/>
        </w:rPr>
        <w:t>See Appendix F, Item 4 - MLAAP H-Line Report FINAL Sept2020.</w:t>
      </w:r>
    </w:p>
    <w:p>
      <w:pPr>
        <w:pStyle w:val="Body Requriements"/>
      </w:pPr>
      <w:r>
        <w:rPr>
          <w:rtl w:val="0"/>
        </w:rPr>
        <w:t>3.4.7 PCB Management Plan. The Contractor shall prepare and submit a PCB management plan in order to lay out how all PCB's encountered (PCB's -in-paint, PCB</w:t>
      </w:r>
      <w:r>
        <w:rPr>
          <w:rtl w:val="1"/>
        </w:rPr>
        <w:t>’</w:t>
      </w:r>
      <w:r>
        <w:rPr>
          <w:rtl w:val="0"/>
        </w:rPr>
        <w:t>s in building materials, PCB spills) will be handled, transported and disposed of for review and approval</w:t>
      </w:r>
      <w:r>
        <w:rPr>
          <w:rtl w:val="0"/>
        </w:rPr>
        <w:t xml:space="preserve"> </w:t>
      </w:r>
      <w:r>
        <w:rPr>
          <w:rtl w:val="0"/>
        </w:rPr>
        <w:t>by</w:t>
      </w:r>
      <w:r>
        <w:rPr>
          <w:rtl w:val="0"/>
        </w:rPr>
        <w:t xml:space="preserve"> </w:t>
      </w:r>
      <w:r>
        <w:rPr>
          <w:rtl w:val="0"/>
        </w:rPr>
        <w:t>the</w:t>
      </w:r>
      <w:r>
        <w:rPr>
          <w:rtl w:val="0"/>
        </w:rPr>
        <w:t xml:space="preserve"> </w:t>
      </w:r>
      <w:r>
        <w:rPr>
          <w:rtl w:val="0"/>
        </w:rPr>
        <w:t>EPARegionIV. The Government may have a suitable sub</w:t>
      </w:r>
      <w:r>
        <w:rPr>
          <w:rtl w:val="0"/>
        </w:rPr>
        <w:t>-</w:t>
      </w:r>
      <w:r>
        <w:rPr>
          <w:rtl w:val="0"/>
        </w:rPr>
        <w:t>plan for use on this project as well, based</w:t>
      </w:r>
      <w:r>
        <w:rPr>
          <w:rtl w:val="0"/>
        </w:rPr>
        <w:t xml:space="preserve"> </w:t>
      </w:r>
      <w:r>
        <w:rPr>
          <w:rtl w:val="0"/>
          <w:lang w:val="es-ES_tradnl"/>
        </w:rPr>
        <w:t>upon</w:t>
      </w:r>
      <w:r>
        <w:rPr>
          <w:rtl w:val="0"/>
        </w:rPr>
        <w:t xml:space="preserve"> </w:t>
      </w:r>
      <w:r>
        <w:rPr>
          <w:rtl w:val="0"/>
        </w:rPr>
        <w:t>previous projects at Milan</w:t>
      </w:r>
    </w:p>
    <w:p>
      <w:pPr>
        <w:pStyle w:val="Body Requriements"/>
      </w:pPr>
      <w:r>
        <w:rPr>
          <w:rtl w:val="0"/>
        </w:rPr>
        <w:t>3.4.8 Permits and Notifications. Research, prepare and submit all permits and notifications as required by Federal, State, local, and installation regulations and requirements. Examples of Installation permits include, but are not limited to, the following:</w:t>
      </w:r>
    </w:p>
    <w:p>
      <w:pPr>
        <w:pStyle w:val="Body Requriements"/>
      </w:pPr>
      <w:r>
        <w:rPr>
          <w:rtl w:val="0"/>
        </w:rPr>
        <w:t>3.4.8.1 Dig Permit. The Contractor will be required to obtain a Dig Permit through the Operating Contractor prior to any land disturbance. Permit copies must be available for review at the job site.</w:t>
      </w:r>
    </w:p>
    <w:p>
      <w:pPr>
        <w:pStyle w:val="Body Requriements"/>
      </w:pPr>
      <w:r>
        <w:rPr>
          <w:rtl w:val="0"/>
        </w:rPr>
        <w:t>3.4.8.2 Hot Work Permit. Obtain a Hot Work permit for any activity such as maintenance, repairs, alterations, construction, demolition, or other activity that is capable of initiating fires or explosions. A fire watch must be provided for a minimum of 30 minutes after completion of Hot Work.</w:t>
      </w:r>
      <w:r>
        <w:rPr>
          <w:rtl w:val="0"/>
        </w:rPr>
        <w:t xml:space="preserve">” </w:t>
      </w:r>
      <w:r>
        <w:rPr>
          <w:rtl w:val="0"/>
        </w:rPr>
        <w:t>Contractor is responsible for providing an acceptable hot work program in its APP and work plan. A separate AHA for this work will be required</w:t>
      </w:r>
    </w:p>
    <w:p>
      <w:pPr>
        <w:pStyle w:val="Body Requriements"/>
      </w:pPr>
      <w:r>
        <w:rPr>
          <w:rtl w:val="0"/>
        </w:rPr>
        <w:t>3.5 SiteWorkActivities. Following acceptance of the Work Plans and related documents, the Contracting Officer shall issue a Notice to Proceed (NTP) directing the Contractor to execute the contract, or any portion thereof, in accordance with the awarded PWS, accepted submittals, and all Federal, State, and local regulations. The task order shall include, but is not limited to, the following requirements:</w:t>
      </w:r>
    </w:p>
    <w:p>
      <w:pPr>
        <w:pStyle w:val="Body Requriements"/>
      </w:pPr>
      <w:r>
        <w:rPr>
          <w:rtl w:val="0"/>
        </w:rPr>
        <w:t xml:space="preserve">3.5.1 Pre-Demolition Assessment (ACM/ORM/LBP Survey). </w:t>
      </w:r>
      <w:r>
        <w:rPr>
          <w:rtl w:val="0"/>
        </w:rPr>
        <w:t xml:space="preserve">– </w:t>
      </w:r>
      <w:r>
        <w:rPr>
          <w:rtl w:val="0"/>
        </w:rPr>
        <w:t>Any information provided by the Government relevant to Pre- Demolition Assessments prior to bid is for informational purposes only. The intent is to identify materials which may require special handlingandordisposalpriortoorduringdemolitionactivities. TheContractorisresponsibleformeetingallFederal,State,and Local requirements associated with Pre-Demolition Assessments, Surveys, and or similar documentation necessary for obtaining permits for performing the work required by this PWS.</w:t>
      </w:r>
    </w:p>
    <w:p>
      <w:pPr>
        <w:pStyle w:val="Body Requriements"/>
      </w:pPr>
      <w:r>
        <w:rPr>
          <w:rtl w:val="0"/>
        </w:rPr>
        <w:t>3.5.2 Pre-Demolition Assessment. The Environmental Contamination Assessment (ECA) that was performed for this site includedsamplingofpaintsforleadandPCBsforthepurposeofdeterminingremediationneedspriortobuildingtransfer. Hence, the paint chip sampling done, and any positive indications for either lead or PCBs-in-paint, was not sufficient to determine disposal of debris. As such it is incumbent upon the Contractor to determine ACM, ORM, and PCBs-in-paint presence and quantities for proper waste characterization, management, manifesting, and disposal IAW all Federal, State, and local regulations.</w:t>
      </w:r>
    </w:p>
    <w:p>
      <w:pPr>
        <w:pStyle w:val="Body Requriements"/>
      </w:pPr>
      <w:r>
        <w:rPr>
          <w:rtl w:val="0"/>
        </w:rPr>
        <w:t>3.5.3 Mobilization/Demobilization and Site Setup. This activity includes the following:</w:t>
      </w:r>
    </w:p>
    <w:p>
      <w:pPr>
        <w:pStyle w:val="Body Requriements"/>
      </w:pPr>
      <w:r>
        <w:rPr>
          <w:rtl w:val="0"/>
        </w:rPr>
        <w:t>3.5.3.1 Travel and transport of labor, equipment, and materials to work site, in-processing, site orientation, and any site or task</w:t>
      </w:r>
      <w:r>
        <w:rPr>
          <w:rtl w:val="0"/>
        </w:rPr>
        <w:t xml:space="preserve"> </w:t>
      </w:r>
      <w:r>
        <w:rPr>
          <w:rtl w:val="0"/>
        </w:rPr>
        <w:t>specific training.</w:t>
      </w:r>
    </w:p>
    <w:p>
      <w:pPr>
        <w:pStyle w:val="Body Requriements"/>
      </w:pPr>
      <w:r>
        <w:rPr>
          <w:rtl w:val="0"/>
        </w:rPr>
        <w:t>3.5.3.2 Installation of storm water protection system, installation of temporary safety fencing, and any other features required by permit.</w:t>
      </w:r>
    </w:p>
    <w:p>
      <w:pPr>
        <w:pStyle w:val="Body Requriements"/>
      </w:pPr>
      <w:r>
        <w:rPr>
          <w:rtl w:val="0"/>
        </w:rPr>
        <w:t>3.5.3.3 The Installation Operating Contractor shall be responsible for all utility disconnections. The Abatement and Demolition Contractor shall notify the appropriate installation POC 10 workdays prior to performing work at each facility.</w:t>
      </w:r>
    </w:p>
    <w:p>
      <w:pPr>
        <w:pStyle w:val="Body Requriements"/>
      </w:pPr>
      <w:r>
        <w:rPr>
          <w:rtl w:val="0"/>
        </w:rPr>
        <w:t>3.5.3.4 When a project requires the removal of pole- or pad-mounted transformers, the Installation must certify that they do not contain PCBs. If they do, the Installation is responsible for sampling and draining/closeout of the transformers prior to removal by the Contractor.</w:t>
      </w:r>
    </w:p>
    <w:p>
      <w:pPr>
        <w:pStyle w:val="Body Requriements"/>
      </w:pPr>
      <w:r>
        <w:rPr>
          <w:rtl w:val="0"/>
        </w:rPr>
        <w:t>3.5.3.5 Demolish or abandon utility lines, equipment and ancillary infrastructure in accordance with the requirements. 3.5.4 ACM Abatement and ORM Removal and Disposal. This activity includes the following:</w:t>
      </w:r>
    </w:p>
    <w:p>
      <w:pPr>
        <w:pStyle w:val="Body Requriements"/>
      </w:pPr>
      <w:r>
        <w:rPr>
          <w:rtl w:val="0"/>
        </w:rPr>
        <w:t>3.5.4.1 Abatement, removal, and disposal of ACM and ORM.</w:t>
      </w:r>
    </w:p>
    <w:p>
      <w:pPr>
        <w:pStyle w:val="Body Requriements"/>
      </w:pPr>
      <w:r>
        <w:rPr>
          <w:rtl w:val="0"/>
        </w:rPr>
        <w:t>3.5.4.2 The Contractor shall abate, remove, and dispose of ACM and ORM in accordance with Federal, State, and Local regulations. The Contractor shall comply with all Federal, State, and local requirements for manifesting, transporting, and disposal of ACMandORM. AllmanifestsforACMandORMsentoffsitewillutilizetheInstallationEPAIDnumberandsignedbythe Installation Environmental Manager. Installation environmental manager will be provided opportunity to review waste profiles and shipment of wastes.</w:t>
      </w:r>
    </w:p>
    <w:p>
      <w:pPr>
        <w:pStyle w:val="Body Requriements"/>
      </w:pPr>
      <w:r>
        <w:rPr>
          <w:rtl w:val="0"/>
        </w:rPr>
        <w:t>3.5.4.3 ACM waste generated by this task order shall be transported and legally disposed of at a U.S. EPA-approved asbestos waste</w:t>
      </w:r>
      <w:r>
        <w:rPr>
          <w:rtl w:val="0"/>
        </w:rPr>
        <w:t xml:space="preserve"> </w:t>
      </w:r>
      <w:r>
        <w:rPr>
          <w:rtl w:val="0"/>
          <w:lang w:val="it-IT"/>
        </w:rPr>
        <w:t>disposal</w:t>
      </w:r>
      <w:r>
        <w:rPr>
          <w:rtl w:val="0"/>
        </w:rPr>
        <w:t xml:space="preserve"> </w:t>
      </w:r>
      <w:r>
        <w:rPr>
          <w:rtl w:val="0"/>
        </w:rPr>
        <w:t>facility.</w:t>
      </w:r>
      <w:r>
        <w:rPr>
          <w:rtl w:val="0"/>
        </w:rPr>
        <w:t xml:space="preserve"> S</w:t>
      </w:r>
      <w:r>
        <w:rPr>
          <w:rtl w:val="0"/>
        </w:rPr>
        <w:t>ubmit</w:t>
      </w:r>
      <w:r>
        <w:rPr>
          <w:rtl w:val="0"/>
        </w:rPr>
        <w:t xml:space="preserve"> </w:t>
      </w:r>
      <w:r>
        <w:rPr>
          <w:rtl w:val="0"/>
        </w:rPr>
        <w:t>waste</w:t>
      </w:r>
      <w:r>
        <w:rPr>
          <w:rtl w:val="0"/>
        </w:rPr>
        <w:t xml:space="preserve"> </w:t>
      </w:r>
      <w:r>
        <w:rPr>
          <w:rtl w:val="0"/>
        </w:rPr>
        <w:t>manifests</w:t>
      </w:r>
      <w:r>
        <w:rPr>
          <w:rtl w:val="0"/>
        </w:rPr>
        <w:t xml:space="preserve"> </w:t>
      </w:r>
      <w:r>
        <w:rPr>
          <w:rtl w:val="0"/>
        </w:rPr>
        <w:t>for</w:t>
      </w:r>
      <w:r>
        <w:rPr>
          <w:rtl w:val="0"/>
        </w:rPr>
        <w:t xml:space="preserve"> </w:t>
      </w:r>
      <w:r>
        <w:rPr>
          <w:rtl w:val="0"/>
        </w:rPr>
        <w:t>Government</w:t>
      </w:r>
      <w:r>
        <w:rPr>
          <w:rtl w:val="0"/>
        </w:rPr>
        <w:t>’</w:t>
      </w:r>
      <w:r>
        <w:rPr>
          <w:rtl w:val="0"/>
        </w:rPr>
        <w:t>s</w:t>
      </w:r>
      <w:r>
        <w:rPr>
          <w:rtl w:val="0"/>
        </w:rPr>
        <w:t xml:space="preserve"> </w:t>
      </w:r>
      <w:r>
        <w:rPr>
          <w:rtl w:val="0"/>
        </w:rPr>
        <w:t>record</w:t>
      </w:r>
      <w:r>
        <w:rPr>
          <w:rtl w:val="0"/>
        </w:rPr>
        <w:t xml:space="preserve"> </w:t>
      </w:r>
      <w:r>
        <w:rPr>
          <w:rtl w:val="0"/>
        </w:rPr>
        <w:t>within</w:t>
      </w:r>
      <w:r>
        <w:rPr>
          <w:rtl w:val="0"/>
        </w:rPr>
        <w:t xml:space="preserve"> </w:t>
      </w:r>
      <w:r>
        <w:rPr>
          <w:rtl w:val="0"/>
        </w:rPr>
        <w:t>45</w:t>
      </w:r>
      <w:r>
        <w:rPr>
          <w:rtl w:val="0"/>
        </w:rPr>
        <w:t xml:space="preserve"> </w:t>
      </w:r>
      <w:r>
        <w:rPr>
          <w:rtl w:val="0"/>
        </w:rPr>
        <w:t>days</w:t>
      </w:r>
      <w:r>
        <w:rPr>
          <w:rtl w:val="0"/>
        </w:rPr>
        <w:t xml:space="preserve"> </w:t>
      </w:r>
      <w:r>
        <w:rPr>
          <w:rtl w:val="0"/>
        </w:rPr>
        <w:t>documenting</w:t>
      </w:r>
      <w:r>
        <w:rPr>
          <w:rtl w:val="0"/>
        </w:rPr>
        <w:t xml:space="preserve"> </w:t>
      </w:r>
      <w:r>
        <w:rPr>
          <w:rtl w:val="0"/>
        </w:rPr>
        <w:t>compliance</w:t>
      </w:r>
      <w:r>
        <w:rPr>
          <w:rtl w:val="0"/>
        </w:rPr>
        <w:t xml:space="preserve"> </w:t>
      </w:r>
      <w:r>
        <w:rPr>
          <w:rtl w:val="0"/>
        </w:rPr>
        <w:t>with</w:t>
      </w:r>
      <w:r>
        <w:rPr>
          <w:rtl w:val="0"/>
        </w:rPr>
        <w:t xml:space="preserve"> </w:t>
      </w:r>
      <w:r>
        <w:rPr>
          <w:rtl w:val="0"/>
        </w:rPr>
        <w:t>the requirements of this Section.</w:t>
      </w:r>
    </w:p>
    <w:p>
      <w:pPr>
        <w:pStyle w:val="Body Requriements"/>
      </w:pPr>
      <w:r>
        <w:rPr>
          <w:rtl w:val="0"/>
        </w:rPr>
        <w:t>3.5.4.4 The removal and disposal of ORM, which are, at a minimum, PCB-containing light ballasts, mercury-containing light tubes, mercury-containing thermostats and self-actuated fire alarms shall be performed prior to demolition.</w:t>
      </w:r>
    </w:p>
    <w:p>
      <w:pPr>
        <w:pStyle w:val="Body Requriements"/>
      </w:pPr>
      <w:r>
        <w:rPr>
          <w:rtl w:val="0"/>
        </w:rPr>
        <w:t>3.5.4.5 ORM waste generated by this task order shall be transported and legally recycled or disposed of at an acceptable and appropriate waste disposal facility. SubmitwastemanifestsforGovernment'srecordwithin45daysdocumentingcompliancewiththe requirements of this Section.</w:t>
      </w:r>
    </w:p>
    <w:p>
      <w:pPr>
        <w:pStyle w:val="Body Requriements"/>
      </w:pPr>
      <w:r>
        <w:rPr>
          <w:rtl w:val="0"/>
        </w:rPr>
        <w:t>3.5.5 Demolition. This activity includes, but is not limited to the following, and/or as described in Appendix C, Proponent Specific Requirements Appendix D, Detailed Site Notes from Scoping Site Visit:</w:t>
      </w:r>
    </w:p>
    <w:p>
      <w:pPr>
        <w:pStyle w:val="Body Requriements"/>
      </w:pPr>
      <w:r>
        <w:rPr>
          <w:rtl w:val="0"/>
        </w:rPr>
        <w:t>3.5.5.1 Interior equipment and machinery whether attached to the structure or free-standing.</w:t>
      </w:r>
    </w:p>
    <w:p>
      <w:pPr>
        <w:pStyle w:val="Body Requriements"/>
      </w:pPr>
      <w:r>
        <w:rPr>
          <w:rtl w:val="0"/>
        </w:rPr>
        <w:t>3.5.5.2 All E- and F-Line aboveground utilities, walkways, and roadways shall be removed, to include overhead electrical</w:t>
      </w:r>
    </w:p>
    <w:p>
      <w:pPr>
        <w:pStyle w:val="Body Requriements"/>
      </w:pPr>
      <w:r>
        <w:rPr>
          <w:rtl w:val="0"/>
        </w:rPr>
        <w:t>distribution system inside the security fence and aboveground steam lines both inside the security fence and extending outside the fence to the steam distribution connection point. Aboveground appurtenances (i.e., fire hydrants, post indicator valves, water main valve boxes, manhole covers and lids, etc.) that have been disconnected from the Installation -wide utility distribution loop shall also be removed and disposed. As part of this effort, also remove the underground, abandoned, fire water loop.</w:t>
      </w:r>
    </w:p>
    <w:p>
      <w:pPr>
        <w:pStyle w:val="Body Requriements"/>
      </w:pPr>
      <w:r>
        <w:rPr>
          <w:rtl w:val="0"/>
        </w:rPr>
        <w:t>3.5.5.2 Exterior pole-mounted lights and other equipment within the boundaries of demolition of the facility perimeter, and any poleorotheritemthathindersthefacilityremovalprocessorcontributesasafetyhazard. The re</w:t>
      </w:r>
      <w:r>
        <w:rPr>
          <w:rtl w:val="0"/>
        </w:rPr>
        <w:t>m</w:t>
      </w:r>
      <w:r>
        <w:rPr>
          <w:rtl w:val="0"/>
        </w:rPr>
        <w:t>oval of these will be reviewed and accepted by the Owner prior to work.</w:t>
      </w:r>
    </w:p>
    <w:p>
      <w:pPr>
        <w:pStyle w:val="Body Requriements"/>
      </w:pPr>
      <w:r>
        <w:rPr>
          <w:rtl w:val="0"/>
        </w:rPr>
        <w:t>3.5.5.3 Except where specified or reserved by the Government, all items and objects, materials, and equipment, that are on, in, or within the facilities at the time of mobilization are the property of the Contractor and shall be removed.</w:t>
      </w:r>
    </w:p>
    <w:p>
      <w:pPr>
        <w:pStyle w:val="Body Requriements"/>
      </w:pPr>
      <w:r>
        <w:rPr>
          <w:rtl w:val="0"/>
        </w:rPr>
        <w:t>3.5.5.4 Any pavement to be removed must be saw-cut to separate from the pavement to remain. Shoulders must be established at the cut area to maintain integrity of remaining pavement.</w:t>
      </w:r>
    </w:p>
    <w:p>
      <w:pPr>
        <w:pStyle w:val="Body Requriements"/>
      </w:pPr>
      <w:r>
        <w:rPr>
          <w:rtl w:val="0"/>
        </w:rPr>
        <w:t>3.5.5.5 Satisfactory backfill material shall comply with all Federal, State, and Local regulations, but if allowable may be processed cementitious debris or similar backfill material as accepted by the Contracting Officer and accepted by the Installation Environmental POC.</w:t>
      </w:r>
    </w:p>
    <w:p>
      <w:pPr>
        <w:pStyle w:val="Body Requriements"/>
      </w:pPr>
      <w:r>
        <w:rPr>
          <w:rtl w:val="0"/>
        </w:rPr>
        <w:t xml:space="preserve">3.5.5.6 Backfill shall be placed in lifts not to exceed eight (8) inches in loose thickness and compacted to the density as specified in the Region MATOC Attachment 12 </w:t>
      </w:r>
      <w:r>
        <w:rPr>
          <w:rtl w:val="0"/>
        </w:rPr>
        <w:t xml:space="preserve">– </w:t>
      </w:r>
      <w:r>
        <w:rPr>
          <w:rtl w:val="0"/>
        </w:rPr>
        <w:t>Specification Guide 02221 - Ex-Back-Site.</w:t>
      </w:r>
    </w:p>
    <w:p>
      <w:pPr>
        <w:pStyle w:val="Body Requriements"/>
      </w:pPr>
      <w:r>
        <w:rPr>
          <w:rtl w:val="0"/>
        </w:rPr>
        <w:t>3.5.5.7 The facility footprint shall be covered with a four-inch layer of topsoil which shall be graded to match the surrounding environment and provide for positive site drainage.</w:t>
      </w:r>
    </w:p>
    <w:p>
      <w:pPr>
        <w:pStyle w:val="Body Requriements"/>
      </w:pPr>
      <w:r>
        <w:rPr>
          <w:rtl w:val="0"/>
        </w:rPr>
        <w:t>3.5.5.8 The Contractor shall demolish and remove all ancillary items associated with each facility within the limits defined in the Demolition Design documents provided or as otherwise indicated in the PWS. Items may include, but are not limited to, overhead conveyance systems, unused utilities, walkways and sidewalks, utility poles, equipment pads, loading docks, etc.</w:t>
      </w:r>
    </w:p>
    <w:p>
      <w:pPr>
        <w:pStyle w:val="Body Requriements"/>
      </w:pPr>
      <w:r>
        <w:rPr>
          <w:rtl w:val="0"/>
        </w:rPr>
        <w:t>3.5.5.9 The Contractor shall install temporary protective barriers (fencing) in accordance with EM 385 -1-1, 04.A.04, Fencing and Warning Signs, and remove them when the GDA permits. For this task order properly installed and placarded orange construction fencing is an option for providing a temporary protective barrier.</w:t>
      </w:r>
    </w:p>
    <w:p>
      <w:pPr>
        <w:pStyle w:val="Body Requriements"/>
      </w:pPr>
      <w:r>
        <w:rPr>
          <w:rtl w:val="0"/>
        </w:rPr>
        <w:t>3.5.5.10 Contractor shall restore existing perimeter fence with like materials and design to restrict access to the area upon completion of demolition activities. Contractor shall provide proposed fencing layout to Milan AAP Security Office prior to installation. See Appendix F, Item 5 - FE6 Chain-Link Security Fence (STD 87-90-03)</w:t>
      </w:r>
    </w:p>
    <w:p>
      <w:pPr>
        <w:pStyle w:val="Body Requriements"/>
      </w:pPr>
      <w:r>
        <w:rPr>
          <w:rtl w:val="0"/>
        </w:rPr>
        <w:t>3.5.6 Debris Disposal/Diversion. This activity includes the following:</w:t>
      </w:r>
    </w:p>
    <w:p>
      <w:pPr>
        <w:pStyle w:val="Body Requriements"/>
      </w:pPr>
      <w:r>
        <w:rPr>
          <w:rtl w:val="0"/>
        </w:rPr>
        <w:t>3.5.6.1 The minimum diversion goal for this Task Order is 60% by weight.</w:t>
      </w:r>
    </w:p>
    <w:p>
      <w:pPr>
        <w:pStyle w:val="Body Requriements"/>
      </w:pPr>
      <w:r>
        <w:rPr>
          <w:rtl w:val="0"/>
        </w:rPr>
        <w:t>3.5.6.2 The Contractor shall manage wastes and debris in accordance with the accepted Waste Management and Diversion Plan.</w:t>
      </w:r>
    </w:p>
    <w:p>
      <w:pPr>
        <w:pStyle w:val="Body Requriements"/>
      </w:pPr>
      <w:r>
        <w:rPr>
          <w:rtl w:val="0"/>
        </w:rPr>
        <w:t>3.5.6.3 Demolition Material Disposal/Recycle/Diversion. The Contractor shall be responsible for removal, segregation, decontamination, loading and transportation of all debris for disposal at facilities approved to accept the particular material. With respect to any contamination found, the method of remediation/ decontamination will be proposed by the Contractor for acceptance by the Government and the regulatory agencies.</w:t>
      </w:r>
    </w:p>
    <w:p>
      <w:pPr>
        <w:pStyle w:val="Body Requriements"/>
      </w:pPr>
      <w:r>
        <w:rPr>
          <w:rtl w:val="0"/>
        </w:rPr>
        <w:t>Contractor shall perform hazardous waste determination for the painted concrete using the RCRA TCLP waste characterization analysis and shall ensure that no PCB content of paint on concrete exceeds the regulatory thresholds For concrete debris that passes the TCLP test, to include unpainted debris, an SPLP analysis will also be performed of the m aterials to determine leaching characteristics of the RCRA 8 metals. Debris that passes both the TCLP and SPLP analyses, may then be rec ycled and reused on site.</w:t>
      </w:r>
    </w:p>
    <w:p>
      <w:pPr>
        <w:pStyle w:val="Body Requriements"/>
      </w:pPr>
      <w:r>
        <w:rPr>
          <w:rtl w:val="0"/>
        </w:rPr>
        <w:t>Asphalt and concrete/brick materials are to be stockpiled separately. Contractor shall dispose of concrete/brick material not meeting RCRA &amp; TSCA standards IAW Federal, State, and local disposal regulations. All crushed concrete materials that have been tested and are RCRA non-hazardous shall be stockpiled at the project site. Asphalt materials may be used intended purposes such as roadbed materials.</w:t>
      </w:r>
    </w:p>
    <w:p>
      <w:pPr>
        <w:pStyle w:val="Body Requriements"/>
      </w:pPr>
      <w:r>
        <w:rPr>
          <w:rtl w:val="0"/>
        </w:rPr>
        <w:t>After operations are complete, if there are excess soils, Contractor shall stockpile and sample to characterize soils for explosives. Soils under the remedial action levels may be reused onsite. Soils above remedial action levels will be covered to prevent water infiltration. Upon review of characterization information, Environmental Manager will determine final disposition of surplus soils. For bidding purposes, contractors shall assume surplus soils will be stockpiled at the Installation. Contractor shall coordinate with the Installation for final location of crushed material.</w:t>
      </w:r>
    </w:p>
    <w:p>
      <w:pPr>
        <w:pStyle w:val="Body Requriements"/>
      </w:pPr>
      <w:r>
        <w:rPr>
          <w:rtl w:val="0"/>
        </w:rPr>
        <w:t>The contractor shall dispose of demolition debris generated by this work action at an accepted transfer station or commercial landfill. Any materials that are to be disposed off-site or recycled/reused shall be rendered as MDAS and certified as such. On production-specific equipment, the Contractor shall decontaminate all to an MDAS condition, certify it as such and be responsible for transportation to the chosen disposal location for disposal.</w:t>
      </w:r>
    </w:p>
    <w:p>
      <w:pPr>
        <w:pStyle w:val="Body Requriements"/>
      </w:pPr>
      <w:r>
        <w:rPr>
          <w:rtl w:val="0"/>
        </w:rPr>
        <w:t>If any groundwater is encountered and requires dewatering, containerize groundwater and dispose at the Installation Industrial Wastewater Treatment Plant.</w:t>
      </w:r>
    </w:p>
    <w:p>
      <w:pPr>
        <w:pStyle w:val="Body Requriements"/>
      </w:pPr>
      <w:r>
        <w:rPr>
          <w:rtl w:val="0"/>
        </w:rPr>
        <w:t>After operations are complete, if there is a surplus of soil it may be spread onsite or left stockpiled for use by the installation. Testing will verify the soil does not contain hazardous constituents.</w:t>
      </w:r>
    </w:p>
    <w:p>
      <w:pPr>
        <w:pStyle w:val="Body Requriements"/>
      </w:pPr>
      <w:r>
        <w:rPr>
          <w:rtl w:val="0"/>
        </w:rPr>
        <w:t>The contractor shall backfill and seed any areas excavated during the performance of this work. Borrow for fill material is a vailable at MLAAP.</w:t>
      </w:r>
    </w:p>
    <w:p>
      <w:pPr>
        <w:pStyle w:val="Body Requriements"/>
      </w:pPr>
      <w:r>
        <w:rPr>
          <w:rtl w:val="0"/>
        </w:rPr>
        <w:t>Immediately following the demolition of each facility, Contractor shall conduct sampling efforts IAW Approved Soil Sampling Strategy for MLAAP Line H Building Demolition. See Appendix F, Item 2 - Soil Sampling Strategy for MLAAP Line H Building Demolition. Government understands a reconciliation between the Soil Sampling Strategy and Approved Soil Sampling Strategy requirements may be required after award.</w:t>
      </w:r>
    </w:p>
    <w:p>
      <w:pPr>
        <w:pStyle w:val="Body Requriements"/>
      </w:pPr>
      <w:r>
        <w:rPr>
          <w:rtl w:val="0"/>
        </w:rPr>
        <w:t>3.5.6.4 Upon acceptance of the recycling/re-use analysis presented in the Waste Management and Diversion Plan the Contractor shall recycle materials and submit proof of recycling/diversion in the monthly and final reports.</w:t>
      </w:r>
    </w:p>
    <w:p>
      <w:pPr>
        <w:pStyle w:val="Body Requriements"/>
      </w:pPr>
      <w:r>
        <w:rPr>
          <w:rtl w:val="0"/>
        </w:rPr>
        <w:t>3.5.6.4 Use of the material processed for engineering fill, aggregate, or re-constituted concrete or asphaltic pavement constitutes recycling.</w:t>
      </w:r>
    </w:p>
    <w:p>
      <w:pPr>
        <w:pStyle w:val="Body Requriements"/>
      </w:pPr>
      <w:r>
        <w:rPr>
          <w:rtl w:val="0"/>
        </w:rPr>
        <w:t>3.5.6.5 The Contractor shall dispose of debris generated during the execution of this work not intended for diversion/re-use/recycling at a commercial disposal facility/landfill that is permitted to accept the type material being disposed.</w:t>
      </w:r>
    </w:p>
    <w:p>
      <w:pPr>
        <w:pStyle w:val="Body Requriements"/>
      </w:pPr>
      <w:r>
        <w:rPr>
          <w:rtl w:val="0"/>
        </w:rPr>
        <w:t>3.5.6.6 In accordance with all Federal, State, and local regulations, all concrete/asphaltic materials suitable for reuse and recycling may be crushed on site. Contractor shall coordinate crushing activities with installation to determine terms and conditions of the Installation Air Quality Permit.</w:t>
      </w:r>
    </w:p>
    <w:p>
      <w:pPr>
        <w:pStyle w:val="Body Requriements"/>
      </w:pPr>
      <w:r>
        <w:rPr>
          <w:rtl w:val="0"/>
        </w:rPr>
        <w:t>3.5.6.7 Contractor shall perform hazardous waste determination for all waste using the RCRA TCLP waste characterization analysis and shall ensure that no PCB</w:t>
      </w:r>
      <w:r>
        <w:rPr>
          <w:rtl w:val="1"/>
        </w:rPr>
        <w:t>’</w:t>
      </w:r>
      <w:r>
        <w:rPr>
          <w:rtl w:val="0"/>
        </w:rPr>
        <w:t>s content of paint on concrete exceeds regulatory thresholds.</w:t>
      </w:r>
    </w:p>
    <w:p>
      <w:pPr>
        <w:pStyle w:val="Body Requriements"/>
      </w:pPr>
      <w:r>
        <w:rPr>
          <w:rtl w:val="0"/>
        </w:rPr>
        <w:t>For concrete debris that passes the TCLP test, to include unpainted debris, an SPLP analysis will also be performed of the materials to determine leaching characteristics of the RCRA 8 metals. Debris that passes both the TCLP and SPLP analyses, may then b e recycled and reused on site.</w:t>
      </w:r>
    </w:p>
    <w:p>
      <w:pPr>
        <w:pStyle w:val="Body Requriements"/>
      </w:pPr>
      <w:r>
        <w:rPr>
          <w:rtl w:val="0"/>
        </w:rPr>
        <w:t>Asphalt and concrete/brick materials are to be stockpiled separately. Contractor shall dispose of concrete/brick material no t meeting RCRA &amp; TSCA standards IAW Federal, State, and local disposal regulations. All crushed concrete materials that have been tested and are RCRA non-hazardous shall be stockpiled at the project site. Asphalt materials may be used intended purposes such as roadbed materials.</w:t>
      </w:r>
    </w:p>
    <w:p>
      <w:pPr>
        <w:pStyle w:val="Body Requriements"/>
      </w:pPr>
      <w:r>
        <w:rPr>
          <w:rtl w:val="0"/>
        </w:rPr>
        <w:t>After operations are complete, if there are excess soils, Contractor shall stockpile and sample to characterize soils for explosives. Soils under the remedial action levels may be reused onsite. Soils aboveremedialactionlevelswillbecoveredtopreventwater infiltration. Upon review of characterization information, Environmental Manager will determine final disposition of surplus soils. For biddingpurposes,contractorsshallassumesurplussoilswillbestockpiledattheInstallation. Contractorshallcoordinatewiththe Installation for final location of crushed material.</w:t>
      </w:r>
    </w:p>
    <w:p>
      <w:pPr>
        <w:pStyle w:val="Body Requriements"/>
      </w:pPr>
      <w:r>
        <w:rPr>
          <w:rtl w:val="0"/>
        </w:rPr>
        <w:t>3.5.6.9 After operations are complete, if there are excess soils, Contractor shall stockpile and sample to characterize soils for potential re-use or disposal. Upon review of characterization information, Environmental Manager will determine final disposition of surplus soils. For bidding purposes, contractors shall assume surplus soils will be stockpiled at the Installation.</w:t>
      </w:r>
    </w:p>
    <w:p>
      <w:pPr>
        <w:pStyle w:val="Body Requriements"/>
      </w:pPr>
      <w:r>
        <w:rPr>
          <w:rtl w:val="0"/>
        </w:rPr>
        <w:t>3.5.6.9 Immediately following the demolition of each facility, Contractor shall conduct sampling efforts IAW Approved Soil Sampling Strategy for MLAAP Line H Building Demolition. See Appendix F, Item 2 - Draft Soil Sampling Strategy for MLAAP Line H Building Demolition. Government understands a reconciliation between the Draft Soil Sampling Strategy and Approved Soil Sampling Strategy requirements may be required after award.</w:t>
      </w:r>
    </w:p>
    <w:p>
      <w:pPr>
        <w:pStyle w:val="Body Requriements"/>
      </w:pPr>
      <w:r>
        <w:rPr>
          <w:rtl w:val="0"/>
        </w:rPr>
        <w:t xml:space="preserve">3.5.6.10 Borrow material is available onsite. Contractor shall use all suitable soil from the project area and obtains soil from the installation borrow areas prior to purchasing and importing suitable native topsoil. Borrow Area is approximately 2.5 miles from Line H, see Appendix F, Item 3 </w:t>
      </w:r>
      <w:r>
        <w:rPr>
          <w:rtl w:val="0"/>
        </w:rPr>
        <w:t xml:space="preserve">– </w:t>
      </w:r>
      <w:r>
        <w:rPr>
          <w:rtl w:val="0"/>
        </w:rPr>
        <w:t>H-Line to Borrow Area.</w:t>
      </w:r>
    </w:p>
    <w:p>
      <w:pPr>
        <w:pStyle w:val="Body Requriements"/>
      </w:pPr>
      <w:r>
        <w:rPr>
          <w:rtl w:val="0"/>
        </w:rPr>
        <w:t xml:space="preserve">3.5.7 Site Restoration and Final Cleanup. Following the removal of a facility, the Contractor shall clean and restore the area as indicated. Minimum specifications for backfill and site restoration can be found in the Region MATOC Attachment 12 </w:t>
      </w:r>
      <w:r>
        <w:rPr>
          <w:rtl w:val="0"/>
        </w:rPr>
        <w:t xml:space="preserve">– </w:t>
      </w:r>
      <w:r>
        <w:rPr>
          <w:rtl w:val="0"/>
        </w:rPr>
        <w:t>Specification Guide 02221 - Ex-Back-Site. Compaction shall meet the specifications for backfill of soils. The Contractor shall blend and grade the backfill soils into the surrounding grade (not exhibit slopes greater than 1 Vertical:12 Horizontal) to ensure that there is no ponding and to provide positive drainage. The Contractor is responsible for management of all permitted controls until the permits are closed out and the site is accepted by the landholder. Any damage caused by the contractor such as, but not limited to roadways or parking areas due to transporting debris, mechanical equipment, etc. shall be the contractor</w:t>
      </w:r>
      <w:r>
        <w:rPr>
          <w:rtl w:val="1"/>
        </w:rPr>
        <w:t>’</w:t>
      </w:r>
      <w:r>
        <w:rPr>
          <w:rtl w:val="0"/>
        </w:rPr>
        <w:t>s responsibility to repair back to original condition.</w:t>
      </w:r>
    </w:p>
    <w:p>
      <w:pPr>
        <w:pStyle w:val="Body Requriements"/>
      </w:pPr>
      <w:r>
        <w:rPr>
          <w:rtl w:val="0"/>
        </w:rPr>
        <w:t>Site restoration shall be grass for all disturbed areas.</w:t>
      </w:r>
    </w:p>
    <w:p>
      <w:pPr>
        <w:pStyle w:val="Body Requriements"/>
      </w:pPr>
      <w:r>
        <w:rPr>
          <w:rtl w:val="0"/>
        </w:rPr>
        <w:t>3.5.8 Salvage Credit. A change in market value of salvage and recyclable materials, over the course of the contract, shall not be considered a change of conditions and will not be a reason to request a change order modification.</w:t>
      </w:r>
    </w:p>
    <w:p>
      <w:pPr>
        <w:pStyle w:val="Body"/>
      </w:pPr>
    </w:p>
    <w:p>
      <w:pPr>
        <w:pStyle w:val="Heading 1"/>
      </w:pPr>
      <w:bookmarkStart w:name="_Toc6" w:id="7"/>
      <w:r>
        <w:rPr>
          <w:rFonts w:cs="Arial Unicode MS" w:eastAsia="Arial Unicode MS"/>
          <w:rtl w:val="0"/>
        </w:rPr>
        <w:t>2. Abatement Approach and Disposal</w:t>
      </w:r>
      <w:bookmarkEnd w:id="7"/>
    </w:p>
    <w:p>
      <w:pPr>
        <w:pStyle w:val="Body"/>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pPr>
      <w:bookmarkStart w:name="_Toc7" w:id="8"/>
      <w:r>
        <w:rPr>
          <w:rFonts w:cs="Arial Unicode MS" w:eastAsia="Arial Unicode MS"/>
          <w:rtl w:val="0"/>
        </w:rPr>
        <w:t>Abatement and Disposal of Asbestos Containing Material</w:t>
      </w:r>
      <w:bookmarkEnd w:id="8"/>
    </w:p>
    <w:p>
      <w:pPr>
        <w:pStyle w:val="Body"/>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w:pPr>
      <w:r>
        <w:rPr>
          <w:rtl w:val="0"/>
        </w:rPr>
        <w:t>Full enclosure method for friable materials (e.g.</w:t>
      </w:r>
      <w:r>
        <w:rPr>
          <w:rtl w:val="0"/>
        </w:rPr>
        <w:t>,</w:t>
      </w:r>
      <w:r>
        <w:rPr>
          <w:rtl w:val="0"/>
        </w:rPr>
        <w:t xml:space="preserve">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w:pPr>
      <w:r>
        <w:rPr>
          <w:rtl w:val="0"/>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w:t>
      </w:r>
    </w:p>
    <w:p>
      <w:pPr>
        <w:pStyle w:val="Body"/>
      </w:pPr>
      <w:r>
        <w:rPr>
          <w:rtl w:val="0"/>
        </w:rPr>
        <w:t>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p>
    <w:p>
      <w:pPr>
        <w:pStyle w:val="Body"/>
      </w:pPr>
      <w:r>
        <w:rPr>
          <w:rtl w:val="0"/>
        </w:rPr>
        <w:t>Roofing material as well as material above the worker</w:t>
      </w:r>
      <w:r>
        <w:rPr>
          <w:rtl w:val="1"/>
        </w:rPr>
        <w:t>’</w:t>
      </w:r>
      <w:r>
        <w:rPr>
          <w:rtl w:val="0"/>
        </w:rPr>
        <w:t xml:space="preserve">s reach will be accessed in compliance with the USACE Fall Protection Guide. A Fall Protection survey will be completed by the SSHO and a Fall Protection &amp; Prevention plan created for the site specific fall hazards. All materials will be adequately wet and kept wet during removal. </w:t>
      </w:r>
    </w:p>
    <w:p>
      <w:pPr>
        <w:pStyle w:val="Body"/>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w:pPr>
      <w:r>
        <w:rPr>
          <w:rtl w:val="0"/>
        </w:rPr>
        <w:t>Decontamination Unit: The decontamination station is designed to allow passage to and from the work area during removal operations with no leakage of asbestos fibers outside the contained work area. The unit consists of a clean room, wash room, and equipment room separated by airlocks. The airlocks are formed by overlapping three sheets of polyethylene at the exit of each room, and three sheets at the entrance to the next room with 2-3 feet of space between barriers.</w:t>
      </w:r>
    </w:p>
    <w:p>
      <w:pPr>
        <w:pStyle w:val="Body"/>
      </w:pPr>
      <w:r>
        <w:rPr>
          <w:rtl w:val="0"/>
        </w:rPr>
        <w:t>Clean Room: No asbestos contaminated items will enter this room. Workers use this area to suit up, store street clothes, and put on respiratory protection before they enter the work area, and to dress in clean clothes after washing.</w:t>
      </w:r>
    </w:p>
    <w:p>
      <w:pPr>
        <w:pStyle w:val="Body"/>
      </w:pPr>
      <w:r>
        <w:rPr>
          <w:rtl w:val="0"/>
        </w:rPr>
        <w:t>Shower Room: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State and local requirements on methods of wastewater disposal vary. All Phase will follow all local and state specifications for handling wastewater.</w:t>
      </w:r>
    </w:p>
    <w:p>
      <w:pPr>
        <w:pStyle w:val="Body"/>
      </w:pPr>
      <w:r>
        <w:rPr>
          <w:rtl w:val="0"/>
        </w:rPr>
        <w:t>Equipment Room: This 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p>
    <w:p>
      <w:pPr>
        <w:pStyle w:val="Body"/>
      </w:pPr>
      <w:r>
        <w:rPr>
          <w:rtl w:val="0"/>
        </w:rPr>
        <w:t>Description of 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tl w:val="1"/>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w:pPr>
      <w:r>
        <w:rPr>
          <w:rtl w:val="0"/>
        </w:rPr>
        <w:t>Basis of Initial Exposure Assessment: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w:pPr>
      <w:r>
        <w:rPr>
          <w:rtl w:val="0"/>
        </w:rPr>
        <w:t>Cleanup during Gross Removal: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w:pPr>
      <w:r>
        <w:rPr>
          <w:rtl w:val="0"/>
        </w:rPr>
        <w:t>Perform Final Wipe Down of Equipment: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w:pPr>
      <w:r>
        <w:rPr>
          <w:rtl w:val="0"/>
        </w:rPr>
        <w:t>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w:pPr>
      <w:r>
        <w:rPr>
          <w:rtl w:val="0"/>
        </w:rPr>
        <w:t>Encapsulation Methods: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 pressure airless sprayer. All Phase will submit the material safety data sheets (MSDS) for approval.</w:t>
      </w:r>
    </w:p>
    <w:p>
      <w:pPr>
        <w:pStyle w:val="Body"/>
      </w:pPr>
      <w:r>
        <w:rPr>
          <w:rtl w:val="0"/>
        </w:rPr>
        <w:t>Final Clearance Monitoring: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w:pPr>
      <w:r>
        <w:rPr>
          <w:rtl w:val="0"/>
        </w:rPr>
        <w:t>Training &amp; Medical Surveillance: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w:pPr>
      <w:r>
        <w:rPr>
          <w:rtl w:val="0"/>
        </w:rPr>
        <w:t>Asbestos Disposition: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Body"/>
      </w:pPr>
    </w:p>
    <w:p>
      <w:pPr>
        <w:pStyle w:val="Body"/>
      </w:pPr>
    </w:p>
    <w:p>
      <w:pPr>
        <w:pStyle w:val="Heading 1"/>
      </w:pPr>
      <w:bookmarkStart w:name="_Toc8" w:id="9"/>
      <w:r>
        <w:rPr>
          <w:rFonts w:cs="Arial Unicode MS" w:eastAsia="Arial Unicode MS"/>
          <w:rtl w:val="0"/>
        </w:rPr>
        <w:t xml:space="preserve">3. </w:t>
      </w:r>
      <w:r>
        <w:rPr>
          <w:rFonts w:cs="Arial Unicode MS" w:eastAsia="Arial Unicode MS"/>
          <w:rtl w:val="0"/>
        </w:rPr>
        <w:t>Project Execution</w:t>
      </w:r>
      <w:bookmarkEnd w:id="9"/>
    </w:p>
    <w:p>
      <w:pPr>
        <w:pStyle w:val="Body"/>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1"/>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w:pPr>
      <w:r>
        <w:rPr>
          <w:rStyle w:val="None"/>
          <w:b w:val="1"/>
          <w:bCs w:val="1"/>
          <w:i w:val="1"/>
          <w:iCs w:val="1"/>
          <w:rtl w:val="0"/>
          <w:lang w:val="en-US"/>
        </w:rPr>
        <w:t>Regulations and Permitting</w:t>
      </w:r>
      <w:r>
        <w:rPr>
          <w:rtl w:val="0"/>
        </w:rPr>
        <w:t xml:space="preserve">: </w:t>
      </w:r>
      <w:r>
        <w:rPr>
          <w:rtl w:val="0"/>
        </w:rPr>
        <w:t>All Phase will follow the jurisdiction of the</w:t>
      </w:r>
      <w:r>
        <w:rPr>
          <w:rtl w:val="0"/>
        </w:rPr>
        <w:t xml:space="preserve"> state Department of Environmental Protection over asbestos abatement on this task order</w:t>
      </w:r>
      <w:r>
        <w:rPr>
          <w:rtl w:val="0"/>
        </w:rPr>
        <w:t>, unless otherwise directed</w:t>
      </w:r>
      <w:r>
        <w:rPr>
          <w:rtl w:val="0"/>
        </w:rPr>
        <w:t>. All Phase Superintendents and workers will have their state accreditations in order to work on this project.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A copy of the signed permit will be furnished to the government. We will coordinate our SWPPP and Storm Water Best Management Practices with the government.</w:t>
      </w:r>
    </w:p>
    <w:p>
      <w:pPr>
        <w:pStyle w:val="Body"/>
      </w:pPr>
      <w:r>
        <w:rPr>
          <w:rtl w:val="0"/>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tl w:val="1"/>
          <w:lang w:val="ar-SA" w:bidi="ar-SA"/>
        </w:rPr>
        <w:t>“</w:t>
      </w:r>
      <w:r>
        <w:rPr>
          <w:rtl w:val="0"/>
          <w:lang w:val="de-DE"/>
        </w:rPr>
        <w:t>Changes List</w:t>
      </w:r>
      <w:r>
        <w:rPr>
          <w:rtl w:val="0"/>
        </w:rPr>
        <w:t xml:space="preserve">” </w:t>
      </w:r>
      <w:r>
        <w:rPr>
          <w:rtl w:val="0"/>
        </w:rPr>
        <w:t>at the front of the document for each re-submittal.</w:t>
      </w:r>
    </w:p>
    <w:p>
      <w:pPr>
        <w:pStyle w:val="Body"/>
      </w:pPr>
      <w:r>
        <w:rPr>
          <w:rStyle w:val="None"/>
          <w:b w:val="1"/>
          <w:bCs w:val="1"/>
          <w:i w:val="1"/>
          <w:iCs w:val="1"/>
          <w:rtl w:val="0"/>
          <w:lang w:val="nl-NL"/>
        </w:rPr>
        <w:t>Coordination</w:t>
      </w:r>
      <w:r>
        <w:rPr>
          <w:rtl w:val="0"/>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tl w:val="1"/>
        </w:rPr>
        <w:t>’</w:t>
      </w:r>
      <w:r>
        <w:rPr>
          <w:rtl w:val="0"/>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w:pPr>
      <w:r>
        <w:rPr>
          <w:rStyle w:val="None"/>
          <w:b w:val="1"/>
          <w:bCs w:val="1"/>
          <w:i w:val="1"/>
          <w:iCs w:val="1"/>
          <w:rtl w:val="0"/>
          <w:lang w:val="en-US"/>
        </w:rPr>
        <w:t>Traffic and Work Hours</w:t>
      </w:r>
      <w:r>
        <w:rPr>
          <w:rtl w:val="0"/>
        </w:rPr>
        <w:t xml:space="preserve">: Haul routes will be identified/approved after award </w:t>
      </w:r>
      <w:r>
        <w:rPr>
          <w:rtl w:val="0"/>
        </w:rPr>
        <w:t>but</w:t>
      </w:r>
      <w:r>
        <w:rPr>
          <w:rtl w:val="0"/>
        </w:rPr>
        <w:t xml:space="preserve"> prior to mobilization.</w:t>
      </w:r>
    </w:p>
    <w:p>
      <w:pPr>
        <w:pStyle w:val="Body"/>
      </w:pPr>
      <w:r>
        <w:rPr>
          <w:rStyle w:val="None"/>
          <w:b w:val="1"/>
          <w:bCs w:val="1"/>
          <w:i w:val="1"/>
          <w:iCs w:val="1"/>
          <w:rtl w:val="0"/>
          <w:lang w:val="en-US"/>
        </w:rPr>
        <w:t>Staging</w:t>
      </w:r>
      <w:r>
        <w:rPr>
          <w:rtl w:val="0"/>
        </w:rPr>
        <w:t xml:space="preserve">: We will confirm the precise locations for staging with </w:t>
      </w:r>
      <w:r>
        <w:rPr>
          <w:rtl w:val="0"/>
        </w:rPr>
        <w:t>the CO/COR</w:t>
      </w:r>
      <w:r>
        <w:rPr>
          <w:rtl w:val="0"/>
        </w:rPr>
        <w:t>.</w:t>
      </w:r>
    </w:p>
    <w:p>
      <w:pPr>
        <w:pStyle w:val="Body"/>
      </w:pPr>
      <w:r>
        <w:rPr>
          <w:rStyle w:val="None"/>
          <w:b w:val="1"/>
          <w:bCs w:val="1"/>
          <w:i w:val="1"/>
          <w:iCs w:val="1"/>
          <w:rtl w:val="0"/>
          <w:lang w:val="nl-NL"/>
        </w:rPr>
        <w:t>Utilities</w:t>
      </w:r>
      <w:r>
        <w:rPr>
          <w:rtl w:val="0"/>
        </w:rPr>
        <w:t xml:space="preserve">: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w:t>
      </w:r>
      <w:r>
        <w:rPr>
          <w:rtl w:val="0"/>
        </w:rPr>
        <w:t>government site manager</w:t>
      </w:r>
      <w:r>
        <w:rPr>
          <w:rtl w:val="0"/>
        </w:rPr>
        <w:t xml:space="preserve"> at the project Kick-Off Meeting.</w:t>
      </w:r>
    </w:p>
    <w:p>
      <w:pPr>
        <w:pStyle w:val="Body"/>
      </w:pPr>
      <w:r>
        <w:rPr>
          <w:rtl w:val="0"/>
        </w:rPr>
        <w:t xml:space="preserve">We note that none of the utilities are privatized and there will be no disconnection fees. The </w:t>
      </w:r>
      <w:r>
        <w:rPr>
          <w:rtl w:val="0"/>
        </w:rPr>
        <w:t>government</w:t>
      </w:r>
      <w:r>
        <w:rPr>
          <w:rtl w:val="0"/>
        </w:rPr>
        <w:t xml:space="preserve">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w:pPr>
      <w:r>
        <w:rPr>
          <w:rStyle w:val="None"/>
          <w:b w:val="1"/>
          <w:bCs w:val="1"/>
          <w:i w:val="1"/>
          <w:iCs w:val="1"/>
          <w:rtl w:val="0"/>
          <w:lang w:val="en-US"/>
        </w:rPr>
        <w:t>Handling of PCBs</w:t>
      </w:r>
      <w:r>
        <w:rPr>
          <w:rtl w:val="0"/>
        </w:rPr>
        <w:t>: All Phase ensure w</w:t>
      </w:r>
      <w:r>
        <w:rPr>
          <w:rtl w:val="0"/>
        </w:rPr>
        <w:t xml:space="preserve">orker training </w:t>
      </w:r>
      <w:r>
        <w:rPr>
          <w:rtl w:val="0"/>
        </w:rPr>
        <w:t>to</w:t>
      </w:r>
      <w:r>
        <w:rPr>
          <w:rtl w:val="0"/>
        </w:rPr>
        <w:t xml:space="preserve"> promote proper handling and disposal of PCBs-contaminated materials, limiting the potential for these materials to pollute surface waters</w:t>
      </w:r>
      <w:r>
        <w:rPr>
          <w:rtl w:val="0"/>
        </w:rPr>
        <w:t xml:space="preserve">. </w:t>
      </w:r>
      <w:r>
        <w:rPr>
          <w:rtl w:val="0"/>
        </w:rPr>
        <w:t>Best management practices that protect human health by reducing dust exposures also help meet the objectives of</w:t>
      </w:r>
      <w:r>
        <w:rPr>
          <w:rtl w:val="0"/>
        </w:rPr>
        <w:t xml:space="preserve"> </w:t>
      </w:r>
      <w:r>
        <w:rPr>
          <w:rtl w:val="0"/>
          <w:lang w:val="es-ES_tradnl"/>
        </w:rPr>
        <w:t>reduc</w:t>
      </w:r>
      <w:r>
        <w:rPr>
          <w:rtl w:val="0"/>
        </w:rPr>
        <w:t>ing</w:t>
      </w:r>
      <w:r>
        <w:rPr>
          <w:rtl w:val="0"/>
        </w:rPr>
        <w:t xml:space="preserve"> ground deposition of PCBs to ultimately protect water quality. When fewer surface PCBs are left behind during dry weather, it reduces concentrations in rainfall and runoff. Additionally, several unrelated Best Management Practices</w:t>
      </w:r>
      <w:r>
        <w:rPr>
          <w:rtl w:val="0"/>
        </w:rPr>
        <w:t xml:space="preserve"> (</w:t>
      </w:r>
      <w:r>
        <w:rPr>
          <w:rtl w:val="0"/>
          <w:lang w:val="fr-FR"/>
        </w:rPr>
        <w:t>BMPs</w:t>
      </w:r>
      <w:r>
        <w:rPr>
          <w:rtl w:val="0"/>
        </w:rPr>
        <w:t>)</w:t>
      </w:r>
      <w:r>
        <w:rPr>
          <w:rtl w:val="0"/>
        </w:rPr>
        <w:t>, routinely implemented on construction projects, also reduce the mobilization of PCBs including BMPs for erosion control, sediment control, and waste management practices.</w:t>
      </w:r>
    </w:p>
    <w:p>
      <w:pPr>
        <w:pStyle w:val="Body"/>
      </w:pPr>
      <w:r>
        <w:rPr>
          <w:rStyle w:val="None"/>
          <w:b w:val="1"/>
          <w:bCs w:val="1"/>
          <w:i w:val="1"/>
          <w:iCs w:val="1"/>
          <w:rtl w:val="0"/>
          <w:lang w:val="en-US"/>
        </w:rPr>
        <w:t>Ordnance Explosive Safety Support</w:t>
      </w:r>
      <w:r>
        <w:rPr>
          <w:rtl w:val="0"/>
        </w:rPr>
        <w:t xml:space="preserve">: An explosives safety submission (ESS) </w:t>
      </w:r>
      <w:r>
        <w:rPr>
          <w:rtl w:val="0"/>
        </w:rPr>
        <w:t>may be</w:t>
      </w:r>
      <w:r>
        <w:rPr>
          <w:rtl w:val="0"/>
        </w:rPr>
        <w:t xml:space="preserve"> required</w:t>
      </w:r>
      <w:r>
        <w:rPr>
          <w:rtl w:val="0"/>
        </w:rPr>
        <w:t xml:space="preserve">, as there is a </w:t>
      </w:r>
      <w:r>
        <w:rPr>
          <w:rtl w:val="1"/>
          <w:lang w:val="ar-SA" w:bidi="ar-SA"/>
        </w:rPr>
        <w:t>“</w:t>
      </w:r>
      <w:r>
        <w:rPr>
          <w:rtl w:val="0"/>
        </w:rPr>
        <w:t>High Probability</w:t>
      </w:r>
      <w:r>
        <w:rPr>
          <w:rtl w:val="0"/>
        </w:rPr>
        <w:t xml:space="preserve">” </w:t>
      </w:r>
      <w:r>
        <w:rPr>
          <w:rtl w:val="0"/>
        </w:rPr>
        <w:t xml:space="preserve">of </w:t>
      </w:r>
      <w:r>
        <w:rPr>
          <w:rtl w:val="0"/>
        </w:rPr>
        <w:t>UXO buildings</w:t>
      </w:r>
      <w:r>
        <w:rPr>
          <w:rtl w:val="0"/>
        </w:rPr>
        <w:t>.</w:t>
      </w:r>
    </w:p>
    <w:p>
      <w:pPr>
        <w:pStyle w:val="Body"/>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Requriements"/>
      </w:pPr>
      <w:r>
        <w:rPr>
          <w:rtl w:val="0"/>
        </w:rPr>
        <w:t xml:space="preserve">3.8.4.1 Weekly Status Report. The Contractor shall submit a weekly status report via RMS and email a copy to the Government Team by close of business on the first working day of each week. </w:t>
      </w:r>
    </w:p>
    <w:p>
      <w:pPr>
        <w:pStyle w:val="Body Requriements"/>
      </w:pPr>
      <w:r>
        <w:rPr>
          <w:rtl w:val="0"/>
        </w:rPr>
        <w:t xml:space="preserve">3.8.4.2 Monthly Progress Reports. The Contractor shall submit a monthly Progress Report via RMS by close of business on the eighth day of the month. </w:t>
      </w:r>
    </w:p>
    <w:p>
      <w:pPr>
        <w:pStyle w:val="Body Requriements"/>
      </w:pPr>
      <w:r>
        <w:rPr>
          <w:rtl w:val="0"/>
        </w:rPr>
        <w:t xml:space="preserve">3.8.4.3 Exposure Hour Report. The Contractor shall submit complete a monthly summary report of accident experience, exposure, Restricted Duty (RD), and Lost Workdays (LWD). via RMS by close of business on the seventh day of the month. </w:t>
      </w:r>
    </w:p>
    <w:p>
      <w:pPr>
        <w:pStyle w:val="Body Requriements"/>
      </w:pPr>
      <w:r>
        <w:rPr>
          <w:rtl w:val="0"/>
        </w:rPr>
        <w:t xml:space="preserve">3.8.4.5 ContractorManpowerReporting. TheContractorshallsubmitalltheinformationrequiredintheformatspecifiedatthe following web address: https://www.beta.sam.gov </w:t>
      </w:r>
    </w:p>
    <w:p>
      <w:pPr>
        <w:pStyle w:val="Body Requriements"/>
      </w:pPr>
      <w:r>
        <w:rPr>
          <w:rtl w:val="0"/>
        </w:rPr>
        <w:t xml:space="preserve">3.8.5.6 Meeting Notes. The Contractor shall take notes and prepare reports for all meetings, to include recurring weekly/monthly meetings and teleconferences. Within five working days after date of meeting, Contractor shall prepare meeting notes in type d form and furnish it to the Government PM for concurrence and distribution to all attendees. </w:t>
      </w:r>
    </w:p>
    <w:p>
      <w:pPr>
        <w:pStyle w:val="Body"/>
      </w:pPr>
    </w:p>
    <w:p>
      <w:pPr>
        <w:pStyle w:val="Body"/>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Requriements"/>
      </w:pPr>
      <w:r>
        <w:rPr>
          <w:rtl w:val="0"/>
        </w:rPr>
        <w:t xml:space="preserve">3.8.7 Final Report. The Contractor shall provide a final report in accordance with Attachment 10, Demolition and Recycling Final Report. The final report shall include a detailed description of work performed and lessons learned. The summary detail shall include the quantity and type of debris materials recycled, salvaged, reused, and disposed of and shall be presented in chart form showing original material quantity estimated, quantity recycled, percentage recycled, and approximate cost or cost savings versus a commercial landfill/disposal facility alternative. A copy of this diversion information shall be provided to the designated Installation Environmental POC. </w:t>
      </w:r>
    </w:p>
    <w:p>
      <w:pPr>
        <w:pStyle w:val="Body"/>
      </w:pPr>
    </w:p>
    <w:p>
      <w:pPr>
        <w:pStyle w:val="Body"/>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w:pPr>
      <w:r>
        <w:rPr>
          <w:rtl w:val="0"/>
        </w:rPr>
        <w:t>Our Quality Control Manager</w:t>
      </w:r>
      <w:r>
        <w:rPr>
          <w:rtl w:val="0"/>
        </w:rPr>
        <w:t xml:space="preserve"> (QCM)</w:t>
      </w:r>
      <w:r>
        <w:rPr>
          <w:rtl w:val="0"/>
        </w:rPr>
        <w:t xml:space="preserve">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w:t>
      </w:r>
      <w:r>
        <w:rPr>
          <w:rtl w:val="0"/>
        </w:rPr>
        <w:t>government</w:t>
      </w:r>
      <w:r>
        <w:rPr>
          <w:rtl w:val="0"/>
        </w:rPr>
        <w:t xml:space="preserve">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pPr>
      <w:bookmarkStart w:name="_Toc9" w:id="10"/>
      <w:r>
        <w:rPr>
          <w:rFonts w:cs="Arial Unicode MS" w:eastAsia="Arial Unicode MS"/>
          <w:rtl w:val="0"/>
        </w:rPr>
        <w:t>Preliminary Schedule</w:t>
      </w:r>
      <w:bookmarkEnd w:id="10"/>
    </w:p>
    <w:p>
      <w:pPr>
        <w:pStyle w:val="Body"/>
      </w:pPr>
      <w:r>
        <w:rPr>
          <w:rtl w:val="0"/>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rPr>
        <w:t>—</w:t>
      </w:r>
      <w:r>
        <w:rPr>
          <w:rtl w:val="0"/>
        </w:rPr>
        <w:t xml:space="preserve"> a full </w:t>
      </w:r>
      <w:r>
        <w:rPr>
          <w:rtl w:val="0"/>
        </w:rPr>
        <w:t>five (5)</w:t>
      </w:r>
      <w:r>
        <w:rPr>
          <w:rtl w:val="0"/>
        </w:rPr>
        <w:t xml:space="preserve"> days fewer than the maximum allowed.</w:t>
      </w:r>
    </w:p>
    <w:p>
      <w:pPr>
        <w:pStyle w:val="Body"/>
      </w:pPr>
      <w:r>
        <w:rPr>
          <w:rtl w:val="0"/>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pPr>
      <w:bookmarkStart w:name="_Toc10" w:id="11"/>
      <w:r>
        <w:rPr>
          <w:rFonts w:cs="Arial Unicode MS" w:eastAsia="Arial Unicode MS"/>
          <w:rtl w:val="0"/>
        </w:rPr>
        <w:t>Schedule Adjustment for Optional Tasks</w:t>
      </w:r>
      <w:bookmarkEnd w:id="11"/>
    </w:p>
    <w:p>
      <w:pPr>
        <w:pStyle w:val="Body"/>
      </w:pPr>
      <w:r>
        <w:rPr>
          <w:rtl w:val="0"/>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p>
    <w:p>
      <w:pPr>
        <w:pStyle w:val="Heading 2"/>
      </w:pPr>
      <w:bookmarkStart w:name="_Toc11" w:id="12"/>
      <w:r>
        <w:rPr>
          <w:rFonts w:cs="Arial Unicode MS" w:eastAsia="Arial Unicode MS"/>
          <w:rtl w:val="0"/>
        </w:rPr>
        <w:t>Change Orders</w:t>
      </w:r>
      <w:bookmarkEnd w:id="12"/>
    </w:p>
    <w:p>
      <w:pPr>
        <w:pStyle w:val="Body"/>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w:pPr>
      <w:r>
        <w:rPr>
          <w:rStyle w:val="None"/>
          <w:b w:val="1"/>
          <w:bCs w:val="1"/>
          <w:i w:val="1"/>
          <w:iCs w:val="1"/>
          <w:rtl w:val="0"/>
          <w:lang w:val="en-US"/>
        </w:rPr>
        <w:t>Unforeseen Conditions and Change Orders</w:t>
      </w:r>
      <w:r>
        <w:rPr>
          <w:rtl w:val="0"/>
        </w:rPr>
        <w:t xml:space="preserve">: </w:t>
      </w:r>
      <w:r>
        <w:rPr>
          <w:rtl w:val="0"/>
        </w:rPr>
        <w:t>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w:pP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tl w:val="1"/>
        </w:rPr>
        <w:t>’</w:t>
      </w:r>
      <w:r>
        <w:rPr>
          <w:rtl w:val="0"/>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pPr>
      <w:bookmarkStart w:name="_Toc12" w:id="13"/>
      <w:r>
        <w:rPr>
          <w:rFonts w:cs="Arial Unicode MS" w:eastAsia="Arial Unicode MS"/>
          <w:rtl w:val="0"/>
        </w:rPr>
        <w:t>4. Demolition Approach</w:t>
      </w:r>
      <w:bookmarkEnd w:id="13"/>
    </w:p>
    <w:p>
      <w:pPr>
        <w:pStyle w:val="Body"/>
      </w:pPr>
      <w:r>
        <w:rPr>
          <w:rtl w:val="0"/>
        </w:rPr>
        <w:t>In order for the demolition of the buildings go smoothly, we will draft a Project Management Plan (PMP) for the government</w:t>
      </w:r>
      <w:r>
        <w:rPr>
          <w:rtl w:val="1"/>
        </w:rPr>
        <w:t>’</w:t>
      </w:r>
      <w:r>
        <w:rPr>
          <w:rtl w:val="0"/>
        </w:rPr>
        <w:t xml:space="preserve">s review. This is carefully </w:t>
      </w:r>
      <w:r>
        <w:rPr>
          <w:rtl w:val="0"/>
        </w:rPr>
        <w:t>laid out, as o</w:t>
      </w:r>
      <w:r>
        <w:rPr>
          <w:rtl w:val="0"/>
        </w:rPr>
        <w:t>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pPr>
      <w:bookmarkStart w:name="_Toc13" w:id="14"/>
      <w:r>
        <w:rPr>
          <w:rFonts w:cs="Arial Unicode MS" w:eastAsia="Arial Unicode MS"/>
          <w:rtl w:val="0"/>
        </w:rPr>
        <w:t>Task Order-Specific Approach</w:t>
      </w:r>
      <w:bookmarkEnd w:id="14"/>
    </w:p>
    <w:p>
      <w:pPr>
        <w:pStyle w:val="Body"/>
      </w:pPr>
      <w:r>
        <w:rPr>
          <w:rtl w:val="0"/>
        </w:rPr>
        <w:t xml:space="preserve">We distinguish ____ main demolition structure </w:t>
      </w:r>
      <w:r>
        <w:rPr>
          <w:rtl w:val="1"/>
          <w:lang w:val="ar-SA" w:bidi="ar-SA"/>
        </w:rPr>
        <w:t>“</w:t>
      </w:r>
      <w:r>
        <w:rPr>
          <w:rtl w:val="0"/>
        </w:rPr>
        <w:t>types</w:t>
      </w:r>
      <w:r>
        <w:rPr>
          <w:rtl w:val="0"/>
        </w:rPr>
        <w:t xml:space="preserve">” </w:t>
      </w:r>
      <w:r>
        <w:rPr>
          <w:rtl w:val="0"/>
        </w:rPr>
        <w:t>and indicate how difficult we anticipate the required effort will be (Table 4).</w:t>
      </w:r>
    </w:p>
    <w:p>
      <w:pPr>
        <w:pStyle w:val="Body"/>
      </w:pPr>
    </w:p>
    <w:p>
      <w:pPr>
        <w:pStyle w:val="Body"/>
      </w:pPr>
    </w:p>
    <w:p>
      <w:pPr>
        <w:pStyle w:val="Body Requriements"/>
      </w:pPr>
      <w:r>
        <w:rPr>
          <w:rtl w:val="0"/>
        </w:rPr>
        <w:t xml:space="preserve">1. Notice to Proceed </w:t>
      </w:r>
      <w:r>
        <w:rPr>
          <w:rtl w:val="0"/>
        </w:rPr>
        <w:t xml:space="preserve">– </w:t>
      </w:r>
      <w:r>
        <w:rPr>
          <w:rtl w:val="0"/>
        </w:rPr>
        <w:t xml:space="preserve">After task order award, contractor is not allowed to enter the installation without a written notice to proceed from the Contracting Officer. See Appendix A for NTP requirements. </w:t>
      </w:r>
    </w:p>
    <w:p>
      <w:pPr>
        <w:pStyle w:val="Body Requriements"/>
      </w:pPr>
      <w:r>
        <w:rPr>
          <w:rtl w:val="0"/>
        </w:rPr>
        <w:t xml:space="preserve">2. If supplied by the Government, the Contractor shall acknowledge drawings, maps, Site Survey Report, and any other GOV-supplied documentation, in the signed cover letter and indicate in the technical proposal whether any assumptions were made regarding their content. </w:t>
      </w:r>
    </w:p>
    <w:p>
      <w:pPr>
        <w:pStyle w:val="Body Requriements"/>
      </w:pPr>
      <w:r>
        <w:rPr>
          <w:rtl w:val="0"/>
        </w:rPr>
        <w:t xml:space="preserve">3. Insurance is required per FAR 52.228-5, INSURANCE--WORK ON A GOVERNMENT INSTALLATION (JAN 1997) </w:t>
      </w:r>
    </w:p>
    <w:p>
      <w:pPr>
        <w:pStyle w:val="Body Requriements"/>
      </w:pPr>
      <w:r>
        <w:rPr>
          <w:rtl w:val="0"/>
        </w:rPr>
        <w:t xml:space="preserve">4. FAR 52.236-3 -- Site Investigation and Conditions Affecting the Work. As prescribed in 36.503, insert the following clause: </w:t>
      </w:r>
    </w:p>
    <w:p>
      <w:pPr>
        <w:pStyle w:val="Body Requriements"/>
      </w:pPr>
      <w:r>
        <w:rPr>
          <w:rtl w:val="0"/>
        </w:rPr>
        <w:t xml:space="preserve">Site Investigation and Conditions Affecting the Work (Apr 1984) </w:t>
      </w:r>
    </w:p>
    <w:p>
      <w:pPr>
        <w:pStyle w:val="Body Requriements"/>
      </w:pPr>
      <w:r>
        <w:rPr>
          <w:rtl w:val="0"/>
        </w:rPr>
        <w:t>(a) 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r>
        <w:br w:type="textWrapping"/>
      </w:r>
      <w:r>
        <w:rPr>
          <w:rtl w:val="0"/>
        </w:rPr>
        <w:t xml:space="preserve">(1) Conditions bearing upon transportation, disposal, handling, and storage of materials; </w:t>
      </w:r>
    </w:p>
    <w:p>
      <w:pPr>
        <w:pStyle w:val="Body Requriements"/>
      </w:pPr>
      <w:r>
        <w:rPr>
          <w:rtl w:val="0"/>
        </w:rPr>
        <w:t>(2) The availability of labor, water, electric power, and roads;</w:t>
      </w:r>
      <w:r>
        <w:br w:type="textWrapping"/>
      </w:r>
      <w:r>
        <w:rPr>
          <w:rtl w:val="0"/>
        </w:rPr>
        <w:t>(3) Uncertainties of weather, river stages, tides, or similar physical conditions at the site;</w:t>
      </w:r>
      <w:r>
        <w:br w:type="textWrapping"/>
      </w:r>
      <w:r>
        <w:rPr>
          <w:rtl w:val="0"/>
        </w:rPr>
        <w:t>(4) The conformation and conditions of the ground; and</w:t>
      </w:r>
      <w:r>
        <w:br w:type="textWrapping"/>
      </w:r>
      <w:r>
        <w:rPr>
          <w:rtl w:val="0"/>
        </w:rPr>
        <w:t>(5) The character of equipment and facilities needed preliminary to and during work performance.</w:t>
      </w:r>
      <w:r>
        <w:br w:type="textWrapping"/>
      </w:r>
      <w:r>
        <w:rPr>
          <w:rtl w:val="0"/>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r>
        <w:br w:type="textWrapping"/>
      </w:r>
      <w:r>
        <w:rPr>
          <w:rtl w:val="0"/>
        </w:rPr>
        <w:t xml:space="preserve">(b)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 </w:t>
      </w:r>
    </w:p>
    <w:p>
      <w:pPr>
        <w:pStyle w:val="Body Requriements"/>
      </w:pPr>
      <w:r>
        <w:rPr>
          <w:rtl w:val="0"/>
        </w:rPr>
        <w:t xml:space="preserve">See </w:t>
      </w:r>
      <w:r>
        <w:rPr>
          <w:rtl w:val="0"/>
        </w:rPr>
        <w:t xml:space="preserve">3.8.5 Contract Submittals </w:t>
      </w:r>
      <w:r>
        <w:rPr>
          <w:rtl w:val="0"/>
        </w:rPr>
        <w:t xml:space="preserve">(pages 18-19 of </w:t>
      </w:r>
      <w:r>
        <w:rPr>
          <w:rStyle w:val="None"/>
          <w:rtl w:val="0"/>
          <w:lang w:val="de-DE"/>
        </w:rPr>
        <w:t>KO SIGNED Official FY22 Milan AAP PANHES 22 P 0000 004073  FRP  RFP Letter.pdf</w:t>
      </w:r>
      <w:r>
        <w:rPr>
          <w:rtl w:val="0"/>
        </w:rPr>
        <w:t xml:space="preserve"> )</w:t>
      </w:r>
    </w:p>
    <w:p>
      <w:pPr>
        <w:pStyle w:val="Body Requriements"/>
      </w:pPr>
      <w:r>
        <w:rPr>
          <w:rtl w:val="0"/>
        </w:rPr>
        <w:t>THE CONTRACTOR IS NOT AUTHORIZED TO MOBILIZE TO THE SITE WITHOUT ACCEPTANCE OF THE CONTRACTORS</w:t>
      </w:r>
      <w:r>
        <w:rPr>
          <w:rtl w:val="1"/>
        </w:rPr>
        <w:t xml:space="preserve">’ </w:t>
      </w:r>
      <w:r>
        <w:rPr>
          <w:rtl w:val="0"/>
        </w:rPr>
        <w:t xml:space="preserve">ACCIDENT PREVENTION PLAN AND CONTRACTING OFFICER WRITTEN NOTICE TO PROCEED (NTP) </w:t>
      </w:r>
    </w:p>
    <w:p>
      <w:pPr>
        <w:pStyle w:val="Body Requriements"/>
      </w:pPr>
    </w:p>
    <w:p>
      <w:pPr>
        <w:pStyle w:val="Body"/>
      </w:pPr>
    </w:p>
    <w:p>
      <w:pPr>
        <w:pStyle w:val="Heading 2"/>
      </w:pPr>
      <w:bookmarkStart w:name="_Toc14" w:id="15"/>
      <w:r>
        <w:rPr>
          <w:rFonts w:cs="Arial Unicode MS" w:eastAsia="Arial Unicode MS"/>
          <w:rtl w:val="0"/>
        </w:rPr>
        <w:t xml:space="preserve">Table 4. Demolition </w:t>
      </w:r>
      <w:r>
        <w:rPr>
          <w:rFonts w:cs="Arial Unicode MS" w:eastAsia="Arial Unicode MS"/>
          <w:rtl w:val="0"/>
        </w:rPr>
        <w:t>Structure Types and Projected Difficulty Per Location</w:t>
      </w:r>
      <w:bookmarkEnd w:id="15"/>
    </w:p>
    <w:p>
      <w:pPr>
        <w:pStyle w:val="Body"/>
      </w:pPr>
      <w:r>
        <w:rPr>
          <w:rtl w:val="0"/>
        </w:rPr>
        <w:t>[DESCRIPTION OF BUILDINGS]</w:t>
      </w:r>
    </w:p>
    <w:p>
      <w:pPr>
        <w:pStyle w:val="Body"/>
      </w:pPr>
      <w:r>
        <w:rPr>
          <w:rtl w:val="0"/>
        </w:rPr>
        <w:t>All of the work can be accomplished using an 80K# class excavator with various attachments and skid steers. Little hand work will be required. None of these demolition tasks should prove unusual or difficult.</w:t>
      </w:r>
    </w:p>
    <w:p>
      <w:pPr>
        <w:pStyle w:val="Body"/>
      </w:pPr>
      <w:r>
        <w:rPr>
          <w:rtl w:val="0"/>
        </w:rPr>
        <w:t>Manpower and Equipment: Effort required to salvage and recycle usable materials and demolish and restore the site is summarized in Table 5.</w:t>
      </w:r>
    </w:p>
    <w:p>
      <w:pPr>
        <w:pStyle w:val="Body"/>
      </w:pP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pPr>
      <w:bookmarkStart w:name="_Toc15" w:id="16"/>
      <w:r>
        <w:rPr>
          <w:rFonts w:cs="Arial Unicode MS" w:eastAsia="Arial Unicode MS"/>
          <w:rtl w:val="0"/>
        </w:rPr>
        <w:t xml:space="preserve">Table 5. Manpower and </w:t>
      </w:r>
      <w:r>
        <w:rPr>
          <w:rFonts w:cs="Arial Unicode MS" w:eastAsia="Arial Unicode MS"/>
          <w:rtl w:val="0"/>
        </w:rPr>
        <w:t>Major Equipment Needed</w:t>
      </w:r>
      <w:bookmarkEnd w:id="16"/>
    </w:p>
    <w:p>
      <w:pPr>
        <w:pStyle w:val="Body"/>
      </w:pPr>
    </w:p>
    <w:p>
      <w:pPr>
        <w:pStyle w:val="Heading 1"/>
      </w:pPr>
      <w:bookmarkStart w:name="_Toc16" w:id="17"/>
      <w:r>
        <w:rPr>
          <w:rFonts w:cs="Arial Unicode MS" w:eastAsia="Arial Unicode MS"/>
          <w:rtl w:val="0"/>
        </w:rPr>
        <w:t>5. Debris Handling, Waste Diversion, Recycling</w:t>
      </w:r>
      <w:bookmarkEnd w:id="17"/>
    </w:p>
    <w:p>
      <w:pPr>
        <w:pStyle w:val="Body"/>
      </w:pPr>
      <w:r>
        <w:rPr>
          <w:rtl w:val="0"/>
        </w:rPr>
        <w:t>All Phase is fastidious in its implementation of the 3R</w:t>
      </w:r>
      <w:r>
        <w:rPr>
          <w:rtl w:val="1"/>
        </w:rPr>
        <w:t>’</w:t>
      </w:r>
      <w:r>
        <w:rPr>
          <w:rtl w:val="0"/>
        </w:rPr>
        <w:t>s:</w:t>
      </w:r>
    </w:p>
    <w:p>
      <w:pPr>
        <w:pStyle w:val="Body"/>
      </w:pPr>
      <w:r>
        <w:rPr>
          <w:rtl w:val="0"/>
        </w:rPr>
        <w:t xml:space="preserve">• </w:t>
      </w:r>
      <w:r>
        <w:rPr>
          <w:rtl w:val="0"/>
        </w:rPr>
        <w:t>REDUCE: Make every effort to minimize the amount of waste generated</w:t>
      </w:r>
    </w:p>
    <w:p>
      <w:pPr>
        <w:pStyle w:val="Body"/>
      </w:pPr>
      <w:r>
        <w:rPr>
          <w:rtl w:val="0"/>
        </w:rPr>
        <w:t xml:space="preserve">• </w:t>
      </w:r>
      <w:r>
        <w:rPr>
          <w:rtl w:val="0"/>
        </w:rPr>
        <w:t>REUSE: Segregate items that can potentially be reused</w:t>
      </w:r>
    </w:p>
    <w:p>
      <w:pPr>
        <w:pStyle w:val="Body"/>
      </w:pPr>
      <w:r>
        <w:rPr>
          <w:rtl w:val="0"/>
        </w:rPr>
        <w:t xml:space="preserve">• </w:t>
      </w:r>
      <w:r>
        <w:rPr>
          <w:rtl w:val="0"/>
        </w:rPr>
        <w:t>RECYCLE: Segregate recyclable items and place them in appropriate containers</w:t>
      </w:r>
    </w:p>
    <w:p>
      <w:pPr>
        <w:pStyle w:val="Heading 2"/>
      </w:pPr>
      <w:bookmarkStart w:name="_Toc17" w:id="18"/>
      <w:r>
        <w:rPr>
          <w:rFonts w:cs="Arial Unicode MS" w:eastAsia="Arial Unicode MS"/>
          <w:rtl w:val="0"/>
        </w:rPr>
        <w:t>Debris Handling</w:t>
      </w:r>
      <w:bookmarkEnd w:id="18"/>
    </w:p>
    <w:p>
      <w:pPr>
        <w:pStyle w:val="Body"/>
      </w:pPr>
      <w:r>
        <w:rPr>
          <w:rtl w:val="0"/>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p>
    <w:p>
      <w:pPr>
        <w:pStyle w:val="Body"/>
      </w:pP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pPr>
      <w:bookmarkStart w:name="_Toc18" w:id="19"/>
      <w:r>
        <w:rPr>
          <w:rFonts w:cs="Arial Unicode MS" w:eastAsia="Arial Unicode MS"/>
          <w:rtl w:val="0"/>
        </w:rPr>
        <w:t>Waste Diversion and Recycling</w:t>
      </w:r>
      <w:bookmarkEnd w:id="19"/>
    </w:p>
    <w:p>
      <w:pPr>
        <w:pStyle w:val="Body"/>
      </w:pPr>
      <w:r>
        <w:rPr>
          <w:rtl w:val="0"/>
        </w:rPr>
        <w:t>All Phase</w:t>
      </w:r>
      <w:r>
        <w:rPr>
          <w:rtl w:val="1"/>
        </w:rPr>
        <w:t>’</w:t>
      </w:r>
      <w:r>
        <w:rPr>
          <w:rtl w:val="0"/>
        </w:rPr>
        <w:t>s intent is to maximize the economic recycling of materials. This maximizes our return on scrap value and minimizes the waste stream of materials that will go to landfill.</w:t>
      </w:r>
    </w:p>
    <w:p>
      <w:pPr>
        <w:pStyle w:val="Body"/>
      </w:pP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pPr>
      <w:bookmarkStart w:name="_Toc19" w:id="20"/>
      <w:r>
        <w:rPr>
          <w:rFonts w:cs="Arial Unicode MS" w:eastAsia="Arial Unicode MS"/>
          <w:rtl w:val="0"/>
        </w:rPr>
        <w:t xml:space="preserve">Table 6. </w:t>
      </w:r>
      <w:r>
        <w:rPr>
          <w:rFonts w:cs="Arial Unicode MS" w:eastAsia="Arial Unicode MS"/>
          <w:rtl w:val="0"/>
        </w:rPr>
        <w:t>Demolition Waste Recycling and Salvage Worksheet</w:t>
      </w:r>
      <w:bookmarkEnd w:id="20"/>
    </w:p>
    <w:p>
      <w:pPr>
        <w:pStyle w:val="Body"/>
      </w:pPr>
    </w:p>
    <w:p>
      <w:pPr>
        <w:pStyle w:val="Body"/>
      </w:pPr>
    </w:p>
    <w:p>
      <w:pPr>
        <w:pStyle w:val="Heading 1"/>
      </w:pPr>
      <w:bookmarkStart w:name="_Toc20" w:id="21"/>
      <w:r>
        <w:rPr>
          <w:rFonts w:cs="Arial Unicode MS" w:eastAsia="Arial Unicode MS"/>
          <w:rtl w:val="0"/>
        </w:rPr>
        <w:t>6. Site Security and Safety Approach</w:t>
      </w:r>
      <w:bookmarkEnd w:id="21"/>
    </w:p>
    <w:p>
      <w:pPr>
        <w:pStyle w:val="Body"/>
      </w:pPr>
      <w:r>
        <w:rPr>
          <w:rtl w:val="0"/>
        </w:rPr>
        <w:t xml:space="preserve">Providing and maintaining appropriate levels of site security benefits both the </w:t>
      </w:r>
      <w:r>
        <w:rPr>
          <w:rtl w:val="0"/>
        </w:rPr>
        <w:t>government</w:t>
      </w:r>
      <w:r>
        <w:rPr>
          <w:rtl w:val="0"/>
        </w:rPr>
        <w:t xml:space="preserve"> and contractors, as it will protect the site, reduce the potential for </w:t>
      </w:r>
      <w:r>
        <w:rPr>
          <w:rtl w:val="0"/>
        </w:rPr>
        <w:t xml:space="preserve">problems (such as </w:t>
      </w:r>
      <w:r>
        <w:rPr>
          <w:rtl w:val="0"/>
        </w:rPr>
        <w:t>theft</w:t>
      </w:r>
      <w:r>
        <w:rPr>
          <w:rtl w:val="0"/>
        </w:rPr>
        <w:t xml:space="preserve">) </w:t>
      </w:r>
      <w:r>
        <w:rPr>
          <w:rtl w:val="0"/>
        </w:rPr>
        <w:t>and restrict entry to only authorized personnel.</w:t>
      </w:r>
      <w:r>
        <w:rPr>
          <w:rtl w:val="0"/>
        </w:rPr>
        <w:t xml:space="preserve"> Upon award, the All Phase PM will conduce an i</w:t>
      </w:r>
      <w:r>
        <w:rPr>
          <w:rtl w:val="0"/>
        </w:rPr>
        <w:t xml:space="preserve">nitial site security assessment </w:t>
      </w:r>
      <w:r>
        <w:rPr>
          <w:rtl w:val="0"/>
        </w:rPr>
        <w:t xml:space="preserve">to verify the conditions as laid out in the RFP. </w:t>
      </w:r>
    </w:p>
    <w:p>
      <w:pPr>
        <w:pStyle w:val="Heading 2"/>
      </w:pPr>
      <w:bookmarkStart w:name="_Toc21" w:id="22"/>
      <w:r>
        <w:rPr>
          <w:rFonts w:cs="Arial Unicode MS" w:eastAsia="Arial Unicode MS"/>
          <w:rtl w:val="0"/>
        </w:rPr>
        <w:t>Site Security</w:t>
      </w:r>
      <w:bookmarkEnd w:id="22"/>
    </w:p>
    <w:p>
      <w:pPr>
        <w:pStyle w:val="Body"/>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w:pPr>
      <w:r>
        <w:rPr>
          <w:rtl w:val="0"/>
        </w:rPr>
        <w:t>All Phase will ensure that all employees requiring access to the work site, including subcontractors, complete Antiterrorism Level I Awareness and OPSEC Training within 30 calendar days after contract start date and within 30 calendar days of employees</w:t>
      </w:r>
      <w:r>
        <w:rPr>
          <w:rtl w:val="1"/>
        </w:rPr>
        <w:t xml:space="preserve">’ </w:t>
      </w:r>
      <w:r>
        <w:rPr>
          <w:rtl w:val="0"/>
        </w:rPr>
        <w:t xml:space="preserve">reporting for duty. Training certificates of completion will be delivered to the COR within five calendar days after completion of training. Contractor employees will participate in other </w:t>
      </w:r>
      <w:r>
        <w:rPr>
          <w:rtl w:val="1"/>
          <w:lang w:val="ar-SA" w:bidi="ar-SA"/>
        </w:rPr>
        <w:t>“</w:t>
      </w:r>
      <w:r>
        <w:rPr>
          <w:rtl w:val="0"/>
        </w:rPr>
        <w:t>Suspicious Activity Reporting Training</w:t>
      </w:r>
      <w:r>
        <w:rPr>
          <w:rtl w:val="0"/>
        </w:rPr>
        <w:t xml:space="preserve">” </w:t>
      </w:r>
      <w:r>
        <w:rPr>
          <w:rtl w:val="0"/>
        </w:rPr>
        <w:t>as required. We will comply with all standards and procedures of the National Crime Information Center Interstate Identification Index and Terrorist Screening Database.</w:t>
      </w:r>
    </w:p>
    <w:p>
      <w:pPr>
        <w:pStyle w:val="Body"/>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pPr>
      <w:bookmarkStart w:name="_Toc22" w:id="23"/>
      <w:r>
        <w:rPr>
          <w:rFonts w:cs="Arial Unicode MS" w:eastAsia="Arial Unicode MS"/>
          <w:rtl w:val="0"/>
        </w:rPr>
        <w:t>Safety Approach</w:t>
      </w:r>
      <w:bookmarkEnd w:id="23"/>
    </w:p>
    <w:p>
      <w:pPr>
        <w:pStyle w:val="Body"/>
      </w:pPr>
      <w:r>
        <w:rPr>
          <w:rtl w:val="0"/>
        </w:rPr>
        <w:t xml:space="preserve">The Site Safety and Health Officer (SSHO) will have overall responsibility for implementation of the All Phase Safety Program. The SSHO (dual-hatted as </w:t>
      </w:r>
      <w:r>
        <w:rPr>
          <w:rtl w:val="0"/>
        </w:rPr>
        <w:t xml:space="preserve">Quality Control Manager, </w:t>
      </w:r>
      <w:r>
        <w:rPr>
          <w:rtl w:val="0"/>
        </w:rPr>
        <w:t>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1"/>
          <w:lang w:val="ar-SA" w:bidi="ar-SA"/>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tbl>
      <w:tblPr>
        <w:tblW w:w="92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auto"/>
        </w:tblPrEx>
        <w:trPr>
          <w:trHeight w:val="290" w:hRule="atLeast"/>
          <w:tblHeader/>
        </w:trPr>
        <w:tc>
          <w:tcPr>
            <w:tcW w:type="dxa" w:w="9241"/>
            <w:gridSpan w:val="2"/>
            <w:tcBorders>
              <w:top w:val="nil"/>
              <w:left w:val="nil"/>
              <w:bottom w:val="nil"/>
              <w:right w:val="nil"/>
            </w:tcBorders>
            <w:shd w:val="clear" w:color="auto" w:fill="auto"/>
            <w:tcMar>
              <w:top w:type="dxa" w:w="80"/>
              <w:left w:type="dxa" w:w="80"/>
              <w:bottom w:type="dxa" w:w="80"/>
              <w:right w:type="dxa" w:w="80"/>
            </w:tcMar>
            <w:vAlign w:val="center"/>
          </w:tcPr>
          <w:p>
            <w:pPr>
              <w:pStyle w:val="Heading 2"/>
            </w:pPr>
            <w:r>
              <w:t>Table 7. Preliminary Activity Hazard Analysis</w:t>
            </w:r>
          </w:p>
        </w:tc>
      </w:tr>
      <w:tr>
        <w:tblPrEx>
          <w:shd w:val="clear" w:color="auto" w:fill="00a2ff"/>
        </w:tblPrEx>
        <w:trPr>
          <w:trHeight w:val="20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0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A"/>
      </w:pPr>
    </w:p>
    <w:p>
      <w:pPr>
        <w:pStyle w:val="Body"/>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1"/>
        </w:rPr>
        <w:t xml:space="preserve">’ </w:t>
      </w:r>
      <w:r>
        <w:rPr>
          <w:rtl w:val="0"/>
        </w:rPr>
        <w:t>medical records, refresher training, EPA Training certificates, fitness tests, and certificate of worker acknowledgements are up to date.</w:t>
      </w:r>
    </w:p>
    <w:p>
      <w:pPr>
        <w:pStyle w:val="Body"/>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1"/>
          <w:lang w:val="ar-SA" w:bidi="ar-SA"/>
        </w:rPr>
        <w:t>“</w:t>
      </w:r>
      <w:r>
        <w:rPr>
          <w:rtl w:val="0"/>
        </w:rPr>
        <w:t>tool box</w:t>
      </w:r>
      <w:r>
        <w:rPr>
          <w:rtl w:val="0"/>
        </w:rPr>
        <w:t xml:space="preserve">” </w:t>
      </w:r>
      <w:r>
        <w:rPr>
          <w:rtl w:val="0"/>
        </w:rPr>
        <w:t>safety meeting each week during which hazards specific to their operation will be discussed.</w:t>
      </w:r>
    </w:p>
    <w:p>
      <w:pPr>
        <w:pStyle w:val="Body"/>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1"/>
          <w:lang w:val="ar-SA" w:bidi="ar-SA"/>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w:pPr>
      <w:r>
        <w:rPr>
          <w:rtl w:val="0"/>
        </w:rPr>
        <w:t>The SSHO will conduct a formal monthly Safety and Health Survey</w:t>
      </w:r>
      <w:r>
        <w:rPr>
          <w:rtl w:val="0"/>
        </w:rPr>
        <w:t xml:space="preserve">, to </w:t>
      </w:r>
      <w:r>
        <w:rPr>
          <w:rtl w:val="0"/>
        </w:rPr>
        <w:t>include:</w:t>
      </w:r>
    </w:p>
    <w:p>
      <w:pPr>
        <w:pStyle w:val="Body"/>
      </w:pPr>
      <w:r>
        <w:rPr>
          <w:rtl w:val="0"/>
        </w:rPr>
        <w:t xml:space="preserve">• </w:t>
      </w:r>
      <w:r>
        <w:rPr>
          <w:rtl w:val="0"/>
        </w:rPr>
        <w:t>Inspecting, locating, and correcting all unsafe conditions</w:t>
      </w:r>
    </w:p>
    <w:p>
      <w:pPr>
        <w:pStyle w:val="Body"/>
      </w:pPr>
      <w:r>
        <w:rPr>
          <w:rtl w:val="0"/>
        </w:rPr>
        <w:t xml:space="preserve">• </w:t>
      </w:r>
      <w:r>
        <w:rPr>
          <w:rtl w:val="0"/>
        </w:rPr>
        <w:t>Ensuring that all signs, traffic markings, equipment, machinery, are marked and painted to identify use and hazard. Colors and marking will conform to OSHA regulations.</w:t>
      </w:r>
    </w:p>
    <w:p>
      <w:pPr>
        <w:pStyle w:val="Body"/>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w:pPr>
      <w:r>
        <w:rPr>
          <w:rStyle w:val="None"/>
          <w:b w:val="1"/>
          <w:bCs w:val="1"/>
          <w:i w:val="1"/>
          <w:iCs w:val="1"/>
          <w:rtl w:val="0"/>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Body"/>
      </w:pPr>
    </w:p>
    <w:p>
      <w:pPr>
        <w:pStyle w:val="Heading 1"/>
      </w:pPr>
      <w:bookmarkStart w:name="_Toc23" w:id="24"/>
      <w:r>
        <w:rPr>
          <w:rFonts w:cs="Arial Unicode MS" w:eastAsia="Arial Unicode MS"/>
          <w:rtl w:val="0"/>
        </w:rPr>
        <w:t>7. Site Restoration</w:t>
      </w:r>
      <w:bookmarkEnd w:id="24"/>
    </w:p>
    <w:p>
      <w:pPr>
        <w:pStyle w:val="Body"/>
      </w:pPr>
      <w:r>
        <w:rPr>
          <w:rtl w:val="0"/>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rPr>
        <w:t xml:space="preserve">” </w:t>
      </w:r>
      <w:r>
        <w:rPr>
          <w:rtl w:val="0"/>
        </w:rPr>
        <w:t>minus concrete will be acceptable as fill.</w:t>
      </w:r>
    </w:p>
    <w:p>
      <w:pPr>
        <w:pStyle w:val="Body"/>
      </w:pPr>
      <w:r>
        <w:rPr>
          <w:rtl w:val="0"/>
        </w:rPr>
        <w:t>Soils will be blended and graded to match the surrounding area with positive drainage and no ponding of water. Soil erosion blankets will be used on steep grades to meet government requirements at all times.</w:t>
      </w:r>
    </w:p>
    <w:p>
      <w:pPr>
        <w:pStyle w:val="Body"/>
      </w:pPr>
    </w:p>
    <w:p>
      <w:pPr>
        <w:pStyle w:val="Heading 1"/>
      </w:pPr>
      <w:bookmarkStart w:name="_Toc24" w:id="25"/>
      <w:r>
        <w:rPr>
          <w:rFonts w:cs="Arial Unicode MS" w:eastAsia="Arial Unicode MS"/>
          <w:rtl w:val="0"/>
        </w:rPr>
        <w:t>8. Key Personnel</w:t>
      </w:r>
      <w:bookmarkEnd w:id="25"/>
    </w:p>
    <w:p>
      <w:pPr>
        <w:pStyle w:val="Body Requriements"/>
      </w:pPr>
      <w:r>
        <w:rPr>
          <w:rtl w:val="0"/>
        </w:rPr>
        <w:t>For this task order, the On-Site and Key Personnel Guidance Table below indicates the minimum personnel who shall be on-site</w:t>
      </w:r>
      <w:r>
        <w:rPr>
          <w:rtl w:val="0"/>
        </w:rPr>
        <w:t xml:space="preserve"> </w:t>
      </w:r>
      <w:r>
        <w:rPr>
          <w:rtl w:val="0"/>
        </w:rPr>
        <w:t>daily</w:t>
      </w:r>
      <w:r>
        <w:rPr>
          <w:rtl w:val="0"/>
        </w:rPr>
        <w:t xml:space="preserve"> </w:t>
      </w:r>
      <w:r>
        <w:rPr>
          <w:rtl w:val="0"/>
        </w:rPr>
        <w:t>for</w:t>
      </w:r>
      <w:r>
        <w:rPr>
          <w:rtl w:val="0"/>
        </w:rPr>
        <w:t xml:space="preserve"> </w:t>
      </w:r>
      <w:r>
        <w:rPr>
          <w:rtl w:val="0"/>
        </w:rPr>
        <w:t>this</w:t>
      </w:r>
      <w:r>
        <w:rPr>
          <w:rtl w:val="0"/>
        </w:rPr>
        <w:t xml:space="preserve"> </w:t>
      </w:r>
      <w:r>
        <w:rPr>
          <w:rtl w:val="0"/>
        </w:rPr>
        <w:t>project. These</w:t>
      </w:r>
      <w:r>
        <w:rPr>
          <w:rtl w:val="0"/>
        </w:rPr>
        <w:t xml:space="preserve"> </w:t>
      </w:r>
      <w:r>
        <w:rPr>
          <w:rtl w:val="0"/>
          <w:lang w:val="fr-FR"/>
        </w:rPr>
        <w:t>personnel</w:t>
      </w:r>
      <w:r>
        <w:rPr>
          <w:rtl w:val="0"/>
        </w:rPr>
        <w:t xml:space="preserve"> </w:t>
      </w:r>
      <w:r>
        <w:rPr>
          <w:rtl w:val="0"/>
          <w:lang w:val="de-DE"/>
        </w:rPr>
        <w:t>shall</w:t>
      </w:r>
      <w:r>
        <w:rPr>
          <w:rtl w:val="0"/>
        </w:rPr>
        <w:t xml:space="preserve"> </w:t>
      </w:r>
      <w:r>
        <w:rPr>
          <w:rtl w:val="0"/>
        </w:rPr>
        <w:t>be</w:t>
      </w:r>
      <w:r>
        <w:rPr>
          <w:rtl w:val="0"/>
        </w:rPr>
        <w:t xml:space="preserve"> </w:t>
      </w:r>
      <w:r>
        <w:rPr>
          <w:rtl w:val="0"/>
          <w:lang w:val="es-ES_tradnl"/>
        </w:rPr>
        <w:t>Prime</w:t>
      </w:r>
      <w:r>
        <w:rPr>
          <w:rtl w:val="0"/>
        </w:rPr>
        <w:t xml:space="preserve"> </w:t>
      </w:r>
      <w:r>
        <w:rPr>
          <w:rtl w:val="0"/>
        </w:rPr>
        <w:t>Contractor</w:t>
      </w:r>
      <w:r>
        <w:rPr>
          <w:rtl w:val="0"/>
        </w:rPr>
        <w:t xml:space="preserve"> </w:t>
      </w:r>
      <w:r>
        <w:rPr>
          <w:rtl w:val="0"/>
        </w:rPr>
        <w:t>Employees,</w:t>
      </w:r>
      <w:r>
        <w:rPr>
          <w:rtl w:val="0"/>
        </w:rPr>
        <w:t xml:space="preserve"> </w:t>
      </w:r>
      <w:r>
        <w:rPr>
          <w:rtl w:val="0"/>
        </w:rPr>
        <w:t>and</w:t>
      </w:r>
      <w:r>
        <w:rPr>
          <w:rtl w:val="0"/>
        </w:rPr>
        <w:t xml:space="preserve"> </w:t>
      </w:r>
      <w:r>
        <w:rPr>
          <w:rtl w:val="0"/>
        </w:rPr>
        <w:t>at</w:t>
      </w:r>
      <w:r>
        <w:rPr>
          <w:rtl w:val="0"/>
        </w:rPr>
        <w:t xml:space="preserve"> </w:t>
      </w:r>
      <w:r>
        <w:rPr>
          <w:rtl w:val="0"/>
        </w:rPr>
        <w:t>least</w:t>
      </w:r>
      <w:r>
        <w:rPr>
          <w:rtl w:val="0"/>
        </w:rPr>
        <w:t xml:space="preserve"> </w:t>
      </w:r>
      <w:r>
        <w:rPr>
          <w:rtl w:val="0"/>
          <w:lang w:val="it-IT"/>
        </w:rPr>
        <w:t>one</w:t>
      </w:r>
      <w:r>
        <w:rPr>
          <w:rtl w:val="0"/>
        </w:rPr>
        <w:t xml:space="preserve"> </w:t>
      </w:r>
      <w:r>
        <w:rPr>
          <w:rtl w:val="0"/>
        </w:rPr>
        <w:t>of</w:t>
      </w:r>
      <w:r>
        <w:rPr>
          <w:rtl w:val="0"/>
        </w:rPr>
        <w:t xml:space="preserve"> </w:t>
      </w:r>
      <w:r>
        <w:rPr>
          <w:rtl w:val="0"/>
        </w:rPr>
        <w:t>the</w:t>
      </w:r>
      <w:r>
        <w:rPr>
          <w:rtl w:val="0"/>
        </w:rPr>
        <w:t xml:space="preserve"> </w:t>
      </w:r>
      <w:r>
        <w:rPr>
          <w:rtl w:val="0"/>
        </w:rPr>
        <w:t>PrimeContractor Employee</w:t>
      </w:r>
      <w:r>
        <w:rPr>
          <w:rtl w:val="1"/>
        </w:rPr>
        <w:t>’</w:t>
      </w:r>
      <w:r>
        <w:rPr>
          <w:rtl w:val="0"/>
        </w:rPr>
        <w:t>s</w:t>
      </w:r>
      <w:r>
        <w:rPr>
          <w:rtl w:val="0"/>
        </w:rPr>
        <w:t xml:space="preserve"> </w:t>
      </w:r>
      <w:r>
        <w:rPr>
          <w:rtl w:val="0"/>
        </w:rPr>
        <w:t>must</w:t>
      </w:r>
      <w:r>
        <w:rPr>
          <w:rtl w:val="0"/>
        </w:rPr>
        <w:t xml:space="preserve"> </w:t>
      </w:r>
      <w:r>
        <w:rPr>
          <w:rtl w:val="0"/>
        </w:rPr>
        <w:t>have</w:t>
      </w:r>
      <w:r>
        <w:rPr>
          <w:rtl w:val="0"/>
        </w:rPr>
        <w:t xml:space="preserve"> </w:t>
      </w:r>
      <w:r>
        <w:rPr>
          <w:rtl w:val="0"/>
        </w:rPr>
        <w:t>been</w:t>
      </w:r>
      <w:r>
        <w:rPr>
          <w:rtl w:val="0"/>
        </w:rPr>
        <w:t xml:space="preserve"> </w:t>
      </w:r>
      <w:r>
        <w:rPr>
          <w:rtl w:val="0"/>
        </w:rPr>
        <w:t>employed</w:t>
      </w:r>
      <w:r>
        <w:rPr>
          <w:rtl w:val="0"/>
        </w:rPr>
        <w:t xml:space="preserve"> </w:t>
      </w:r>
      <w:r>
        <w:rPr>
          <w:rtl w:val="0"/>
        </w:rPr>
        <w:t>with</w:t>
      </w:r>
      <w:r>
        <w:rPr>
          <w:rtl w:val="0"/>
        </w:rPr>
        <w:t xml:space="preserve"> </w:t>
      </w:r>
      <w:r>
        <w:rPr>
          <w:rtl w:val="0"/>
        </w:rPr>
        <w:t>the</w:t>
      </w:r>
      <w:r>
        <w:rPr>
          <w:rtl w:val="0"/>
        </w:rPr>
        <w:t xml:space="preserve"> </w:t>
      </w:r>
      <w:r>
        <w:rPr>
          <w:rtl w:val="0"/>
          <w:lang w:val="es-ES_tradnl"/>
        </w:rPr>
        <w:t>Prime</w:t>
      </w:r>
      <w:r>
        <w:rPr>
          <w:rtl w:val="0"/>
        </w:rPr>
        <w:t xml:space="preserve"> </w:t>
      </w:r>
      <w:r>
        <w:rPr>
          <w:rtl w:val="0"/>
        </w:rPr>
        <w:t>for</w:t>
      </w:r>
      <w:r>
        <w:rPr>
          <w:rtl w:val="0"/>
        </w:rPr>
        <w:t xml:space="preserve"> </w:t>
      </w:r>
      <w:r>
        <w:rPr>
          <w:rtl w:val="0"/>
        </w:rPr>
        <w:t>at</w:t>
      </w:r>
      <w:r>
        <w:rPr>
          <w:rtl w:val="0"/>
        </w:rPr>
        <w:t xml:space="preserve"> </w:t>
      </w:r>
      <w:r>
        <w:rPr>
          <w:rtl w:val="0"/>
        </w:rPr>
        <w:t>least</w:t>
      </w:r>
      <w:r>
        <w:rPr>
          <w:rtl w:val="0"/>
        </w:rPr>
        <w:t xml:space="preserve"> </w:t>
      </w:r>
      <w:r>
        <w:rPr>
          <w:rtl w:val="0"/>
          <w:lang w:val="it-IT"/>
        </w:rPr>
        <w:t>one</w:t>
      </w:r>
      <w:r>
        <w:rPr>
          <w:rtl w:val="0"/>
        </w:rPr>
        <w:t xml:space="preserve"> </w:t>
      </w:r>
      <w:r>
        <w:rPr>
          <w:rtl w:val="0"/>
        </w:rPr>
        <w:t>year,</w:t>
      </w:r>
      <w:r>
        <w:rPr>
          <w:rtl w:val="0"/>
        </w:rPr>
        <w:t xml:space="preserve"> </w:t>
      </w:r>
      <w:r>
        <w:rPr>
          <w:rtl w:val="0"/>
        </w:rPr>
        <w:t>in</w:t>
      </w:r>
      <w:r>
        <w:rPr>
          <w:rtl w:val="0"/>
        </w:rPr>
        <w:t xml:space="preserve"> </w:t>
      </w:r>
      <w:r>
        <w:rPr>
          <w:rtl w:val="0"/>
        </w:rPr>
        <w:t>the</w:t>
      </w:r>
      <w:r>
        <w:rPr>
          <w:rtl w:val="0"/>
        </w:rPr>
        <w:t xml:space="preserve"> </w:t>
      </w:r>
      <w:r>
        <w:rPr>
          <w:rtl w:val="0"/>
        </w:rPr>
        <w:t>proposed</w:t>
      </w:r>
      <w:r>
        <w:rPr>
          <w:rtl w:val="0"/>
        </w:rPr>
        <w:t xml:space="preserve"> </w:t>
      </w:r>
      <w:r>
        <w:rPr>
          <w:rtl w:val="0"/>
          <w:lang w:val="fr-FR"/>
        </w:rPr>
        <w:t>position</w:t>
      </w:r>
      <w:r>
        <w:rPr>
          <w:rtl w:val="0"/>
        </w:rPr>
        <w:t xml:space="preserve"> </w:t>
      </w:r>
      <w:r>
        <w:rPr>
          <w:rtl w:val="0"/>
        </w:rPr>
        <w:t>of</w:t>
      </w:r>
      <w:r>
        <w:rPr>
          <w:rtl w:val="0"/>
        </w:rPr>
        <w:t xml:space="preserve"> </w:t>
      </w:r>
      <w:r>
        <w:rPr>
          <w:rtl w:val="0"/>
        </w:rPr>
        <w:t>responsibility. The qualificationsandrolesandresponsibilitiesoftheKeypersonnelareoutlinedintheBaseMATOC. Dual</w:t>
      </w:r>
      <w:r>
        <w:rPr>
          <w:rtl w:val="0"/>
        </w:rPr>
        <w:t xml:space="preserve"> </w:t>
      </w:r>
      <w:r>
        <w:rPr>
          <w:rtl w:val="0"/>
        </w:rPr>
        <w:t>hatting</w:t>
      </w:r>
      <w:r>
        <w:rPr>
          <w:rtl w:val="0"/>
        </w:rPr>
        <w:t xml:space="preserve"> </w:t>
      </w:r>
      <w:r>
        <w:rPr>
          <w:rtl w:val="0"/>
        </w:rPr>
        <w:t>is</w:t>
      </w:r>
      <w:r>
        <w:rPr>
          <w:rtl w:val="0"/>
        </w:rPr>
        <w:t xml:space="preserve"> </w:t>
      </w:r>
      <w:r>
        <w:rPr>
          <w:rtl w:val="0"/>
        </w:rPr>
        <w:t>allowed</w:t>
      </w:r>
      <w:r>
        <w:rPr>
          <w:rtl w:val="0"/>
        </w:rPr>
        <w:t xml:space="preserve"> </w:t>
      </w:r>
      <w:r>
        <w:rPr>
          <w:rtl w:val="0"/>
        </w:rPr>
        <w:t>as</w:t>
      </w:r>
      <w:r>
        <w:rPr>
          <w:rtl w:val="0"/>
        </w:rPr>
        <w:t xml:space="preserve"> </w:t>
      </w:r>
      <w:r>
        <w:rPr>
          <w:rtl w:val="0"/>
        </w:rPr>
        <w:t xml:space="preserve">noted in the On-Site and Key Personnel Guidance Table below. The Prime Contractor must be present to sign for deliveries or removals from the Installation jobsite. Dual hatting shall not negatively interfere with the required duties of either positions. </w:t>
      </w:r>
    </w:p>
    <w:p>
      <w:pPr>
        <w:pStyle w:val="Body"/>
      </w:pPr>
      <w:r>
        <w:rPr>
          <w:rtl w:val="0"/>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tl w:val="1"/>
          <w:lang w:val="ar-SA" w:bidi="ar-SA"/>
        </w:rPr>
        <w:t>“</w:t>
      </w:r>
      <w:r>
        <w:rPr>
          <w:rtl w:val="0"/>
        </w:rPr>
        <w:t>dual-hat</w:t>
      </w:r>
      <w:r>
        <w:rPr>
          <w:rtl w:val="0"/>
        </w:rPr>
        <w:t xml:space="preserve">” </w:t>
      </w:r>
      <w:r>
        <w:rPr>
          <w:rtl w:val="0"/>
        </w:rPr>
        <w:t>as CQC Manager.</w:t>
      </w:r>
    </w:p>
    <w:p>
      <w:pPr>
        <w:pStyle w:val="Body Requriements"/>
      </w:pPr>
      <w:r>
        <w:rPr>
          <w:rtl w:val="0"/>
        </w:rPr>
        <w:t xml:space="preserve">Additional Project Manager Requirements. The Contractor PM shall be available on a daily (pre-scheduled) basis to meet with USACE and Installation representatives. </w:t>
      </w:r>
    </w:p>
    <w:p>
      <w:pPr>
        <w:pStyle w:val="Body Requriements"/>
      </w:pPr>
      <w:r>
        <w:rPr>
          <w:rtl w:val="0"/>
        </w:rPr>
        <w:t xml:space="preserve">3.6.1.2 Additional Site Superintendent Requirements. The Site Superintendent will be available to attend the weekly (pre- scheduled) progress meeting with USACE and installation representatives. </w:t>
      </w:r>
    </w:p>
    <w:p>
      <w:pPr>
        <w:pStyle w:val="Body Requriements"/>
      </w:pPr>
      <w:r>
        <w:rPr>
          <w:rtl w:val="0"/>
        </w:rPr>
        <w:t xml:space="preserve">3.6.1.3 Additional Site Safety and Health Officer Requirements. The Site Safety and Health Officer will be available to attend the weekly (pre-scheduled) progress meeting with USACE and installation representatives. </w:t>
      </w:r>
    </w:p>
    <w:p>
      <w:pPr>
        <w:pStyle w:val="Body Requriements"/>
      </w:pPr>
      <w:r>
        <w:rPr>
          <w:rtl w:val="0"/>
        </w:rPr>
        <w:t xml:space="preserve">3.6.1.4 Essential and Readily Available personnel. While the following persons are not required to be on site on a full-time basis, they shall be readily available to the FRP Contractor to handle any on-site situation requiring their expertise and shall be able to respond to actions and occurrences of events while abatement, demolition, and site restoration activities are occurring. </w:t>
      </w:r>
    </w:p>
    <w:p>
      <w:pPr>
        <w:pStyle w:val="Body Requriements"/>
      </w:pPr>
      <w:r>
        <w:rPr>
          <w:rtl w:val="0"/>
        </w:rPr>
        <w:t>Site Quality Control Manager</w:t>
      </w:r>
      <w:r>
        <w:rPr>
          <w:rtl w:val="0"/>
        </w:rPr>
        <w:t xml:space="preserve"> - </w:t>
      </w:r>
      <w:r>
        <w:rPr>
          <w:rtl w:val="0"/>
        </w:rPr>
        <w:t>This person shall be designated in the proposal and work plan</w:t>
      </w:r>
      <w:r>
        <w:rPr>
          <w:rtl w:val="0"/>
        </w:rPr>
        <w:t>.</w:t>
      </w:r>
    </w:p>
    <w:p>
      <w:pPr>
        <w:pStyle w:val="Body Requriements"/>
      </w:pPr>
      <w:r>
        <w:rPr>
          <w:rtl w:val="0"/>
        </w:rPr>
        <w:t xml:space="preserve">Certified Industrial Hygienist (CIH) </w:t>
      </w:r>
      <w:r>
        <w:rPr>
          <w:rtl w:val="0"/>
        </w:rPr>
        <w:t xml:space="preserve">- </w:t>
      </w:r>
      <w:r>
        <w:rPr>
          <w:rtl w:val="0"/>
        </w:rPr>
        <w:t xml:space="preserve">This person shall be designated in the proposal and work plan. </w:t>
      </w:r>
    </w:p>
    <w:p>
      <w:pPr>
        <w:pStyle w:val="Body Requriements"/>
      </w:pPr>
      <w:r>
        <w:rPr>
          <w:rtl w:val="0"/>
          <w:lang w:val="de-DE"/>
        </w:rPr>
        <w:t>Waste Manager</w:t>
      </w:r>
      <w:r>
        <w:rPr>
          <w:rtl w:val="0"/>
        </w:rPr>
        <w:t xml:space="preserve"> - </w:t>
      </w:r>
      <w:r>
        <w:rPr>
          <w:rtl w:val="0"/>
        </w:rPr>
        <w:t xml:space="preserve">This person shall be designated in the proposal and work plan. </w:t>
      </w:r>
    </w:p>
    <w:p>
      <w:pPr>
        <w:pStyle w:val="Body"/>
      </w:pPr>
    </w:p>
    <w:p>
      <w:pPr>
        <w:pStyle w:val="Heading 2"/>
      </w:pPr>
      <w:bookmarkStart w:name="_Toc25" w:id="26"/>
      <w:r>
        <w:rPr>
          <w:rFonts w:cs="Arial Unicode MS" w:eastAsia="Arial Unicode MS"/>
          <w:rtl w:val="0"/>
        </w:rPr>
        <w:t>Table 8. Key Personnel to be Assigned</w:t>
      </w:r>
      <w:bookmarkEnd w:id="26"/>
    </w:p>
    <w:p>
      <w:pPr>
        <w:pStyle w:val="Body"/>
      </w:pPr>
    </w:p>
    <w:p>
      <w:pPr>
        <w:pStyle w:val="Body"/>
      </w:pPr>
    </w:p>
    <w:p>
      <w:pPr>
        <w:pStyle w:val="Heading 1"/>
      </w:pPr>
      <w:bookmarkStart w:name="_Toc26" w:id="27"/>
      <w:r>
        <w:rPr>
          <w:rFonts w:cs="Arial Unicode MS" w:eastAsia="Arial Unicode MS"/>
          <w:rtl w:val="0"/>
        </w:rPr>
        <w:t>9. Site Specific Issues</w:t>
      </w:r>
      <w:bookmarkEnd w:id="27"/>
    </w:p>
    <w:p>
      <w:pPr>
        <w:pStyle w:val="Body"/>
      </w:pPr>
      <w:r>
        <w:rPr>
          <w:rtl w:val="0"/>
        </w:rPr>
        <w:t>We note or recapitulate the following site-specific issues to be addressed in this task order:</w:t>
      </w:r>
    </w:p>
    <w:p>
      <w:pPr>
        <w:pStyle w:val="Body"/>
      </w:pPr>
    </w:p>
    <w:p>
      <w:pPr>
        <w:pStyle w:val="Body"/>
      </w:pPr>
    </w:p>
    <w:p>
      <w:pPr>
        <w:pStyle w:val="Heading 1"/>
        <w:pageBreakBefore w:val="1"/>
      </w:pPr>
      <w:bookmarkStart w:name="_Toc27" w:id="28"/>
      <w:r>
        <w:rPr>
          <w:rtl w:val="0"/>
          <w:lang w:val="en-US"/>
        </w:rPr>
        <w:t xml:space="preserve">Appendix - Preliminary </w:t>
      </w:r>
      <w:r>
        <w:rPr>
          <w:rtl w:val="0"/>
          <w:lang w:val="en-US"/>
        </w:rPr>
        <w:t xml:space="preserve">Project Schedule </w:t>
      </w:r>
      <w:r>
        <w:rPr>
          <w:rtl w:val="0"/>
          <w:lang w:val="en-US"/>
        </w:rPr>
        <w:t xml:space="preserve">– </w:t>
      </w:r>
      <w:r>
        <w:rPr>
          <w:rtl w:val="0"/>
          <w:lang w:val="en-US"/>
        </w:rPr>
        <w:t xml:space="preserve">Base Bid </w:t>
      </w:r>
      <w:bookmarkEnd w:id="28"/>
    </w:p>
    <w:p>
      <w:pPr>
        <w:pStyle w:val="Body"/>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323202</wp:posOffset>
            </wp:positionV>
            <wp:extent cx="5943600" cy="492672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943600" cy="4926725"/>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5562600</wp:posOffset>
            </wp:positionV>
            <wp:extent cx="5943600" cy="112803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1128031"/>
                    </a:xfrm>
                    <a:prstGeom prst="rect">
                      <a:avLst/>
                    </a:prstGeom>
                    <a:ln w="12700" cap="flat">
                      <a:noFill/>
                      <a:miter lim="400000"/>
                    </a:ln>
                    <a:effectLst/>
                  </pic:spPr>
                </pic:pic>
              </a:graphicData>
            </a:graphic>
          </wp:anchor>
        </w:drawing>
      </w:r>
    </w:p>
    <w:p>
      <w:pPr>
        <w:pStyle w:val="Body A"/>
      </w:pPr>
      <w:r/>
    </w:p>
    <w:sectPr>
      <w:headerReference w:type="default" r:id="rId9"/>
      <w:footerReference w:type="default" r:id="rId10"/>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16T22:54:22Z">
    <w:p w14:paraId="1111FFFF">
      <w:pPr>
        <w:pStyle w:val="Default"/>
      </w:pPr>
    </w:p>
    <w:p w14:paraId="11120000">
      <w:pPr>
        <w:pStyle w:val="Default"/>
      </w:pPr>
      <w:r>
        <w:rPr>
          <w:rtl w:val="0"/>
        </w:rPr>
        <w:t xml:space="preserve">2. If supplied by the Government, the Contractor shall acknowledge drawings, maps, Site Survey Report, and any other GOV-supplied documentation, in the signed cover letter and indicate in the technical proposal whether any assumptions were made regarding their content. </w:t>
      </w:r>
    </w:p>
    <w:p w14:paraId="11120001">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iv</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28</w:t>
    </w:r>
    <w:r>
      <w:rPr/>
      <w:fldChar w:fldCharType="end" w:fldLock="0"/>
    </w:r>
    <w:r>
      <w:rPr>
        <w:rtl w:val="0"/>
        <w:lang w:val="en-US"/>
      </w:rPr>
      <w:t xml:space="preserve"> of </w:t>
    </w:r>
    <w:r>
      <w:rPr/>
      <w:fldChar w:fldCharType="begin" w:fldLock="0"/>
    </w:r>
    <w:r>
      <w:instrText xml:space="preserve"> NUMPAGES </w:instrText>
    </w:r>
    <w:r>
      <w:rPr/>
      <w:fldChar w:fldCharType="separate" w:fldLock="0"/>
    </w:r>
    <w:r>
      <w:t>28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004073</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004073</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Requriements">
    <w:name w:val="Body Requriements"/>
    <w:next w:val="Body Requriement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bf4c85"/>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