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003887 - Southeastern Region MATOC, </w:t>
      </w:r>
      <w:r>
        <w:rPr>
          <w:b w:val="1"/>
          <w:bCs w:val="1"/>
          <w:sz w:val="28"/>
          <w:szCs w:val="28"/>
        </w:rP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services at </w:t>
      </w:r>
      <w:r>
        <w:rPr>
          <w:b w:val="1"/>
          <w:bCs w:val="1"/>
          <w:sz w:val="28"/>
          <w:szCs w:val="28"/>
        </w:rPr>
        <w:br w:type="textWrapping"/>
      </w:r>
      <w:r>
        <w:rPr>
          <w:b w:val="1"/>
          <w:bCs w:val="1"/>
          <w:sz w:val="28"/>
          <w:szCs w:val="28"/>
          <w:rtl w:val="0"/>
          <w:lang w:val="en-US"/>
        </w:rPr>
        <w:t xml:space="preserve">Rio Puerto Nuevo, San Juan </w:t>
      </w:r>
      <w:r>
        <w:rPr>
          <w:b w:val="1"/>
          <w:bCs w:val="1"/>
          <w:sz w:val="28"/>
          <w:szCs w:val="28"/>
        </w:rPr>
        <w:br w:type="textWrapping"/>
      </w:r>
      <w:r>
        <w:rPr>
          <w:b w:val="1"/>
          <w:bCs w:val="1"/>
          <w:sz w:val="28"/>
          <w:szCs w:val="28"/>
          <w:rtl w:val="0"/>
          <w:lang w:val="en-US"/>
        </w:rPr>
        <w:t>Puerto Rico Housing Demolition</w:t>
      </w:r>
    </w:p>
    <w:p>
      <w:pPr>
        <w:pStyle w:val="Body A"/>
        <w:jc w:val="center"/>
      </w:pPr>
      <w:r>
        <w:rPr>
          <w:rtl w:val="0"/>
          <w:lang w:val="en-US"/>
        </w:rPr>
        <w:t>Submitted on: 30-August-2022 12:00 CST</w:t>
      </w:r>
    </w:p>
    <w:p>
      <w:pPr>
        <w:pStyle w:val="Body A"/>
        <w:jc w:val="center"/>
      </w:pPr>
      <w:r>
        <w:rPr>
          <w:rtl w:val="0"/>
          <w:lang w:val="en-US"/>
        </w:rPr>
        <w:t>Submitted to: US Army Corps of Engineers, Engineering a</w:t>
      </w:r>
      <w:r>
        <w:drawing>
          <wp:anchor distT="0" distB="0" distL="0" distR="0" simplePos="0" relativeHeight="251661312" behindDoc="0" locked="0" layoutInCell="1" allowOverlap="1">
            <wp:simplePos x="0" y="0"/>
            <wp:positionH relativeFrom="page">
              <wp:posOffset>2728912</wp:posOffset>
            </wp:positionH>
            <wp:positionV relativeFrom="page">
              <wp:posOffset>5131514</wp:posOffset>
            </wp:positionV>
            <wp:extent cx="2314575" cy="1228725"/>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drawing>
          <wp:anchor distT="0" distB="0" distL="0" distR="0" simplePos="0" relativeHeight="251662336" behindDoc="0" locked="0" layoutInCell="1" allowOverlap="1">
            <wp:simplePos x="0" y="0"/>
            <wp:positionH relativeFrom="page">
              <wp:posOffset>3162180</wp:posOffset>
            </wp:positionH>
            <wp:positionV relativeFrom="page">
              <wp:posOffset>2999620</wp:posOffset>
            </wp:positionV>
            <wp:extent cx="1458199" cy="1458199"/>
            <wp:effectExtent l="0" t="0" r="0" b="0"/>
            <wp:wrapTopAndBottom distT="0" dist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1458199" cy="1458199"/>
                    </a:xfrm>
                    <a:prstGeom prst="rect">
                      <a:avLst/>
                    </a:prstGeom>
                    <a:ln w="12700" cap="flat">
                      <a:noFill/>
                      <a:miter lim="400000"/>
                    </a:ln>
                    <a:effectLst/>
                  </pic:spPr>
                </pic:pic>
              </a:graphicData>
            </a:graphic>
          </wp:anchor>
        </w:drawing>
      </w:r>
      <w:r>
        <w:rPr>
          <w:rtl w:val="0"/>
          <w:lang w:val="en-US"/>
        </w:rPr>
        <w:t xml:space="preserve">nd Support Center, </w:t>
      </w:r>
      <w:r>
        <w:br w:type="textWrapping"/>
      </w:r>
      <w:r>
        <w:rPr>
          <w:rtl w:val="0"/>
          <w:lang w:val="en-US"/>
        </w:rPr>
        <w:t xml:space="preserve">Huntsville (CEHNC)  </w:t>
      </w:r>
      <w:r>
        <w:br w:type="textWrapping"/>
      </w:r>
    </w:p>
    <w:p>
      <w:pPr>
        <w:pStyle w:val="Body A"/>
        <w:jc w:val="center"/>
      </w:pPr>
      <w:r>
        <w:rPr>
          <w:rtl w:val="0"/>
          <w:lang w:val="en-US"/>
        </w:rPr>
        <w:t>Submitted by:</w:t>
      </w:r>
    </w:p>
    <w:p>
      <w:pPr>
        <w:pStyle w:val="Body A"/>
        <w:jc w:val="cente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0</wp:posOffset>
                </wp:positionH>
                <wp:positionV relativeFrom="line">
                  <wp:posOffset>328065</wp:posOffset>
                </wp:positionV>
                <wp:extent cx="5943600" cy="1410099"/>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25.8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br w:type="textWrapping"/>
      </w:r>
      <w:r>
        <w:rPr>
          <w:rtl w:val="0"/>
          <w:lang w:val="en-US"/>
        </w:rPr>
        <w:t>To:</w:t>
      </w:r>
      <w:r>
        <w:br w:type="textWrapping"/>
      </w:r>
      <w:r>
        <w:rPr>
          <w:rtl w:val="0"/>
          <w:lang w:val="en-US"/>
        </w:rPr>
        <w:t xml:space="preserve">US Army Corps of Engineers, Engineering and Support Center, </w:t>
      </w:r>
      <w:r>
        <w:br w:type="textWrapping"/>
      </w:r>
      <w:r>
        <w:rPr>
          <w:rtl w:val="0"/>
          <w:lang w:val="en-US"/>
        </w:rPr>
        <w:t>Huntsville</w:t>
      </w:r>
    </w:p>
    <w:p>
      <w:pPr>
        <w:pStyle w:val="Body A"/>
      </w:pPr>
      <w:r>
        <w:rPr>
          <w:rtl w:val="0"/>
          <w:lang w:val="en-US"/>
        </w:rPr>
        <w:t>Dear Sir/Madam:</w:t>
      </w:r>
    </w:p>
    <w:p>
      <w:pPr>
        <w:pStyle w:val="Body A"/>
      </w:pPr>
      <w:r>
        <w:rPr>
          <w:rtl w:val="0"/>
          <w:lang w:val="en-US"/>
        </w:rPr>
        <w:t xml:space="preserve">All Phase Services, Inc. is pleased to submit this proposal in response to PANHES-22-P-0000 003887 - Southeastern Region MATOC, </w:t>
      </w:r>
      <w:r>
        <w:rPr>
          <w:rtl w:val="0"/>
          <w:lang w:val="en-US"/>
        </w:rPr>
        <w:t xml:space="preserve">for abatement and demolition </w:t>
      </w:r>
      <w:r>
        <w:rPr>
          <w:rtl w:val="0"/>
          <w:lang w:val="en-US"/>
        </w:rPr>
        <w:t>services at Rio Puerto Nuevo, San Juan</w:t>
      </w:r>
      <w:r>
        <w:rPr>
          <w:rtl w:val="0"/>
          <w:lang w:val="en-US"/>
        </w:rPr>
        <w:t xml:space="preserve">, </w:t>
      </w:r>
      <w:r>
        <w:rPr>
          <w:rtl w:val="0"/>
          <w:lang w:val="en-US"/>
        </w:rPr>
        <w:t xml:space="preserve">Puerto Rico Housing Demolition. Our proposal conforms to the instructions and requirements of the solicitation and addresses the Task Order PWS. We acknowledge receipt of associated maps and Site Survey Report, and Q&amp;As, as well as the RFP, including all amendments up to received </w:t>
      </w:r>
      <w:r>
        <w:rPr>
          <w:rtl w:val="0"/>
          <w:lang w:val="en-US"/>
        </w:rPr>
        <w:t>27-August-2022</w:t>
      </w:r>
      <w:r>
        <w:rPr>
          <w:rtl w:val="0"/>
          <w:lang w:val="en-US"/>
        </w:rPr>
        <w:t>. All Phase takes no exceptions to the terms, conditions, and provisions contained therein. Furthermore, we make no assumptions within this proposal that are intended to offset any risk onto the Government.</w:t>
      </w:r>
      <w:r>
        <w:rPr>
          <w:rtl w:val="0"/>
          <w:lang w:val="en-US"/>
        </w:rPr>
        <w:t xml:space="preserve"> We acknowledge the </w:t>
      </w:r>
      <w:r>
        <w:rPr>
          <w:rtl w:val="0"/>
          <w:lang w:val="en-US"/>
        </w:rPr>
        <w:t xml:space="preserve">requirements in the base contract, </w:t>
      </w:r>
      <w:r>
        <w:rPr>
          <w:rtl w:val="0"/>
          <w:lang w:val="en-US"/>
        </w:rPr>
        <w:t xml:space="preserve">that, </w:t>
      </w:r>
      <w:r>
        <w:rPr>
          <w:rtl w:val="0"/>
          <w:lang w:val="en-US"/>
        </w:rPr>
        <w:t>for each task order</w:t>
      </w:r>
      <w:r>
        <w:rPr>
          <w:rtl w:val="0"/>
          <w:lang w:val="en-US"/>
        </w:rPr>
        <w:t xml:space="preserve">, </w:t>
      </w:r>
      <w:r>
        <w:rPr>
          <w:rtl w:val="0"/>
          <w:lang w:val="en-US"/>
        </w:rPr>
        <w:t>Liquidated Damages</w:t>
      </w:r>
      <w:r>
        <w:rPr>
          <w:rtl w:val="0"/>
          <w:lang w:val="en-US"/>
        </w:rPr>
        <w:t xml:space="preserve"> </w:t>
      </w:r>
      <w:r>
        <w:rPr>
          <w:rtl w:val="0"/>
          <w:lang w:val="en-US"/>
        </w:rPr>
        <w:t>in the amount of $1</w:t>
      </w:r>
      <w:r>
        <w:rPr>
          <w:rtl w:val="0"/>
          <w:lang w:val="en-US"/>
        </w:rPr>
        <w:t>,</w:t>
      </w:r>
      <w:r>
        <w:rPr>
          <w:rtl w:val="0"/>
          <w:lang w:val="en-US"/>
        </w:rPr>
        <w:t>793.75</w:t>
      </w:r>
      <w:r>
        <w:rPr>
          <w:rtl w:val="0"/>
          <w:lang w:val="en-US"/>
        </w:rPr>
        <w:t xml:space="preserve"> </w:t>
      </w:r>
      <w:r>
        <w:rPr>
          <w:rtl w:val="0"/>
          <w:lang w:val="en-US"/>
        </w:rPr>
        <w:t>per calendar day may be assessed in accordance with FAR 52.211-11</w:t>
      </w:r>
      <w:r>
        <w:rPr>
          <w:rtl w:val="0"/>
          <w:lang w:val="en-US"/>
        </w:rPr>
        <w:t xml:space="preserve"> / </w:t>
      </w:r>
      <w:r>
        <w:rPr>
          <w:rtl w:val="0"/>
          <w:lang w:val="en-US"/>
        </w:rPr>
        <w:t xml:space="preserve">11.501(d). </w:t>
      </w:r>
    </w:p>
    <w:p>
      <w:pPr>
        <w:pStyle w:val="Body A"/>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p>
    <w:p>
      <w:pPr>
        <w:pStyle w:val="Body A"/>
      </w:pPr>
      <w:r>
        <w:rPr>
          <w:rtl w:val="0"/>
          <w:lang w:val="en-US"/>
        </w:rPr>
        <w:t>Eric Newman, Pre-Construction Manager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Sal Rabah, President of All Phase, will be the alternate POC. </w:t>
      </w:r>
    </w:p>
    <w:p>
      <w:pPr>
        <w:pStyle w:val="Body A"/>
        <w:keepNext w:val="1"/>
      </w:pPr>
      <w:r>
        <w:rPr>
          <w:rtl w:val="0"/>
          <w:lang w:val="en-US"/>
        </w:rPr>
        <w:t>Respectfully,</w:t>
      </w:r>
    </w:p>
    <w:p>
      <w:pPr>
        <w:pStyle w:val="Body A"/>
      </w:pPr>
      <w:r>
        <w:rPr>
          <w:rtl w:val="0"/>
          <w:lang w:val="en-US"/>
        </w:rPr>
        <w:t>/S/</w:t>
      </w:r>
    </w:p>
    <w:p>
      <w:pPr>
        <w:pStyle w:val="Body A"/>
      </w:pPr>
    </w:p>
    <w:p>
      <w:pPr>
        <w:pStyle w:val="Body A"/>
      </w:pPr>
      <w:r>
        <w:rPr>
          <w:rtl w:val="0"/>
          <w:lang w:val="en-US"/>
        </w:rPr>
        <w:t xml:space="preserve">Eric Newman, Pre-Construction Manager </w:t>
      </w:r>
      <w:r>
        <w:rPr>
          <w:rtl w:val="0"/>
          <w:lang w:val="en-US"/>
        </w:rPr>
        <w:t xml:space="preserve">– </w:t>
      </w:r>
      <w:r>
        <w:rPr>
          <w:rtl w:val="0"/>
          <w:lang w:val="en-US"/>
        </w:rPr>
        <w:t>Primary POC</w:t>
      </w:r>
      <w:r>
        <w:br w:type="textWrapping"/>
      </w:r>
      <w:r>
        <w:rPr>
          <w:rtl w:val="0"/>
          <w:lang w:val="en-US"/>
        </w:rPr>
        <w:t>O: 561.272.0944 | C: 941.302.6562</w:t>
      </w:r>
      <w:r>
        <w:br w:type="textWrapping"/>
      </w:r>
      <w:r>
        <w:rPr>
          <w:rtl w:val="0"/>
          <w:lang w:val="en-US"/>
        </w:rPr>
        <w:t>Email: Eric.newman@allphase.org</w:t>
      </w:r>
    </w:p>
    <w:p>
      <w:pPr>
        <w:pStyle w:val="Body A"/>
      </w:pPr>
      <w:r>
        <w:rPr>
          <w:rtl w:val="0"/>
          <w:lang w:val="en-US"/>
        </w:rPr>
        <w:t xml:space="preserve">Sal Rabah, President </w:t>
      </w:r>
      <w:r>
        <w:rPr>
          <w:rtl w:val="0"/>
          <w:lang w:val="en-US"/>
        </w:rPr>
        <w:t xml:space="preserve">– </w:t>
      </w:r>
      <w:r>
        <w:rPr>
          <w:rtl w:val="0"/>
          <w:lang w:val="en-US"/>
        </w:rPr>
        <w:t>Alternate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sal@allphase.org</w:t>
      </w:r>
      <w:r>
        <w:rPr/>
        <w:fldChar w:fldCharType="end" w:fldLock="0"/>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will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will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All Phase will to take the actions described and acknowledged in this paragraph will not relieve All Phase will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All Phase will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2. Hazardous material abatement manpower projection</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Table 3. Subcontractors, consultants, vendors, and waste handlers to assist</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lang w:val="en-US"/>
        </w:rPr>
        <w:t>Reporting</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Schedule Adjustment for Optional Tasks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Task Order-Specific Approach</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Table 4. Demolition Structure Types and Projected Difficulty Per Location</w:t>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Table 5. Manpower and Major Equipment Needed</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_Toc15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Table 6. Demolition Waste Recycling and Salvage Worksheet</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_Toc19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_Toc20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_Toc21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_Toc22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_Toc24 \h </w:instrText>
      </w:r>
      <w:r>
        <w:rPr/>
        <w:fldChar w:fldCharType="separate" w:fldLock="0"/>
      </w:r>
      <w:r>
        <w:rPr>
          <w:rFonts w:cs="Arial Unicode MS" w:eastAsia="Arial Unicode MS"/>
          <w:rtl w:val="0"/>
        </w:rPr>
        <w:t>23</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1"/>
        <w:suppressAutoHyphens w:val="1"/>
      </w:pPr>
      <w:bookmarkStart w:name="_Toc" w:id="0"/>
      <w:r>
        <w:rPr>
          <w:rtl w:val="0"/>
          <w:lang w:val="en-US"/>
        </w:rPr>
        <w:t>Technical Approach</w:t>
      </w:r>
      <w:bookmarkEnd w:id="0"/>
    </w:p>
    <w:p>
      <w:pPr>
        <w:pStyle w:val="Body C"/>
        <w:suppressAutoHyphens w:val="1"/>
      </w:pPr>
      <w:r>
        <w:rPr>
          <w:rStyle w:val="None"/>
          <w:rtl w:val="0"/>
          <w:lang w:val="en-US"/>
        </w:rPr>
        <w:t>This project involves All Phase Services, Inc. (</w:t>
      </w:r>
      <w:r>
        <w:rPr>
          <w:rStyle w:val="None"/>
          <w:rtl w:val="0"/>
          <w:lang w:val="en-US"/>
        </w:rPr>
        <w:t>“</w:t>
      </w:r>
      <w:r>
        <w:rPr>
          <w:rStyle w:val="None"/>
          <w:rtl w:val="0"/>
          <w:lang w:val="en-US"/>
        </w:rPr>
        <w:t>All Phase</w:t>
      </w:r>
      <w:r>
        <w:rPr>
          <w:rStyle w:val="None"/>
          <w:rtl w:val="0"/>
          <w:lang w:val="en-US"/>
        </w:rPr>
        <w:t>”</w:t>
      </w:r>
      <w:r>
        <w:rPr>
          <w:rStyle w:val="None"/>
          <w:rtl w:val="0"/>
          <w:lang w:val="en-US"/>
        </w:rPr>
        <w:t>) coordinating personnel, equipment, and other resources to get this demolition process completed. All Phase understands the location of the abatement, demolition and site restoration requirements are small parcel properties acquired by Jacksonville District, along the southern shore of the Rio Piedras canal</w:t>
      </w:r>
      <w:r>
        <w:rPr>
          <w:rStyle w:val="None"/>
          <w:rtl w:val="0"/>
          <w:lang w:val="en-US"/>
        </w:rPr>
        <w:t xml:space="preserve">; </w:t>
      </w:r>
      <w:r>
        <w:rPr>
          <w:rStyle w:val="None"/>
          <w:rtl w:val="0"/>
          <w:lang w:val="en-US"/>
        </w:rPr>
        <w:t>structures are located North and West of the Colegio San Gabriel, along 25th NE Street</w:t>
      </w:r>
      <w:r>
        <w:rPr>
          <w:rStyle w:val="None"/>
          <w:rtl w:val="0"/>
          <w:lang w:val="en-US"/>
        </w:rPr>
        <w:t xml:space="preserve"> (see Base Requirement, following)</w:t>
      </w:r>
      <w:r>
        <w:rPr>
          <w:rStyle w:val="None"/>
          <w:rtl w:val="0"/>
          <w:lang w:val="en-US"/>
        </w:rPr>
        <w:t xml:space="preserve">. In our experience, this results in inevitable complexities throughout the project, so we know it is crucial to have a well-orchestrated plan in place to coordinate the different aspects. 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797979" w:sz="8" w:space="0" w:shadow="0" w:frame="0"/>
          <w:insideV w:val="single" w:color="797979" w:sz="8" w:space="0" w:shadow="0" w:frame="0"/>
        </w:tblBorders>
        <w:shd w:val="clear" w:color="auto" w:fill="cadfff"/>
        <w:tblLayout w:type="fixed"/>
      </w:tblPr>
      <w:tblGrid>
        <w:gridCol w:w="1452"/>
        <w:gridCol w:w="3071"/>
        <w:gridCol w:w="1527"/>
        <w:gridCol w:w="3290"/>
      </w:tblGrid>
      <w:tr>
        <w:tblPrEx>
          <w:shd w:val="clear" w:color="auto" w:fill="auto"/>
        </w:tblPrEx>
        <w:trPr>
          <w:trHeight w:val="411" w:hRule="atLeast"/>
          <w:tblHeader/>
        </w:trPr>
        <w:tc>
          <w:tcPr>
            <w:tcW w:type="dxa" w:w="9340"/>
            <w:gridSpan w:val="4"/>
            <w:tcBorders>
              <w:top w:val="single" w:color="797979" w:sz="8" w:space="0" w:shadow="0" w:frame="0"/>
              <w:left w:val="single" w:color="797979" w:sz="8" w:space="0" w:shadow="0" w:frame="0"/>
              <w:bottom w:val="nil"/>
              <w:right w:val="single" w:color="797979" w:sz="8" w:space="0" w:shadow="0" w:frame="0"/>
            </w:tcBorders>
            <w:shd w:val="clear" w:color="auto" w:fill="auto"/>
            <w:tcMar>
              <w:top w:type="dxa" w:w="80"/>
              <w:left w:type="dxa" w:w="80"/>
              <w:bottom w:type="dxa" w:w="80"/>
              <w:right w:type="dxa" w:w="80"/>
            </w:tcMar>
            <w:vAlign w:val="center"/>
          </w:tcPr>
          <w:p>
            <w:pPr>
              <w:pStyle w:val="Body C"/>
              <w:suppressAutoHyphens w:val="1"/>
              <w:jc w:val="center"/>
            </w:pPr>
            <w:r>
              <w:rPr>
                <w:b w:val="1"/>
                <w:bCs w:val="1"/>
                <w:sz w:val="22"/>
                <w:szCs w:val="22"/>
              </w:rPr>
              <w:t>Base Requirement - Demolition of Structure(s)</w:t>
            </w:r>
          </w:p>
        </w:tc>
      </w:tr>
      <w:tr>
        <w:tblPrEx>
          <w:shd w:val="clear" w:color="auto" w:fill="00a2ff"/>
        </w:tblPrEx>
        <w:trPr>
          <w:trHeight w:val="472" w:hRule="atLeast"/>
          <w:tblHeader/>
        </w:trPr>
        <w:tc>
          <w:tcPr>
            <w:tcW w:type="dxa" w:w="1452"/>
            <w:tcBorders>
              <w:top w:val="single" w:color="797979" w:sz="8" w:space="0" w:shadow="0" w:frame="0"/>
              <w:left w:val="single" w:color="797979"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Demolition Sequence</w:t>
            </w:r>
          </w:p>
        </w:tc>
        <w:tc>
          <w:tcPr>
            <w:tcW w:type="dxa" w:w="3070"/>
            <w:tcBorders>
              <w:top w:val="single" w:color="797979"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Building #/Description</w:t>
            </w:r>
          </w:p>
        </w:tc>
        <w:tc>
          <w:tcPr>
            <w:tcW w:type="dxa" w:w="1526"/>
            <w:tcBorders>
              <w:top w:val="single" w:color="797979"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Sq ft</w:t>
            </w:r>
          </w:p>
        </w:tc>
        <w:tc>
          <w:tcPr>
            <w:tcW w:type="dxa" w:w="3289"/>
            <w:tcBorders>
              <w:top w:val="single" w:color="797979" w:sz="8" w:space="0" w:shadow="0" w:frame="0"/>
              <w:left w:val="single" w:color="ffffff" w:sz="8" w:space="0" w:shadow="0" w:frame="0"/>
              <w:bottom w:val="single" w:color="ffffff" w:sz="24" w:space="0" w:shadow="0" w:frame="0"/>
              <w:right w:val="single" w:color="797979"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Site Restoration</w:t>
            </w:r>
          </w:p>
        </w:tc>
      </w:tr>
      <w:tr>
        <w:tblPrEx>
          <w:shd w:val="clear" w:color="auto" w:fill="cadfff"/>
        </w:tblPrEx>
        <w:trPr>
          <w:trHeight w:val="692" w:hRule="atLeast"/>
        </w:trPr>
        <w:tc>
          <w:tcPr>
            <w:tcW w:type="dxa" w:w="1452"/>
            <w:tcBorders>
              <w:top w:val="single" w:color="ffffff" w:sz="24"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0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300 - 267 25th NE Street</w:t>
            </w:r>
          </w:p>
        </w:tc>
        <w:tc>
          <w:tcPr>
            <w:tcW w:type="dxa" w:w="15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1705</w:t>
            </w:r>
          </w:p>
        </w:tc>
        <w:tc>
          <w:tcPr>
            <w:tcW w:type="dxa" w:w="3289"/>
            <w:tcBorders>
              <w:top w:val="single" w:color="ffffff" w:sz="24"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 then 4</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layer of topsoil, graded to match the surrounding environment, with positive site drainage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301 - 269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1774</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302 - 271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766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303 - 273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1849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304 - 275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1042</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305 - 277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1164</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306 - 279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307 - 281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308 - 301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1426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309 - 303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1742</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310 - 305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311 - 307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1388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312 - 309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313 - 311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2049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314 - 313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1645</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315 - 315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995</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316 - 317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317 - 319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3070"/>
            <w:tcBorders>
              <w:top w:val="single" w:color="ffffff"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3210E-1 - 335 25th NE Street</w:t>
            </w:r>
          </w:p>
        </w:tc>
        <w:tc>
          <w:tcPr>
            <w:tcW w:type="dxa" w:w="1526"/>
            <w:tcBorders>
              <w:top w:val="single" w:color="ffffff"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1657</w:t>
            </w:r>
          </w:p>
        </w:tc>
        <w:tc>
          <w:tcPr>
            <w:tcW w:type="dxa" w:w="3289"/>
            <w:tcBorders>
              <w:top w:val="single" w:color="ffffff" w:sz="8" w:space="0" w:shadow="0" w:frame="0"/>
              <w:left w:val="single" w:color="ffffff" w:sz="8" w:space="0" w:shadow="0" w:frame="0"/>
              <w:bottom w:val="single" w:color="797979"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bl>
    <w:p>
      <w:pPr>
        <w:pStyle w:val="Body Requirements"/>
        <w:suppressAutoHyphens w:val="1"/>
        <w:rPr>
          <w:lang w:val="en-US"/>
        </w:rPr>
      </w:pPr>
    </w:p>
    <w:p>
      <w:pPr>
        <w:pStyle w:val="Body C"/>
        <w:suppressAutoHyphens w:val="1"/>
      </w:pPr>
      <w:r>
        <w:rPr>
          <w:rtl w:val="0"/>
          <w:lang w:val="en-US"/>
        </w:rPr>
        <w:t>Sequencing will will maximize the effort in support of this project to ensure support security of the site, Pre-Demo Survey, subsequent abatement and demolition of structures are accomplished in the least amount of time after award. Demolition of slabs and processing of materials should occur after all structures have been demolished to a point where no re-habitation can occur. 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many of the bid structures from various sources, including flooring/roofing/windows, TS, joint compound, transite, insulation, paneling, gaskets, electrical wire, caulks, and sealants. Table 1. Hazardous material abatement projected difficulty per location</w:t>
      </w:r>
    </w:p>
    <w:p>
      <w:pPr>
        <w:pStyle w:val="Body C"/>
        <w:suppressAutoHyphens w:val="1"/>
      </w:pPr>
      <w:r>
        <w:rPr>
          <w:rtl w:val="0"/>
          <w:lang w:val="en-US"/>
        </w:rPr>
        <w:t>Manpower and PCM sampling needs are estimated in Table 2; this table only lists structures shown to contain ACM in the pre-demolition reports. The abatement team will consist of 1 supervisor and 7 trained abatement workers. This team will systematically move from structure to structure removing hazardous materials and enabling subsequent site preparation and demolition. ORM labor is included in Table 5 (demolition section).</w:t>
      </w:r>
    </w:p>
    <w:p>
      <w:pPr>
        <w:pStyle w:val="Heading 2"/>
        <w:suppressAutoHyphens w:val="1"/>
      </w:pPr>
      <w:bookmarkStart w:name="_Toc1" w:id="1"/>
      <w:r>
        <w:rPr>
          <w:rtl w:val="0"/>
          <w:lang w:val="en-US"/>
        </w:rPr>
        <w:t>Table 2. Hazardous material abatement manpower projection</w:t>
      </w:r>
      <w:bookmarkEnd w:id="1"/>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All Phase will self-perform all work associated with this task order. We will also call upon specialty consultants, vendors, and waste handlers to assist as needed. These entities are summarized in Table 3.</w:t>
      </w:r>
    </w:p>
    <w:p>
      <w:pPr>
        <w:pStyle w:val="Heading 2"/>
        <w:suppressAutoHyphens w:val="1"/>
      </w:pPr>
      <w:bookmarkStart w:name="_Toc2" w:id="2"/>
      <w:r>
        <w:rPr>
          <w:rtl w:val="0"/>
          <w:lang w:val="en-US"/>
        </w:rPr>
        <w:t>Table 3. Subcontractors, consultants, vendors, and waste handlers to assist</w:t>
      </w:r>
      <w:bookmarkEnd w:id="2"/>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92" w:hRule="atLeast"/>
        </w:trPr>
        <w:tc>
          <w:tcPr>
            <w:tcW w:type="dxa" w:w="31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47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San Francisco,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Pasadena,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commentReference w:id="3"/>
            </w:r>
            <w:r>
              <w:rPr>
                <w:rStyle w:val="None"/>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Framingham, MA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Simi Valley,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bl>
    <w:p>
      <w:pPr>
        <w:pStyle w:val="Body C"/>
        <w:suppressAutoHyphens w:val="1"/>
      </w:pPr>
    </w:p>
    <w:p>
      <w:pPr>
        <w:pStyle w:val="Heading 1"/>
        <w:suppressAutoHyphens w:val="1"/>
      </w:pPr>
      <w:bookmarkStart w:name="_Toc3" w:id="4"/>
      <w:r>
        <w:rPr>
          <w:rtl w:val="0"/>
          <w:lang w:val="en-US"/>
        </w:rPr>
        <w:t>1. Project Planning</w:t>
      </w:r>
      <w:bookmarkEnd w:id="4"/>
    </w:p>
    <w:p>
      <w:pPr>
        <w:pStyle w:val="Body C"/>
        <w:suppressAutoHyphens w:val="1"/>
      </w:pPr>
      <w:r>
        <w:rPr>
          <w:rtl w:val="0"/>
          <w:lang w:val="en-US"/>
        </w:rPr>
        <w:t xml:space="preserve">All Phase will utilize available information provided as the basis of the demolition for the proposed project and </w:t>
      </w:r>
      <w:r>
        <w:rPr>
          <w:rtl w:val="0"/>
          <w:lang w:val="en-US"/>
        </w:rPr>
        <w:t>will</w:t>
      </w:r>
      <w:r>
        <w:rPr>
          <w:rtl w:val="0"/>
          <w:lang w:val="en-US"/>
        </w:rPr>
        <w:t xml:space="preserve"> include contractor site visit for investigation</w:t>
      </w:r>
      <w:r>
        <w:rPr>
          <w:rtl w:val="0"/>
          <w:lang w:val="en-US"/>
        </w:rPr>
        <w:t xml:space="preserve"> — </w:t>
      </w:r>
      <w:r>
        <w:rPr>
          <w:rtl w:val="0"/>
          <w:lang w:val="en-US"/>
        </w:rPr>
        <w:t>with permission of the government</w:t>
      </w:r>
      <w:r>
        <w:rPr>
          <w:rtl w:val="0"/>
          <w:lang w:val="en-US"/>
        </w:rPr>
        <w:t xml:space="preserve">. </w:t>
      </w:r>
      <w:r>
        <w:rPr>
          <w:rtl w:val="0"/>
          <w:lang w:val="en-US"/>
        </w:rPr>
        <w:t xml:space="preserve">Until a </w:t>
      </w:r>
      <w:r>
        <w:rPr>
          <w:rtl w:val="0"/>
          <w:lang w:val="en-US"/>
        </w:rPr>
        <w:t xml:space="preserve">Notice to Proceed </w:t>
      </w:r>
      <w:r>
        <w:rPr>
          <w:rtl w:val="0"/>
          <w:lang w:val="en-US"/>
        </w:rPr>
        <w:t xml:space="preserve">(NTP) has been received, All Phase will conduct all project planning off-site, based on materials and information provided by the government. </w:t>
      </w:r>
      <w:r>
        <w:rPr>
          <w:rtl w:val="0"/>
          <w:lang w:val="en-US"/>
        </w:rPr>
        <w:t xml:space="preserve">All Phase will be responsible for obtaining additional information required to execute the demolition. This </w:t>
      </w:r>
      <w:r>
        <w:rPr>
          <w:rtl w:val="0"/>
          <w:lang w:val="en-US"/>
        </w:rPr>
        <w:t>will</w:t>
      </w:r>
      <w:r>
        <w:rPr>
          <w:rtl w:val="0"/>
          <w:lang w:val="en-US"/>
        </w:rPr>
        <w:t xml:space="preserve"> include retrieving from the government as-builts, site measurements, surveys, tests, and other material necessary to provide All Phase will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will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suppressAutoHyphens w:val="1"/>
      </w:pPr>
      <w:r>
        <w:rPr>
          <w:rtl w:val="0"/>
          <w:lang w:val="en-US"/>
        </w:rPr>
        <w:t xml:space="preserve">Prior to full mobilization, All Phase will request site access to perform certain pre-demolition activities that may assist with the development of work plans, accident prevention plans, and project schedules. </w:t>
      </w:r>
    </w:p>
    <w:p>
      <w:pPr>
        <w:pStyle w:val="Body C"/>
        <w:suppressAutoHyphens w:val="1"/>
      </w:pPr>
      <w:r>
        <w:rPr>
          <w:rtl w:val="0"/>
          <w:lang w:val="en-US"/>
        </w:rPr>
        <w:t xml:space="preserve">Within 10 business days of award, All Phase will have personnel physically present at the site, provide 24/7 security at the site, erect/install 6-foot chain link security fencing around the site(s), and begin the Pre-Demolition Survey assessment of all structures. For Task 2 </w:t>
      </w:r>
      <w:r>
        <w:rPr>
          <w:rtl w:val="0"/>
          <w:lang w:val="en-US"/>
        </w:rPr>
        <w:t xml:space="preserve">– </w:t>
      </w:r>
      <w:r>
        <w:rPr>
          <w:rtl w:val="0"/>
          <w:lang w:val="en-US"/>
        </w:rPr>
        <w:t>Pre-Demo Survey , and within 30 work days of award, All Phase will have accomplished the Pre-Demolition Survey, Laboratory Analysis, and have provided an initial Report of Findings. Following acceptance of the Work Plans and related documents, the Contracting Officer will issue a Notice to Proceed (NTP) directing All Phase will to execute the contract, or any portion thereof, in accordance with the awarded PWS, accepted submittals, and all Federal, State, and local regulations.</w:t>
      </w:r>
    </w:p>
    <w:p>
      <w:pPr>
        <w:pStyle w:val="Body C"/>
        <w:suppressAutoHyphens w:val="1"/>
      </w:pPr>
      <w:r>
        <w:rPr>
          <w:rtl w:val="0"/>
          <w:lang w:val="en-US"/>
        </w:rPr>
        <w:t xml:space="preserve">The Work Plan will include the various sub-plans necessary to support/prosecute the work, e.g., Pre-Demolition Assessment Plan, Asbestos Abatement Plan (includes ACM and ORM), Site Specific Demolition Plan, Diversion/Re-Use Plan, Accident Prevention Plan, etc., as well as the plans listed below. All Phase will include a detailed project schedule providing abatement and demolition timelines by building, restoration of sites by individual site or groups of sites, and a projected completion date, to include the overall project critical path, in the Work Plan. The Work Plan will clearly identify the Key Personnel planned to be associated with the Task Order, all qualifications, accompanying resume, and any necessary certifications to support the assigned duties. The Work Plan will identify available markets and landfill resources in the general area in order to develop the Diversion/Recycle Plan to achieve the maximum cost-effective re-use/disposal of this facility. These plans and documents will be prepared in accordance with all applicable Federal, State, and Local regulations, the instructions and guidance in the basic MATOC, and this task order PWS. </w:t>
      </w:r>
    </w:p>
    <w:p>
      <w:pPr>
        <w:pStyle w:val="Heading 1"/>
        <w:suppressAutoHyphens w:val="1"/>
      </w:pPr>
      <w:bookmarkStart w:name="_Toc4" w:id="5"/>
      <w:r>
        <w:rPr>
          <w:rtl w:val="0"/>
          <w:lang w:val="en-US"/>
        </w:rPr>
        <w:t>2. Abatement Approach and Disposal</w:t>
      </w:r>
      <w:bookmarkEnd w:id="5"/>
    </w:p>
    <w:p>
      <w:pPr>
        <w:pStyle w:val="Body C"/>
        <w:suppressAutoHyphens w:val="1"/>
      </w:pPr>
      <w:r>
        <w:rPr>
          <w:rtl w:val="0"/>
          <w:lang w:val="en-US"/>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C"/>
        <w:suppressAutoHyphens w:val="1"/>
      </w:pPr>
      <w:r>
        <w:rPr>
          <w:rtl w:val="0"/>
          <w:lang w:val="en-US"/>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suppressAutoHyphens w:val="1"/>
      </w:pPr>
      <w:bookmarkStart w:name="_Toc5" w:id="6"/>
      <w:r>
        <w:rPr>
          <w:rtl w:val="0"/>
          <w:lang w:val="en-US"/>
        </w:rPr>
        <w:t>Abatement and Disposal of Asbestos Containing Material</w:t>
      </w:r>
      <w:bookmarkEnd w:id="6"/>
    </w:p>
    <w:p>
      <w:pPr>
        <w:pStyle w:val="Body C"/>
        <w:suppressAutoHyphens w:val="1"/>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suppressAutoHyphens w:val="1"/>
      </w:pPr>
      <w:r>
        <w:rPr>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suppressAutoHyphens w:val="1"/>
      </w:pPr>
      <w:r>
        <w:rPr>
          <w:rtl w:val="0"/>
          <w:lang w:val="en-US"/>
        </w:rPr>
        <w:t xml:space="preserve">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t>
      </w:r>
    </w:p>
    <w:p>
      <w:pPr>
        <w:pStyle w:val="Body C"/>
        <w:suppressAutoHyphens w:val="1"/>
      </w:pPr>
      <w:r>
        <w:rPr>
          <w:rtl w:val="0"/>
          <w:lang w:val="en-US"/>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HEPA Air filtration units will be utilized to ensure and maintain negative air pressure in the work area during abatement.</w:t>
      </w:r>
    </w:p>
    <w:p>
      <w:pPr>
        <w:pStyle w:val="Body C"/>
        <w:suppressAutoHyphens w:val="1"/>
      </w:pPr>
      <w:r>
        <w:rPr>
          <w:rtl w:val="0"/>
          <w:lang w:val="en-US"/>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One worker will continuously mist the pipe with amended water while the second worker removes the pipe insulation and places it into the bottom of the glove bag.</w:t>
      </w:r>
    </w:p>
    <w:p>
      <w:pPr>
        <w:pStyle w:val="Body C"/>
        <w:suppressAutoHyphens w:val="1"/>
      </w:pPr>
    </w:p>
    <w:p>
      <w:pPr>
        <w:pStyle w:val="Body C"/>
        <w:suppressAutoHyphens w:val="1"/>
      </w:pPr>
      <w:r>
        <w:rPr>
          <w:rtl w:val="0"/>
          <w:lang w:val="en-US"/>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w:t>
      </w:r>
    </w:p>
    <w:p>
      <w:pPr>
        <w:pStyle w:val="Body C"/>
        <w:suppressAutoHyphens w:val="1"/>
      </w:pPr>
      <w:r>
        <w:rPr>
          <w:rtl w:val="0"/>
          <w:lang w:val="en-US"/>
        </w:rPr>
        <w:t xml:space="preserve">Category I non-friable materials will be demolished with the building, under wet demolition methods, and taken to the landfill as ACM-containing C&amp;D debris only if permissible by law and Installation regulations. </w:t>
      </w:r>
      <w:r>
        <w:rPr>
          <w:rtl w:val="0"/>
          <w:lang w:val="en-US"/>
        </w:rPr>
        <w:t xml:space="preserve"> </w:t>
      </w:r>
      <w:r>
        <w:rPr>
          <w:rtl w:val="0"/>
          <w:lang w:val="en-US"/>
        </w:rPr>
        <w:t>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w:t>
      </w:r>
    </w:p>
    <w:p>
      <w:pPr>
        <w:pStyle w:val="Body C"/>
        <w:suppressAutoHyphens w:val="1"/>
      </w:pPr>
      <w:r>
        <w:rPr>
          <w:rtl w:val="0"/>
          <w:lang w:val="en-US"/>
        </w:rPr>
        <w:t xml:space="preserve">Workers use this area to suit up, store street clothes, and put on respiratory protection before they enter the work area, and to dress in clean clothes after washing.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w:t>
      </w:r>
    </w:p>
    <w:p>
      <w:pPr>
        <w:pStyle w:val="Body C"/>
        <w:suppressAutoHyphens w:val="1"/>
      </w:pPr>
      <w:r>
        <w:rPr>
          <w:rtl w:val="0"/>
          <w:lang w:val="en-US"/>
        </w:rPr>
        <w:t xml:space="preserve">The </w:t>
      </w:r>
      <w:r>
        <w:rPr>
          <w:rtl w:val="0"/>
          <w:lang w:val="en-US"/>
        </w:rPr>
        <w:t>Equipment Room</w:t>
      </w:r>
      <w:r>
        <w:rPr>
          <w:rtl w:val="0"/>
          <w:lang w:val="en-US"/>
        </w:rPr>
        <w:t xml:space="preserve"> </w:t>
      </w:r>
      <w:r>
        <w:rPr>
          <w:rtl w:val="0"/>
          <w:lang w:val="en-US"/>
        </w:rPr>
        <w:t>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 The equipment room may require clean up several times daily to prevent asbestos materials from being tracked into the wash room and clean room.</w:t>
      </w:r>
      <w:r>
        <w:rPr>
          <w:rtl w:val="0"/>
          <w:lang w:val="en-US"/>
        </w:rPr>
        <w:t xml:space="preserve"> </w:t>
      </w:r>
      <w:r>
        <w:rPr>
          <w:rtl w:val="0"/>
          <w:lang w:val="en-US"/>
        </w:rPr>
        <w:t>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The rubber boots provide the worker with a non-skid sole to prevent slipping inside the work area, but also prevents deterioration of the coveralls</w:t>
      </w:r>
      <w:r>
        <w:rPr>
          <w:rtl w:val="0"/>
          <w:lang w:val="en-US"/>
        </w:rPr>
        <w:t xml:space="preserve">’ </w:t>
      </w:r>
      <w:r>
        <w:rPr>
          <w:rtl w:val="0"/>
          <w:lang w:val="en-US"/>
        </w:rPr>
        <w:t>preformed bootie after extended use. The rubber boots will be removed in the work area prior to entering the dirty room of the decontamination chamber, thus leaving as much of the contaminants in the work area as possible, instead of tracking them into the "dirty room</w:t>
      </w:r>
      <w:r>
        <w:rPr>
          <w:rtl w:val="0"/>
          <w:lang w:val="en-US"/>
        </w:rPr>
        <w:t>”</w:t>
      </w:r>
      <w:r>
        <w:rPr>
          <w:rtl w:val="0"/>
          <w:lang w:val="en-US"/>
        </w:rPr>
        <w:t>.</w:t>
      </w:r>
    </w:p>
    <w:p>
      <w:pPr>
        <w:pStyle w:val="Body C"/>
        <w:suppressAutoHyphens w:val="1"/>
      </w:pPr>
      <w:r>
        <w:rPr>
          <w:rStyle w:val="None"/>
          <w:i w:val="1"/>
          <w:iCs w:val="1"/>
          <w:rtl w:val="0"/>
          <w:lang w:val="en-US"/>
        </w:rPr>
        <w:t>Basis of Initial Exposure Assessment</w:t>
      </w:r>
      <w:r>
        <w:rPr>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C"/>
        <w:suppressAutoHyphens w:val="1"/>
      </w:pPr>
      <w:r>
        <w:rPr>
          <w:rStyle w:val="None"/>
          <w:i w:val="1"/>
          <w:iCs w:val="1"/>
          <w:rtl w:val="0"/>
          <w:lang w:val="en-US"/>
        </w:rPr>
        <w:t>Cleanup during Gross Removal</w:t>
      </w:r>
      <w:r>
        <w:rPr>
          <w:rtl w:val="0"/>
          <w:lang w:val="en-US"/>
        </w:rPr>
        <w:t>: Cleaning of the work area will begin shortly after workers start removing the asbestos-containing material from the substrate. The material is to be collected from the floor with squeegees, plastic shovels, or other appropriate tools and placed in 6 mil labeled bags for disposal.</w:t>
      </w:r>
    </w:p>
    <w:p>
      <w:pPr>
        <w:pStyle w:val="Body C"/>
        <w:suppressAutoHyphens w:val="1"/>
      </w:pPr>
      <w:r>
        <w:rPr>
          <w:rStyle w:val="None"/>
          <w:i w:val="1"/>
          <w:iCs w:val="1"/>
          <w:rtl w:val="0"/>
          <w:lang w:val="en-US"/>
        </w:rPr>
        <w:t>Perform Final Wipe Down of Equipment</w:t>
      </w:r>
      <w:r>
        <w:rPr>
          <w:rtl w:val="0"/>
          <w:lang w:val="en-US"/>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The negative air filtration units will remain in place and operate for the remainder of the cleanup operation until clearance samples are collected.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r>
        <w:rPr>
          <w:rtl w:val="0"/>
          <w:lang w:val="en-US"/>
        </w:rPr>
        <w:t xml:space="preserve"> </w:t>
      </w:r>
      <w:r>
        <w:rPr>
          <w:rtl w:val="0"/>
          <w:lang w:val="en-US"/>
        </w:rPr>
        <w:t xml:space="preserve">All workers performing encapsulation will wear disposable protective clothing and respirators for asbestos because the area is treated as contaminated. </w:t>
      </w:r>
    </w:p>
    <w:p>
      <w:pPr>
        <w:pStyle w:val="Body C"/>
        <w:suppressAutoHyphens w:val="1"/>
      </w:pPr>
      <w:r>
        <w:rPr>
          <w:rStyle w:val="None"/>
          <w:i w:val="1"/>
          <w:iCs w:val="1"/>
          <w:rtl w:val="0"/>
          <w:lang w:val="en-US"/>
        </w:rPr>
        <w:t>Training &amp; Medical Surveillance</w:t>
      </w:r>
      <w:r>
        <w:rPr>
          <w:rtl w:val="0"/>
          <w:lang w:val="en-US"/>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w:t>
      </w:r>
    </w:p>
    <w:p>
      <w:pPr>
        <w:pStyle w:val="Body C"/>
        <w:suppressAutoHyphens w:val="1"/>
      </w:pPr>
      <w:r>
        <w:rPr>
          <w:rStyle w:val="None"/>
          <w:i w:val="1"/>
          <w:iCs w:val="1"/>
          <w:rtl w:val="0"/>
          <w:lang w:val="en-US"/>
        </w:rPr>
        <w:t>Asbestos Disposition</w:t>
      </w:r>
      <w:r>
        <w:rPr>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r>
        <w:rPr>
          <w:rtl w:val="0"/>
          <w:lang w:val="en-US"/>
        </w:rPr>
        <w:t xml:space="preserve"> </w:t>
      </w:r>
    </w:p>
    <w:p>
      <w:pPr>
        <w:pStyle w:val="Body C"/>
        <w:suppressAutoHyphens w:val="1"/>
      </w:pPr>
      <w:r>
        <w:rPr>
          <w:rStyle w:val="None"/>
          <w:i w:val="1"/>
          <w:iCs w:val="1"/>
          <w:rtl w:val="0"/>
          <w:lang w:val="en-US"/>
        </w:rPr>
        <w:t>PCB Abatement</w:t>
      </w:r>
      <w:r>
        <w:rPr>
          <w:rtl w:val="0"/>
          <w:lang w:val="en-US"/>
        </w:rPr>
        <w:t xml:space="preserve">: </w:t>
      </w:r>
      <w:r>
        <w:rPr>
          <w:rtl w:val="0"/>
          <w:lang w:val="en-US"/>
        </w:rPr>
        <w:t>The steps to safe polychlorinated biphenyls (PCBs) abatement activities apply when air and/or building materials have been tested and PCBs</w:t>
      </w:r>
      <w:r>
        <w:rPr>
          <w:rtl w:val="0"/>
          <w:lang w:val="en-US"/>
        </w:rPr>
        <w:t> </w:t>
      </w:r>
      <w:r>
        <w:rPr>
          <w:rtl w:val="0"/>
          <w:lang w:val="en-US"/>
        </w:rPr>
        <w:t>have been found present, or when a contractor undertakes a PCB-abatement activity.</w:t>
      </w:r>
      <w:r>
        <w:rPr>
          <w:rtl w:val="0"/>
          <w:lang w:val="en-US"/>
        </w:rPr>
        <w:t xml:space="preserve">  </w:t>
      </w:r>
      <w:r>
        <w:rPr>
          <w:rtl w:val="0"/>
          <w:lang w:val="en-US"/>
        </w:rPr>
        <w:t>If our abatement plan details how to dispose of the PCB caulk and any contaminated building materials together, we may dispose of all the materials as a PCB bulk product waste</w:t>
      </w:r>
      <w:r>
        <w:rPr>
          <w:rtl w:val="0"/>
          <w:lang w:val="en-US"/>
        </w:rPr>
        <w:t> </w:t>
      </w:r>
      <w:r>
        <w:rPr>
          <w:rtl w:val="0"/>
          <w:lang w:val="en-US"/>
        </w:rPr>
        <w:t>even if the PCB caulk becomes separated from the adjacent contaminated building materials during remediation. All PCB ballasts and bulbs will be removed by the All Phase and be properly disposed of off-base. All Phase will submit a monthly report to the base Solid Waste Manager, identifying the weight, quantity, and disposal cost of: 1) Municipal Solid Waste; and 2) Construction &amp; Demolition debris disposed on or off-base.</w:t>
      </w:r>
    </w:p>
    <w:p>
      <w:pPr>
        <w:pStyle w:val="Heading 1"/>
      </w:pPr>
      <w:bookmarkStart w:name="_Toc6" w:id="7"/>
      <w:r>
        <w:rPr>
          <w:rFonts w:cs="Arial Unicode MS" w:eastAsia="Arial Unicode MS"/>
          <w:rtl w:val="0"/>
        </w:rPr>
        <w:t>3. Project Execution</w:t>
      </w:r>
      <w:bookmarkEnd w:id="7"/>
    </w:p>
    <w:p>
      <w:pPr>
        <w:pStyle w:val="Body C"/>
        <w:suppressAutoHyphens w:val="1"/>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0"/>
          <w:lang w:val="en-US"/>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Mobilization/Demobilization and Site Setup includes Travel and transport of labor, equipment, and materials to work site, in-processing, site orientation, and any site or task specific training; Installation of storm water protection system, installation of temporary safety security fencing, and any other features required by permit. Location of gates within the security fence will be determined and documented by All Phase will, once establish on-site. Overhead utilities which are disconnected and capped will be coiled and attached to the first pole more than five feet from the facility perimeter. </w:t>
      </w:r>
    </w:p>
    <w:p>
      <w:pPr>
        <w:pStyle w:val="Body C"/>
        <w:suppressAutoHyphens w:val="1"/>
      </w:pPr>
      <w:r>
        <w:rPr>
          <w:rtl w:val="0"/>
          <w:lang w:val="en-US"/>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suppressAutoHyphens w:val="1"/>
        <w:rPr>
          <w:rStyle w:val="None"/>
          <w:b w:val="1"/>
          <w:bCs w:val="1"/>
          <w:i w:val="1"/>
          <w:iCs w:val="1"/>
        </w:rPr>
      </w:pPr>
      <w:r>
        <w:rPr>
          <w:rStyle w:val="None"/>
          <w:b w:val="1"/>
          <w:bCs w:val="1"/>
          <w:i w:val="1"/>
          <w:iCs w:val="1"/>
          <w:rtl w:val="0"/>
          <w:lang w:val="en-US"/>
        </w:rPr>
        <w:t xml:space="preserve">Regulations and Permitting: </w:t>
      </w:r>
      <w:r>
        <w:rPr>
          <w:rStyle w:val="None"/>
          <w:rtl w:val="0"/>
          <w:lang w:val="en-US"/>
        </w:rPr>
        <w:t xml:space="preserve">All Phase will follow the jurisdiction of the state Department of Environmental Protection over asbestos abatement on this task order, unless otherwise directed.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The All Phase Storm Water Pollution Prevention Plan (SWPPP)/Erosion and Sediment Control Plan (E&amp;SCP) will contain copies of the necessary permits to conduct the activities included in this Task Order. As part of planning, and no later than the kick-off meeting, we will coordinate SWPPP/E&amp;SCP permit requirements with the State and Installation, with adequate time for the Installation and Owner to comment. </w:t>
      </w:r>
    </w:p>
    <w:p>
      <w:pPr>
        <w:pStyle w:val="Body C"/>
        <w:suppressAutoHyphens w:val="1"/>
      </w:pPr>
      <w:r>
        <w:rPr>
          <w:rStyle w:val="None"/>
          <w:rtl w:val="0"/>
          <w:lang w:val="en-US"/>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suppressAutoHyphens w:val="1"/>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suppressAutoHyphens w:val="1"/>
      </w:pPr>
      <w:r>
        <w:rPr>
          <w:rStyle w:val="None"/>
          <w:b w:val="1"/>
          <w:bCs w:val="1"/>
          <w:i w:val="1"/>
          <w:iCs w:val="1"/>
          <w:rtl w:val="0"/>
          <w:lang w:val="en-US"/>
        </w:rPr>
        <w:t>Traffic and Work Hours</w:t>
      </w:r>
      <w:r>
        <w:rPr>
          <w:rtl w:val="0"/>
          <w:lang w:val="en-US"/>
        </w:rPr>
        <w:t>: Haul routes will be identified/approved after award but prior to mobilization.</w:t>
      </w:r>
    </w:p>
    <w:p>
      <w:pPr>
        <w:pStyle w:val="Body C"/>
        <w:suppressAutoHyphens w:val="1"/>
      </w:pPr>
      <w:r>
        <w:rPr>
          <w:rStyle w:val="None"/>
          <w:b w:val="1"/>
          <w:bCs w:val="1"/>
          <w:i w:val="1"/>
          <w:iCs w:val="1"/>
          <w:rtl w:val="0"/>
          <w:lang w:val="en-US"/>
        </w:rPr>
        <w:t>Staging</w:t>
      </w:r>
      <w:r>
        <w:rPr>
          <w:rtl w:val="0"/>
          <w:lang w:val="en-US"/>
        </w:rPr>
        <w:t>: We will confirm the precise locations for staging with the CO/COR.</w:t>
      </w:r>
    </w:p>
    <w:p>
      <w:pPr>
        <w:pStyle w:val="Body C"/>
        <w:suppressAutoHyphens w:val="1"/>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r>
        <w:rPr>
          <w:rStyle w:val="None"/>
          <w:rtl w:val="0"/>
          <w:lang w:val="en-US"/>
        </w:rPr>
        <w:t xml:space="preserve"> </w:t>
      </w:r>
      <w:r>
        <w:rPr>
          <w:rtl w:val="0"/>
          <w:lang w:val="en-US"/>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suppressAutoHyphens w:val="1"/>
      </w:pPr>
      <w:r>
        <w:rPr>
          <w:rStyle w:val="None"/>
          <w:b w:val="1"/>
          <w:bCs w:val="1"/>
          <w:i w:val="1"/>
          <w:iCs w:val="1"/>
          <w:rtl w:val="0"/>
          <w:lang w:val="en-US"/>
        </w:rPr>
        <w:t>Controlled Materials</w:t>
      </w:r>
      <w:r>
        <w:rPr>
          <w:rtl w:val="0"/>
          <w:lang w:val="en-US"/>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suppressAutoHyphens w:val="1"/>
      </w:pPr>
      <w:r>
        <w:rPr>
          <w:rStyle w:val="None"/>
          <w:b w:val="1"/>
          <w:bCs w:val="1"/>
          <w:i w:val="1"/>
          <w:iCs w:val="1"/>
          <w:rtl w:val="0"/>
          <w:lang w:val="en-US"/>
        </w:rPr>
        <w:t>Ordnance Explosive Safety Support</w:t>
      </w:r>
      <w:r>
        <w:rPr>
          <w:rtl w:val="0"/>
          <w:lang w:val="en-US"/>
        </w:rPr>
        <w:t>: An explosives safety submission (ESS) is not required.</w:t>
      </w:r>
    </w:p>
    <w:p>
      <w:pPr>
        <w:pStyle w:val="Body C"/>
        <w:suppressAutoHyphens w:val="1"/>
      </w:pPr>
      <w:r>
        <w:rPr>
          <w:rStyle w:val="None"/>
          <w:b w:val="1"/>
          <w:bCs w:val="1"/>
          <w:i w:val="1"/>
          <w:iCs w:val="1"/>
          <w:rtl w:val="0"/>
          <w:lang w:val="en-US"/>
        </w:rPr>
        <w:t>Execution</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suppressAutoHyphens w:val="1"/>
      </w:pPr>
      <w:r>
        <w:rPr>
          <w:rtl w:val="0"/>
          <w:lang w:val="en-US"/>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suppressAutoHyphens w:val="1"/>
      </w:pPr>
      <w:r>
        <w:rPr>
          <w:rtl w:val="0"/>
          <w:lang w:val="en-US"/>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7" w:id="8"/>
      <w:r>
        <w:rPr>
          <w:rtl w:val="0"/>
          <w:lang w:val="en-US"/>
        </w:rPr>
        <w:t>Reporting</w:t>
      </w:r>
      <w:bookmarkEnd w:id="8"/>
    </w:p>
    <w:p>
      <w:pPr>
        <w:pStyle w:val="Body C"/>
        <w:numPr>
          <w:ilvl w:val="1"/>
          <w:numId w:val="2"/>
        </w:numPr>
      </w:pPr>
      <w:r>
        <w:rPr>
          <w:rtl w:val="0"/>
        </w:rPr>
        <w:t xml:space="preserve">Weekly Status Report. All Phase will submit a weekly status report via RMS and email a copy to the Project Delivery Team by close of business on the first working day of each week. </w:t>
      </w:r>
    </w:p>
    <w:p>
      <w:pPr>
        <w:pStyle w:val="Body C"/>
        <w:numPr>
          <w:ilvl w:val="1"/>
          <w:numId w:val="2"/>
        </w:numPr>
      </w:pPr>
      <w:r>
        <w:rPr>
          <w:rtl w:val="0"/>
        </w:rPr>
        <w:t xml:space="preserve">Monthly Progress Reports. All Phase will submit a monthly Progress Report via RMS by close of business on the eighth day of the month. </w:t>
      </w:r>
    </w:p>
    <w:p>
      <w:pPr>
        <w:pStyle w:val="Body C"/>
        <w:numPr>
          <w:ilvl w:val="1"/>
          <w:numId w:val="2"/>
        </w:numPr>
      </w:pPr>
      <w:r>
        <w:rPr>
          <w:rtl w:val="0"/>
        </w:rPr>
        <w:t xml:space="preserve">Exposure Hour Report. All Phase will submit complete a monthly summary report of accident experience, exposure, Restricted Duty (RD), and Lost Work Days (LWD). via RMS by close of business on the seventh day of the month. </w:t>
      </w:r>
    </w:p>
    <w:p>
      <w:pPr>
        <w:pStyle w:val="Body C"/>
        <w:numPr>
          <w:ilvl w:val="1"/>
          <w:numId w:val="2"/>
        </w:numPr>
      </w:pPr>
      <w:r>
        <w:rPr>
          <w:rtl w:val="0"/>
        </w:rPr>
        <w:t xml:space="preserve">Service Contract Reporting (SCR). All Phase will submit all the information required in the format specified at the following web address: https://www.beta.sam.gov </w:t>
      </w:r>
    </w:p>
    <w:p>
      <w:pPr>
        <w:pStyle w:val="Body C"/>
        <w:numPr>
          <w:ilvl w:val="1"/>
          <w:numId w:val="2"/>
        </w:numPr>
      </w:pPr>
      <w:r>
        <w:rPr>
          <w:rtl w:val="0"/>
        </w:rPr>
        <w:t xml:space="preserve">Meeting </w:t>
      </w:r>
      <w:r>
        <w:rPr>
          <w:rtl w:val="0"/>
        </w:rPr>
        <w:t>Minutes</w:t>
      </w:r>
      <w:r>
        <w:rPr>
          <w:rtl w:val="0"/>
        </w:rPr>
        <w:t xml:space="preserve">. All Phase will take notes and prepare reports for all meetings, to include recurring weekly/monthly meetings and teleconferences. Within five working days after date of meeting, </w:t>
      </w:r>
      <w:r>
        <w:rPr>
          <w:rtl w:val="0"/>
        </w:rPr>
        <w:t>our PM</w:t>
      </w:r>
      <w:r>
        <w:rPr>
          <w:rtl w:val="0"/>
        </w:rPr>
        <w:t xml:space="preserve"> will prepare meeting notes in typed form and furnish it to the Government PM. </w:t>
      </w:r>
    </w:p>
    <w:p>
      <w:pPr>
        <w:pStyle w:val="Body C"/>
        <w:suppressAutoHyphens w:val="1"/>
      </w:pPr>
      <w:r>
        <w:rPr>
          <w:rtl w:val="0"/>
          <w:lang w:val="en-US"/>
        </w:rPr>
        <w:t>All Phase will submit a status report via e-mail every week to the Government Project Manager by close of business on the first working day of each week. We will submit a monthly Progress Report not later than the tenth day of the month.</w:t>
      </w:r>
    </w:p>
    <w:p>
      <w:pPr>
        <w:pStyle w:val="Body C"/>
        <w:suppressAutoHyphens w:val="1"/>
      </w:pPr>
      <w:r>
        <w:rPr>
          <w:rStyle w:val="None"/>
          <w:b w:val="1"/>
          <w:bCs w:val="1"/>
          <w:i w:val="1"/>
          <w:iCs w:val="1"/>
          <w:rtl w:val="0"/>
          <w:lang w:val="en-US"/>
        </w:rPr>
        <w:t>Close-out</w:t>
      </w:r>
      <w:r>
        <w:rPr>
          <w:rtl w:val="0"/>
          <w:lang w:val="en-US"/>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r>
        <w:rPr>
          <w:rtl w:val="0"/>
          <w:lang w:val="en-US"/>
        </w:rPr>
        <w:t xml:space="preserve"> </w:t>
      </w:r>
      <w:r>
        <w:rPr>
          <w:rtl w:val="0"/>
          <w:lang w:val="en-US"/>
        </w:rPr>
        <w:t>All Phase will provide a final report in accordance with Attachment 10, Demolition and Recycling Final Report. The final report will include a detailed description of work performed and lessons learned. The summary detail will include the quantity and type of debris materials recycled, salvaged, reused, and disposed of and will be presented in chart form showing original material quantity estimated, quantity recycled, percentage recycled, and approximate cost or cost savings versus a commercial landfill/disposal facility alternative. A copy of this diversion information will be provided to the designated Installation Environmental POC.</w:t>
      </w:r>
    </w:p>
    <w:p>
      <w:pPr>
        <w:pStyle w:val="Heading 2"/>
        <w:suppressAutoHyphens w:val="1"/>
      </w:pPr>
      <w:bookmarkStart w:name="_Toc8" w:id="9"/>
      <w:r>
        <w:rPr>
          <w:rtl w:val="0"/>
          <w:lang w:val="en-US"/>
        </w:rPr>
        <w:t>Preliminary Schedule</w:t>
      </w:r>
      <w:bookmarkEnd w:id="9"/>
    </w:p>
    <w:p>
      <w:pPr>
        <w:pStyle w:val="Body C"/>
        <w:suppressAutoHyphens w:val="1"/>
      </w:pPr>
      <w:r>
        <w:rPr>
          <w:rtl w:val="0"/>
          <w:lang w:val="en-US"/>
        </w:rPr>
        <w:t xml:space="preserve">In the attached appendix, we attach our work schedule in the form of a Gantt Chart. The schedule is broken down into four main work phases: (1) Start-up + Mobilization; (2) Hazmat Abatement + Salvage + Demolition, (3) Site Restoration + Demobilization; and (4) Project Close-out. The schedule assumes an award date of ________. The timeline terminates at _______, a period of _____ work days </w:t>
      </w:r>
      <w:r>
        <w:rPr>
          <w:rtl w:val="0"/>
          <w:lang w:val="en-US"/>
        </w:rPr>
        <w:t xml:space="preserve">— </w:t>
      </w:r>
      <w:r>
        <w:rPr>
          <w:rtl w:val="0"/>
          <w:lang w:val="en-US"/>
        </w:rPr>
        <w:t>a full five (5) days fewer than the maximum allowed.</w:t>
      </w:r>
    </w:p>
    <w:p>
      <w:pPr>
        <w:pStyle w:val="Body C"/>
        <w:suppressAutoHyphens w:val="1"/>
      </w:pPr>
      <w:r>
        <w:rPr>
          <w:rtl w:val="0"/>
          <w:lang w:val="en-US"/>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 beginning on ______. The total Abatement / Demo work phase will consume ____ work days. Site restoration will commence after all buildings have been demolished starting on , with ___ work days allocated. Demobilization will begin on ____ and the final report will be delivered to the government by ______. After review and re-submittal, the project will close-out on _______.</w:t>
      </w:r>
    </w:p>
    <w:p>
      <w:pPr>
        <w:pStyle w:val="Heading 2"/>
        <w:suppressAutoHyphens w:val="1"/>
      </w:pPr>
      <w:bookmarkStart w:name="_Toc9" w:id="10"/>
      <w:r>
        <w:rPr>
          <w:rtl w:val="0"/>
          <w:lang w:val="en-US"/>
        </w:rPr>
        <w:t>Schedule Adjustment for Optional Tasks</w:t>
      </w:r>
      <w:bookmarkEnd w:id="10"/>
    </w:p>
    <w:p>
      <w:pPr>
        <w:pStyle w:val="Body C"/>
        <w:suppressAutoHyphens w:val="1"/>
      </w:pPr>
      <w:r>
        <w:rPr>
          <w:rtl w:val="0"/>
          <w:lang w:val="en-US"/>
        </w:rPr>
        <w:t>Scheduling requirements for Option 1 (DESCRIPTION) and Option 2 (DESCRIPTION) require additional work days of ______ and ______, respectively (for Abatement/Demo and Site Restoration work phases). We therefore estimate that the overall time needed for project completion including Options 1 and 2 will increase by ____ days, for a final close-out date of _____. We show our Base Bid + Options schedule in the appendix to this proposal.</w:t>
      </w:r>
    </w:p>
    <w:p>
      <w:pPr>
        <w:pStyle w:val="Heading 2"/>
        <w:suppressAutoHyphens w:val="1"/>
      </w:pPr>
      <w:bookmarkStart w:name="_Toc10" w:id="11"/>
      <w:r>
        <w:rPr>
          <w:rtl w:val="0"/>
          <w:lang w:val="en-US"/>
        </w:rPr>
        <w:t>Change Orders</w:t>
      </w:r>
      <w:bookmarkEnd w:id="11"/>
    </w:p>
    <w:p>
      <w:pPr>
        <w:pStyle w:val="Body C"/>
        <w:suppressAutoHyphens w:val="1"/>
      </w:pPr>
      <w:r>
        <w:rPr>
          <w:rtl w:val="0"/>
          <w:lang w:val="en-US"/>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suppressAutoHyphens w:val="1"/>
      </w:pPr>
      <w:r>
        <w:rPr>
          <w:rStyle w:val="None"/>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suppressAutoHyphens w:val="1"/>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suppressAutoHyphens w:val="1"/>
      </w:pPr>
      <w:bookmarkStart w:name="_Toc11" w:id="12"/>
      <w:r>
        <w:rPr>
          <w:rtl w:val="0"/>
          <w:lang w:val="en-US"/>
        </w:rPr>
        <w:t>4. Demolition Approach</w:t>
      </w:r>
      <w:bookmarkEnd w:id="12"/>
    </w:p>
    <w:p>
      <w:pPr>
        <w:pStyle w:val="Body C"/>
        <w:suppressAutoHyphens w:val="1"/>
      </w:pPr>
      <w:r>
        <w:rPr>
          <w:rtl w:val="0"/>
          <w:lang w:val="en-US"/>
        </w:rPr>
        <w:t>In order for the demolition of the buildings go smoothly, we will draft a Project Management Plan (PMP) for the government</w:t>
      </w:r>
      <w:r>
        <w:rPr>
          <w:rStyle w:val="None"/>
          <w:rFonts w:ascii="Arial Unicode MS" w:hAnsi="Arial Unicode MS" w:hint="default"/>
          <w:rtl w:val="0"/>
          <w:lang w:val="en-US"/>
        </w:rPr>
        <w:t>’</w:t>
      </w:r>
      <w:r>
        <w:rPr>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C"/>
      </w:pPr>
      <w:r>
        <w:rPr>
          <w:rtl w:val="0"/>
        </w:rPr>
        <w:t>Demolition</w:t>
      </w:r>
      <w:r>
        <w:rPr>
          <w:rtl w:val="0"/>
        </w:rPr>
        <w:t xml:space="preserve"> </w:t>
      </w:r>
      <w:r>
        <w:rPr>
          <w:rtl w:val="0"/>
        </w:rPr>
        <w:t>includes</w:t>
      </w:r>
      <w:r>
        <w:rPr>
          <w:rtl w:val="0"/>
        </w:rPr>
        <w:t xml:space="preserve"> removal of</w:t>
      </w:r>
      <w:r>
        <w:rPr>
          <w:rStyle w:val="None"/>
          <w:rtl w:val="0"/>
          <w:lang w:val="de-DE"/>
        </w:rPr>
        <w:t> </w:t>
      </w:r>
      <w:r>
        <w:rPr>
          <w:rStyle w:val="None"/>
          <w:rtl w:val="0"/>
          <w:lang w:val="de-DE"/>
        </w:rPr>
        <w:t>i</w:t>
      </w:r>
      <w:r>
        <w:rPr>
          <w:rStyle w:val="None"/>
          <w:rtl w:val="0"/>
          <w:lang w:val="en-US"/>
        </w:rPr>
        <w:t xml:space="preserve">nterior equipment and machinery whether attached to the structure or free-standing. </w:t>
      </w:r>
      <w:r>
        <w:rPr>
          <w:rStyle w:val="None"/>
          <w:rtl w:val="0"/>
          <w:lang w:val="en-US"/>
        </w:rPr>
        <w:t xml:space="preserve">All Phase will demolish </w:t>
      </w:r>
      <w:r>
        <w:rPr>
          <w:rStyle w:val="None"/>
          <w:rtl w:val="0"/>
          <w:lang w:val="en-US"/>
        </w:rPr>
        <w:t xml:space="preserve">xterior pole-mounted lights and other equipment within the boundaries of demolition of the facility perimeter, and any pole or other item that hinders the facility removal process or contributes a safety hazard. The removal of these will be reviewed and accepted by the Owner prior to work. </w:t>
      </w:r>
      <w:r>
        <w:rPr>
          <w:rtl w:val="0"/>
        </w:rPr>
        <w:t xml:space="preserve">Except where specified or reserved by the Government, all items and objects, materials, and equipment, that are on, in, or within the boundaries of demolition of the facility at the time of mobilization are the property of All Phase will and will be removed. All foundations and other underground features to a minimum depth of four feet below surrounding grade will be removed as part of the demolition requirements. </w:t>
      </w:r>
      <w:r>
        <w:rPr>
          <w:rtl w:val="0"/>
        </w:rPr>
        <w:t>Although we don</w:t>
      </w:r>
      <w:r>
        <w:rPr>
          <w:rtl w:val="0"/>
        </w:rPr>
        <w:t>’</w:t>
      </w:r>
      <w:r>
        <w:rPr>
          <w:rtl w:val="0"/>
        </w:rPr>
        <w:t>t expect any, f</w:t>
      </w:r>
      <w:r>
        <w:rPr>
          <w:rtl w:val="0"/>
        </w:rPr>
        <w:t>acilities with basements or swimming pools will have the walls removed to a depth of four feet below surrounding grade, the bottom and remaining sides perforated in numerous locations, and backfilled to match surrounding grade.</w:t>
      </w:r>
      <w:r>
        <w:rPr>
          <w:rtl w:val="0"/>
        </w:rPr>
        <w:t xml:space="preserve"> </w:t>
      </w:r>
      <w:r>
        <w:rPr>
          <w:rtl w:val="0"/>
        </w:rPr>
        <w:t xml:space="preserve">All Phase will demolish and remove all ancillary items associated with each facility within the limits defined in the Demolition Design documents provided or as otherwise indicated in the PWS. Items may include, but are not limited to, overhead conveyance systems, unused utilities, walkways and sidewalks, utility poles, fencing, equipment pads, loading docks, etc. </w:t>
      </w:r>
    </w:p>
    <w:p>
      <w:pPr>
        <w:pStyle w:val="Body C"/>
      </w:pPr>
      <w:r>
        <w:rPr>
          <w:rtl w:val="0"/>
        </w:rPr>
        <w:t xml:space="preserve">Satisfactory backfill material will comply with all Federal, State, and Local regulations, but if allowable may be processed cementitious debris or similar backfill material as accepted by the Contracting Officer and accepted by the Installation Environmental POC. </w:t>
      </w:r>
      <w:r>
        <w:rPr>
          <w:rStyle w:val="None"/>
          <w:rtl w:val="0"/>
          <w:lang w:val="en-US"/>
        </w:rPr>
        <w:t xml:space="preserve">Backfill will be placed in lifts not to exceed eight (8) inches in loose thickness and compacted to the density as specified in the Region MATOC Attachment 12 </w:t>
      </w:r>
      <w:r>
        <w:rPr>
          <w:rStyle w:val="None"/>
          <w:rtl w:val="0"/>
          <w:lang w:val="de-DE"/>
        </w:rPr>
        <w:t xml:space="preserve">– </w:t>
      </w:r>
      <w:r>
        <w:rPr>
          <w:rStyle w:val="None"/>
          <w:rtl w:val="0"/>
          <w:lang w:val="en-US"/>
        </w:rPr>
        <w:t xml:space="preserve">Specification Guide 02221 - Ex-Back-Site. Gradation of stone or cementitious materials used as backfill materials will be two-inch minus aggregate size. </w:t>
      </w:r>
      <w:r>
        <w:rPr>
          <w:rtl w:val="0"/>
        </w:rPr>
        <w:t xml:space="preserve">The facility footprint will be covered with a four-inch layer of topsoil which will be graded to match the surrounding environment and provide for positive site drainage. </w:t>
      </w:r>
    </w:p>
    <w:p>
      <w:pPr>
        <w:pStyle w:val="Heading 2"/>
        <w:suppressAutoHyphens w:val="1"/>
      </w:pPr>
      <w:bookmarkStart w:name="_Toc12" w:id="13"/>
      <w:r>
        <w:rPr>
          <w:rtl w:val="0"/>
          <w:lang w:val="en-US"/>
        </w:rPr>
        <w:t>Task Order-Specific Approach</w:t>
      </w:r>
      <w:bookmarkEnd w:id="13"/>
    </w:p>
    <w:p>
      <w:pPr>
        <w:pStyle w:val="Body C"/>
        <w:suppressAutoHyphens w:val="1"/>
      </w:pPr>
      <w:r>
        <w:rPr>
          <w:rStyle w:val="None"/>
          <w:rtl w:val="0"/>
          <w:lang w:val="en-US"/>
        </w:rPr>
        <w:t xml:space="preserve">We distinguish </w:t>
      </w:r>
      <w:r>
        <w:rPr>
          <w:rStyle w:val="None"/>
          <w:rtl w:val="0"/>
          <w:lang w:val="en-US"/>
        </w:rPr>
        <w:t>each of the</w:t>
      </w:r>
      <w:r>
        <w:rPr>
          <w:rStyle w:val="None"/>
          <w:rtl w:val="0"/>
          <w:lang w:val="en-US"/>
        </w:rPr>
        <w:t xml:space="preserv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p>
    <w:p>
      <w:pPr>
        <w:pStyle w:val="Heading 2"/>
        <w:pageBreakBefore w:val="1"/>
        <w:suppressAutoHyphens w:val="1"/>
      </w:pPr>
      <w:bookmarkStart w:name="_Toc13" w:id="14"/>
      <w:r>
        <w:rPr>
          <w:rtl w:val="0"/>
          <w:lang w:val="en-US"/>
        </w:rPr>
        <w:t>Table 4. Demolition Structure Types and Projected Difficulty Per Location</w:t>
      </w:r>
      <w:bookmarkEnd w:id="14"/>
    </w:p>
    <w:p>
      <w:pPr>
        <w:pStyle w:val="Body C"/>
        <w:suppressAutoHyphens w:val="1"/>
      </w:pPr>
      <w:r>
        <w:rPr>
          <w:rtl w:val="0"/>
          <w:lang w:val="en-US"/>
        </w:rPr>
        <w:t>[DESCRIPTION OF BUILDINGS]</w:t>
      </w: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r>
        <w:rPr>
          <w:rtl w:val="0"/>
          <w:lang w:val="en-US"/>
        </w:rPr>
        <w:t>All of the work can be accomplished using an 80K# class excavator with various attachments and skid steers. Little hand work will be required. None of these demolition tasks should prove unusual or difficult.</w:t>
      </w:r>
    </w:p>
    <w:p>
      <w:pPr>
        <w:pStyle w:val="Body C"/>
        <w:suppressAutoHyphens w:val="1"/>
      </w:pPr>
      <w:r>
        <w:rPr>
          <w:rtl w:val="0"/>
          <w:lang w:val="en-US"/>
        </w:rPr>
        <w:t>Manpower and Equipment: Effort required to salvage and recycle usable materials and demolish and restore the site is summarized in Table 5.The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4" w:id="15"/>
      <w:r>
        <w:rPr>
          <w:rtl w:val="0"/>
          <w:lang w:val="en-US"/>
        </w:rPr>
        <w:t>Table 5. Manpower and Major Equipment Needed</w:t>
      </w:r>
      <w:bookmarkEnd w:id="15"/>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1"/>
        <w:pageBreakBefore w:val="1"/>
        <w:suppressAutoHyphens w:val="1"/>
      </w:pPr>
      <w:bookmarkStart w:name="_Toc15" w:id="16"/>
      <w:r>
        <w:rPr>
          <w:rtl w:val="0"/>
          <w:lang w:val="en-US"/>
        </w:rPr>
        <w:t>5. Debris Handling, Waste Diversion, Recycling</w:t>
      </w:r>
      <w:bookmarkEnd w:id="16"/>
    </w:p>
    <w:p>
      <w:pPr>
        <w:pStyle w:val="Body C"/>
        <w:suppressAutoHyphens w:val="1"/>
        <w:spacing w:after="60"/>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uppressAutoHyphens w:val="1"/>
        <w:spacing w:after="60"/>
        <w:ind w:left="785"/>
      </w:pPr>
      <w:r>
        <w:rPr>
          <w:rtl w:val="0"/>
          <w:lang w:val="en-US"/>
        </w:rPr>
        <w:t xml:space="preserve">• </w:t>
      </w:r>
      <w:r>
        <w:rPr>
          <w:rtl w:val="0"/>
          <w:lang w:val="en-US"/>
        </w:rPr>
        <w:t>REDUCE: Make every effort to minimize the amount of waste generated</w:t>
      </w:r>
    </w:p>
    <w:p>
      <w:pPr>
        <w:pStyle w:val="Body C"/>
        <w:suppressAutoHyphens w:val="1"/>
        <w:spacing w:after="60"/>
        <w:ind w:left="785"/>
      </w:pPr>
      <w:r>
        <w:rPr>
          <w:rtl w:val="0"/>
          <w:lang w:val="en-US"/>
        </w:rPr>
        <w:t xml:space="preserve">• </w:t>
      </w:r>
      <w:r>
        <w:rPr>
          <w:rtl w:val="0"/>
          <w:lang w:val="en-US"/>
        </w:rPr>
        <w:t>REUSE: Segregate items that can potentially be reused</w:t>
      </w:r>
    </w:p>
    <w:p>
      <w:pPr>
        <w:pStyle w:val="Body C"/>
        <w:numPr>
          <w:ilvl w:val="1"/>
          <w:numId w:val="4"/>
        </w:numPr>
        <w:suppressAutoHyphens w:val="1"/>
        <w:rPr>
          <w:lang w:val="en-US"/>
        </w:rPr>
      </w:pPr>
      <w:r>
        <w:rPr>
          <w:rtl w:val="0"/>
          <w:lang w:val="en-US"/>
        </w:rPr>
        <w:t>RECYCLE: Segregate recyclable items and place them in appropriate containers</w:t>
      </w:r>
    </w:p>
    <w:p>
      <w:pPr>
        <w:pStyle w:val="Body C"/>
      </w:pPr>
      <w:r>
        <w:rPr>
          <w:rtl w:val="0"/>
        </w:rPr>
        <w:t>We understand that t</w:t>
      </w:r>
      <w:r>
        <w:rPr>
          <w:rStyle w:val="None"/>
          <w:rtl w:val="0"/>
          <w:lang w:val="en-US"/>
        </w:rPr>
        <w:t xml:space="preserve">he minimum diversion goal for this Task Order is 60% by weight. All Phase will manage wastes and debris in accordance with the accepted Waste Management and Diversion Plan. </w:t>
      </w:r>
      <w:r>
        <w:rPr>
          <w:rtl w:val="0"/>
        </w:rPr>
        <w:t xml:space="preserve">All Phase will recycle materials and submit proof of recycling/diversion in the monthly and final reports. </w:t>
      </w:r>
      <w:r>
        <w:rPr>
          <w:rtl w:val="0"/>
        </w:rPr>
        <w:t>We acknowledge that u</w:t>
      </w:r>
      <w:r>
        <w:rPr>
          <w:rtl w:val="0"/>
        </w:rPr>
        <w:t xml:space="preserve">se of the material processed for engineering fill, aggregate, or re-constituted concrete or asphaltic pavement constitutes recycling. </w:t>
      </w:r>
    </w:p>
    <w:p>
      <w:pPr>
        <w:pStyle w:val="Body C"/>
      </w:pPr>
      <w:r>
        <w:rPr>
          <w:rtl w:val="0"/>
        </w:rPr>
        <w:t xml:space="preserve">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direct sale to the public, direct conveyance to non-profit organizations, or by auction, or any combination. In accordance with all Federal, State, and local regulations, all concrete/asphaltic materials suitable for crushing, reuse, or recycling may be crushed, re-cycled, or stockpiled at a designated site on the Installation on a temporary basis. All concrete/asphalt materials not used for site restoration must be removed from the Installation by the end of the project schedule. </w:t>
      </w:r>
      <w:r>
        <w:rPr>
          <w:rtl w:val="0"/>
        </w:rPr>
        <w:t>All Phase</w:t>
      </w:r>
      <w:r>
        <w:rPr>
          <w:rtl w:val="0"/>
        </w:rPr>
        <w:t xml:space="preserve"> will be responsible for any/all air quality permits required for crushing activities. </w:t>
      </w:r>
    </w:p>
    <w:p>
      <w:pPr>
        <w:pStyle w:val="Heading 2"/>
        <w:suppressAutoHyphens w:val="1"/>
      </w:pPr>
      <w:bookmarkStart w:name="_Toc16" w:id="17"/>
      <w:r>
        <w:rPr>
          <w:rtl w:val="0"/>
          <w:lang w:val="en-US"/>
        </w:rPr>
        <w:t>Debris Handling</w:t>
      </w:r>
      <w:bookmarkEnd w:id="17"/>
    </w:p>
    <w:p>
      <w:pPr>
        <w:pStyle w:val="Body C"/>
        <w:suppressAutoHyphens w:val="1"/>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lang w:val="en-US"/>
        </w:rPr>
        <w:t xml:space="preserve"> </w:t>
      </w:r>
      <w:r>
        <w:rPr>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7" w:id="18"/>
      <w:r>
        <w:rPr>
          <w:rtl w:val="0"/>
          <w:lang w:val="en-US"/>
        </w:rPr>
        <w:t>Waste Diversion and Recycling</w:t>
      </w:r>
      <w:bookmarkEnd w:id="18"/>
    </w:p>
    <w:p>
      <w:pPr>
        <w:pStyle w:val="Body C"/>
        <w:suppressAutoHyphens w:val="1"/>
      </w:pPr>
      <w:r>
        <w:rPr>
          <w:rtl w:val="0"/>
          <w:lang w:val="en-US"/>
        </w:rPr>
        <w:t>All Phase</w:t>
      </w:r>
      <w:r>
        <w:rPr>
          <w:rStyle w:val="None"/>
          <w:rFonts w:ascii="Arial Unicode MS" w:hAnsi="Arial Unicode MS" w:hint="default"/>
          <w:rtl w:val="0"/>
          <w:lang w:val="en-US"/>
        </w:rPr>
        <w:t>’</w:t>
      </w:r>
      <w:r>
        <w:rPr>
          <w:rtl w:val="0"/>
          <w:lang w:val="en-US"/>
        </w:rPr>
        <w:t>s intent is to maximize the economic recycling of materials. This maximizes our return on scrap value and minimizes the waste stream of materials that will go to landfill.</w:t>
      </w:r>
    </w:p>
    <w:p>
      <w:pPr>
        <w:pStyle w:val="Body C"/>
        <w:suppressAutoHyphens w:val="1"/>
      </w:pP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suppressAutoHyphens w:val="1"/>
      </w:pPr>
      <w:r>
        <w:rPr>
          <w:rtl w:val="0"/>
          <w:lang w:val="en-US"/>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suppressAutoHyphens w:val="1"/>
      </w:pPr>
      <w:bookmarkStart w:name="_Toc18" w:id="19"/>
      <w:r>
        <w:rPr>
          <w:rtl w:val="0"/>
          <w:lang w:val="en-US"/>
        </w:rPr>
        <w:t>Table 6. Demolition Waste Recycling and Salvage Worksheet</w:t>
      </w:r>
      <w:bookmarkEnd w:id="19"/>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Body C"/>
        <w:suppressAutoHyphens w:val="1"/>
      </w:pPr>
    </w:p>
    <w:p>
      <w:pPr>
        <w:pStyle w:val="Heading 1"/>
        <w:suppressAutoHyphens w:val="1"/>
      </w:pPr>
      <w:bookmarkStart w:name="_Toc19" w:id="20"/>
      <w:r>
        <w:rPr>
          <w:rtl w:val="0"/>
          <w:lang w:val="en-US"/>
        </w:rPr>
        <w:t>6. Site Security and Safety Approach</w:t>
      </w:r>
      <w:bookmarkEnd w:id="20"/>
    </w:p>
    <w:p>
      <w:pPr>
        <w:pStyle w:val="Body C"/>
        <w:suppressAutoHyphens w:val="1"/>
      </w:pPr>
      <w:r>
        <w:rPr>
          <w:rtl w:val="0"/>
          <w:lang w:val="en-US"/>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20" w:id="21"/>
      <w:r>
        <w:rPr>
          <w:rtl w:val="0"/>
          <w:lang w:val="en-US"/>
        </w:rPr>
        <w:t>Site Security</w:t>
      </w:r>
      <w:bookmarkEnd w:id="21"/>
    </w:p>
    <w:p>
      <w:pPr>
        <w:pStyle w:val="Body C"/>
        <w:suppressAutoHyphens w:val="1"/>
      </w:pPr>
      <w:r>
        <w:rPr>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suppressAutoHyphens w:val="1"/>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suppressAutoHyphens w:val="1"/>
      </w:pP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r>
        <w:rPr>
          <w:rtl w:val="0"/>
          <w:lang w:val="en-US"/>
        </w:rPr>
        <w:t xml:space="preserve"> </w:t>
      </w:r>
      <w:r>
        <w:rPr>
          <w:rtl w:val="0"/>
          <w:lang w:val="en-US"/>
        </w:rPr>
        <w:t xml:space="preserve">All Phase will install temporary protective barriers (Fencing) in accordance with EM 385 -1-1, 04.A.04, Fencing and Warning Signs, and remove them when the GDA permits. For this task order properly placarded chain link fencing with secured gates/orange construction fencing is required as a temporary protective barrier. Unless specified or required otherwise chain link fence will be a minimum of six (6) feet in height. </w:t>
      </w:r>
    </w:p>
    <w:p>
      <w:pPr>
        <w:pStyle w:val="Body C"/>
        <w:suppressAutoHyphens w:val="1"/>
      </w:pPr>
      <w:r>
        <w:rPr>
          <w:rtl w:val="0"/>
          <w:lang w:val="en-US"/>
        </w:rPr>
        <w:t xml:space="preserve">Optionally, All Phase will execute </w:t>
      </w:r>
      <w:r>
        <w:rPr>
          <w:rtl w:val="0"/>
          <w:lang w:val="en-US"/>
        </w:rPr>
        <w:t xml:space="preserve">Task 5 </w:t>
      </w:r>
      <w:r>
        <w:rPr>
          <w:rtl w:val="0"/>
          <w:lang w:val="en-US"/>
        </w:rPr>
        <w:t xml:space="preserve">– </w:t>
      </w:r>
      <w:r>
        <w:rPr>
          <w:rtl w:val="0"/>
          <w:lang w:val="en-US"/>
        </w:rPr>
        <w:t xml:space="preserve">Option 1 </w:t>
      </w:r>
      <w:r>
        <w:rPr>
          <w:rtl w:val="0"/>
          <w:lang w:val="en-US"/>
        </w:rPr>
        <w:t xml:space="preserve">– </w:t>
      </w:r>
      <w:r>
        <w:rPr>
          <w:rtl w:val="0"/>
          <w:lang w:val="en-US"/>
        </w:rPr>
        <w:t>and m</w:t>
      </w:r>
      <w:r>
        <w:rPr>
          <w:rtl w:val="0"/>
          <w:lang w:val="en-US"/>
        </w:rPr>
        <w:t xml:space="preserve">aintain 24/7 physical security and perimeter fencing at the site for a period of 30-days. This option may be exercised multiple times, to cover a 30, 60, or possibly 90-day period after completion of demolition. </w:t>
      </w:r>
    </w:p>
    <w:p>
      <w:pPr>
        <w:pStyle w:val="Heading 2"/>
        <w:suppressAutoHyphens w:val="1"/>
      </w:pPr>
      <w:bookmarkStart w:name="_Toc21" w:id="22"/>
      <w:r>
        <w:rPr>
          <w:rtl w:val="0"/>
          <w:lang w:val="en-US"/>
        </w:rPr>
        <w:t>Safety Approach</w:t>
      </w:r>
      <w:bookmarkEnd w:id="22"/>
    </w:p>
    <w:p>
      <w:pPr>
        <w:pStyle w:val="Body C"/>
        <w:suppressAutoHyphens w:val="1"/>
      </w:pPr>
      <w:r>
        <w:rPr>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suppressAutoHyphens w:val="1"/>
      </w:pPr>
      <w:r>
        <w:rPr>
          <w:rStyle w:val="None"/>
          <w:i w:val="1"/>
          <w:iCs w:val="1"/>
          <w:rtl w:val="0"/>
          <w:lang w:val="en-US"/>
        </w:rPr>
        <w:t>Accident Prevention Plan and Activity Hazard Analysis</w:t>
      </w:r>
      <w:r>
        <w:rPr>
          <w:rStyle w:val="None"/>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 xml:space="preserve">needed to remove vessels, towers, equipment, trusses, or other items that require use of a crane or other lifting device. A specific hazard analysis for each location/type of lift will be provided. A site-specific health and safety plan Accident Prevention Plan (APP) will be developed in accordance with U.S. Army Corps of Engineers Health and Safety Requirements, manual EM 385-1-1. The APP will include a complete site-specific Activity Hazard Analysis (AHA) for each activity of the work. In particular, All Phase will develop as part of the APP, specific requirements for any </w:t>
      </w:r>
      <w:r>
        <w:rPr>
          <w:rStyle w:val="None"/>
          <w:rtl w:val="0"/>
          <w:lang w:val="en-US"/>
        </w:rPr>
        <w:t>“</w:t>
      </w:r>
      <w:r>
        <w:rPr>
          <w:rStyle w:val="None"/>
          <w:rtl w:val="0"/>
          <w:lang w:val="en-US"/>
        </w:rPr>
        <w:t>lift plan(s)</w:t>
      </w:r>
      <w:r>
        <w:rPr>
          <w:rStyle w:val="None"/>
          <w:rtl w:val="0"/>
          <w:lang w:val="en-US"/>
        </w:rPr>
        <w:t xml:space="preserve">” </w:t>
      </w:r>
      <w:r>
        <w:rPr>
          <w:rStyle w:val="None"/>
          <w:rtl w:val="0"/>
          <w:lang w:val="en-US"/>
        </w:rPr>
        <w:t>needed to remove vessels, equipment, trusses, or other items that require use of a crane or other lifting device which may cause hazards to personnel or structures. A specific hazard analysis for each location/type of lift will be provided. Areas adjacent to the areas of demolition may be occupied. Work is to be conducted in such a manner as to minimize migration of dust and odors from the work area and into adjacent occupied spaces which can cause disruption of normal operations. All Phase will provide protection to ensure safety of passage of people around the demolition area and from occupied portions of adjacent buildings and structures. The Site Safety Health Officer (SSHO) and the Quality Control Manager (QCM) will be present on-site at all time while field activities are occurring. The SSHO will comply with all applicable safety criteria and will use their discretion to determine which activities require the SSHO to be present, and where the SSHO will be for day-to-day operations. Our preliminary activity hazard analysis based on our general methods, procedures, and equipment is presented in the Table 7.</w:t>
      </w:r>
    </w:p>
    <w:tbl>
      <w:tblPr>
        <w:tblW w:w="92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pPr>
              <w:pStyle w:val="Heading 2"/>
            </w:pPr>
            <w:r>
              <w:rPr>
                <w:rStyle w:val="None"/>
                <w:rtl w:val="0"/>
                <w:lang w:val="en-US"/>
              </w:rPr>
              <w:t>Table 7. Preliminary Activity Hazard Analysis</w:t>
            </w:r>
          </w:p>
        </w:tc>
      </w:tr>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uppressAutoHyphens w:val="1"/>
        <w:spacing w:line="240" w:lineRule="auto"/>
        <w:ind w:left="108" w:hanging="108"/>
      </w:pPr>
    </w:p>
    <w:p>
      <w:pPr>
        <w:pStyle w:val="Body A"/>
      </w:pPr>
    </w:p>
    <w:p>
      <w:pPr>
        <w:pStyle w:val="Body C"/>
        <w:suppressAutoHyphens w:val="1"/>
      </w:pPr>
      <w:r>
        <w:rPr>
          <w:rStyle w:val="None"/>
          <w:b w:val="1"/>
          <w:bCs w:val="1"/>
          <w:i w:val="1"/>
          <w:iCs w:val="1"/>
          <w:rtl w:val="0"/>
          <w:lang w:val="en-US"/>
        </w:rPr>
        <w:t>General Site Safety Approach</w:t>
      </w:r>
      <w:r>
        <w:rPr>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0"/>
          <w:lang w:val="en-US"/>
        </w:rPr>
        <w:t xml:space="preserve">’ </w:t>
      </w:r>
      <w:r>
        <w:rPr>
          <w:rtl w:val="0"/>
          <w:lang w:val="en-US"/>
        </w:rPr>
        <w:t>medical records, refresher training, EPA Training certificates, fitness tests, and certificate of worker acknowledgements are up to date.</w:t>
      </w:r>
    </w:p>
    <w:p>
      <w:pPr>
        <w:pStyle w:val="Body C"/>
        <w:suppressAutoHyphens w:val="1"/>
      </w:pPr>
      <w:r>
        <w:rPr>
          <w:rStyle w:val="None"/>
          <w:b w:val="1"/>
          <w:bCs w:val="1"/>
          <w:i w:val="1"/>
          <w:iCs w:val="1"/>
          <w:rtl w:val="0"/>
          <w:lang w:val="en-US"/>
        </w:rPr>
        <w:t>Safety Training</w:t>
      </w:r>
      <w:r>
        <w:rPr>
          <w:rStyle w:val="None"/>
          <w:rtl w:val="0"/>
          <w:lang w:val="en-US"/>
        </w:rPr>
        <w:t>: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w:t>
      </w:r>
    </w:p>
    <w:p>
      <w:pPr>
        <w:pStyle w:val="Body C"/>
        <w:suppressAutoHyphens w:val="1"/>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suppressAutoHyphens w:val="1"/>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C"/>
        <w:suppressAutoHyphens w:val="1"/>
      </w:pPr>
      <w:r>
        <w:rPr>
          <w:rtl w:val="0"/>
          <w:lang w:val="en-US"/>
        </w:rPr>
        <w:t>The SSHO will conduct a formal monthly Safety and Health Survey, to include:</w:t>
      </w:r>
      <w:r>
        <w:rPr>
          <w:rtl w:val="0"/>
          <w:lang w:val="en-US"/>
        </w:rPr>
        <w:t xml:space="preserve"> </w:t>
      </w:r>
      <w:r>
        <w:rPr>
          <w:rtl w:val="0"/>
          <w:lang w:val="en-US"/>
        </w:rPr>
        <w:t>Inspecting, locating, and correcting all unsafe conditions</w:t>
      </w:r>
      <w:r>
        <w:rPr>
          <w:rtl w:val="0"/>
          <w:lang w:val="en-US"/>
        </w:rPr>
        <w:t xml:space="preserve">; and, </w:t>
      </w:r>
      <w:r>
        <w:rPr>
          <w:rtl w:val="0"/>
          <w:lang w:val="en-US"/>
        </w:rPr>
        <w:t>Ensuring that all signs, traffic markings, equipment, machinery, are marked and painted to identify use and hazard. Colors and marking will conform to OSHA regulations.</w:t>
      </w:r>
    </w:p>
    <w:p>
      <w:pPr>
        <w:pStyle w:val="Body C"/>
        <w:suppressAutoHyphens w:val="1"/>
      </w:pPr>
      <w:r>
        <w:rPr>
          <w:rStyle w:val="None"/>
          <w:b w:val="1"/>
          <w:bCs w:val="1"/>
          <w:i w:val="1"/>
          <w:iCs w:val="1"/>
          <w:rtl w:val="0"/>
          <w:lang w:val="en-US"/>
        </w:rPr>
        <w:t>Monitoring</w:t>
      </w:r>
      <w:r>
        <w:rPr>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suppressAutoHyphens w:val="1"/>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1"/>
        <w:suppressAutoHyphens w:val="1"/>
      </w:pPr>
      <w:bookmarkStart w:name="_Toc22" w:id="23"/>
      <w:r>
        <w:rPr>
          <w:rtl w:val="0"/>
          <w:lang w:val="en-US"/>
        </w:rPr>
        <w:t>7. Site Restoration</w:t>
      </w:r>
      <w:bookmarkEnd w:id="23"/>
    </w:p>
    <w:p>
      <w:pPr>
        <w:pStyle w:val="Body C"/>
      </w:pPr>
      <w:r>
        <w:rPr>
          <w:rStyle w:val="None"/>
          <w:rtl w:val="0"/>
          <w:lang w:val="en-US"/>
        </w:rPr>
        <w:t xml:space="preserve">Following the removal of a facility, All Phase will clean and restore the area as indicated. Minimum specifications for backfill and site restoration can be found the Region MATOC Attachment 12 </w:t>
      </w:r>
      <w:r>
        <w:rPr>
          <w:rStyle w:val="None"/>
          <w:rtl w:val="0"/>
          <w:lang w:val="de-DE"/>
        </w:rPr>
        <w:t xml:space="preserve">– </w:t>
      </w:r>
      <w:r>
        <w:rPr>
          <w:rStyle w:val="None"/>
          <w:rtl w:val="0"/>
          <w:lang w:val="en-US"/>
        </w:rPr>
        <w:t>Specification Guide 02221 - Ex-Back-Site. Compaction will meet the specifications for backfill of soils. All Phase will blend and grade the backfill soils into the surrounding grade to ensure that there is no ponding and to provide positive drainage. All Phase will is responsible for management of all permitted controls until the permits are closed out and the site is accepted by the landholder. Any damage caused by All Phase will such as, but not limited to, roadways, parking areas, mechanical equipment, etc.</w:t>
      </w:r>
      <w:r>
        <w:rPr>
          <w:rStyle w:val="None"/>
          <w:rtl w:val="0"/>
          <w:lang w:val="en-US"/>
        </w:rPr>
        <w:t xml:space="preserve">, </w:t>
      </w:r>
      <w:r>
        <w:rPr>
          <w:rStyle w:val="None"/>
          <w:rtl w:val="0"/>
          <w:lang w:val="en-US"/>
        </w:rPr>
        <w:t>will be All Phase will</w:t>
      </w:r>
      <w:r>
        <w:rPr>
          <w:rStyle w:val="None"/>
          <w:rFonts w:ascii="Arial Unicode MS" w:hAnsi="Arial Unicode MS" w:hint="default"/>
          <w:rtl w:val="0"/>
          <w:lang w:val="de-DE"/>
        </w:rPr>
        <w:t>’</w:t>
      </w:r>
      <w:r>
        <w:rPr>
          <w:rStyle w:val="None"/>
          <w:rtl w:val="0"/>
          <w:lang w:val="en-US"/>
        </w:rPr>
        <w:t xml:space="preserve">s responsibility to repair back to original condition at no cost to the government. Final Site Restoration for these structures will be Grass. It may be possible that Site Restoration requirements may be modified due to future USACE Construction. However, the SWPPP must still be obtained, and subsequently closed for this project, thus some Site Restoration may be required to close the SWPPP. </w:t>
      </w:r>
      <w:r>
        <w:br w:type="textWrapping"/>
      </w:r>
      <w:commentRangeStart w:id="24"/>
    </w:p>
    <w:p>
      <w:pPr>
        <w:pStyle w:val="Body C"/>
        <w:suppressAutoHyphens w:val="1"/>
      </w:pPr>
      <w:r>
        <w:rPr>
          <w:rtl w:val="0"/>
          <w:lang w:val="en-US"/>
        </w:rPr>
        <w:t>Site restoration for the base bid is scheduled to take place in _____. We estimate that ___ CY of backfill will be needed to restore the finished surface as specified in the PWS. We will coordinate with the government to access fill material needed for this project. Fill and topsoil will be imported from a local vendor. Clean 2</w:t>
      </w:r>
      <w:r>
        <w:rPr>
          <w:rtl w:val="0"/>
          <w:lang w:val="en-US"/>
        </w:rPr>
        <w:t xml:space="preserve">” </w:t>
      </w:r>
      <w:r>
        <w:rPr>
          <w:rtl w:val="0"/>
          <w:lang w:val="en-US"/>
        </w:rPr>
        <w:t>minus concrete will be acceptable as fill.</w:t>
        <w:br w:type="textWrapping"/>
      </w:r>
      <w:commentRangeEnd w:id="24"/>
      <w:r>
        <w:commentReference w:id="24"/>
      </w:r>
    </w:p>
    <w:p>
      <w:pPr>
        <w:pStyle w:val="Body C"/>
        <w:suppressAutoHyphens w:val="1"/>
      </w:pPr>
      <w:r>
        <w:rPr>
          <w:rtl w:val="0"/>
          <w:lang w:val="en-US"/>
        </w:rPr>
        <w:t>Soils will be blended and graded to match the surrounding area with positive drainage and no ponding of water. Soil erosion blankets will be used on steep grades to meet government requirements at all times.</w:t>
      </w:r>
    </w:p>
    <w:p>
      <w:pPr>
        <w:pStyle w:val="Heading 1"/>
        <w:suppressAutoHyphens w:val="1"/>
      </w:pPr>
      <w:bookmarkStart w:name="_Toc23" w:id="25"/>
      <w:r>
        <w:rPr>
          <w:rtl w:val="0"/>
          <w:lang w:val="en-US"/>
        </w:rPr>
        <w:t>8. Key Personnel</w:t>
      </w:r>
      <w:bookmarkEnd w:id="25"/>
    </w:p>
    <w:p>
      <w:pPr>
        <w:pStyle w:val="Body C"/>
        <w:suppressAutoHyphens w:val="1"/>
      </w:pPr>
      <w:r>
        <w:rPr>
          <w:rStyle w:val="None"/>
          <w:rtl w:val="0"/>
          <w:lang w:val="en-US"/>
        </w:rPr>
        <w:t xml:space="preserve">Having scoped this project based on our extensive experience with similar efforts, All Phase is assigning the following Key Personnel, shown in Table 8. ________ will serve as Program Manager and single point-of-contact and liaison between the Government's CO and our company. _____ will be the Project Manager. Our proposed Superintendent will be ______. The SSHO will be ___ who will </w:t>
      </w:r>
      <w:r>
        <w:rPr>
          <w:rStyle w:val="None"/>
          <w:rFonts w:ascii="Arial Unicode MS" w:hAnsi="Arial Unicode MS" w:hint="default"/>
          <w:rtl w:val="1"/>
          <w:lang w:val="ar-SA" w:bidi="ar-SA"/>
        </w:rPr>
        <w:t>“</w:t>
      </w:r>
      <w:r>
        <w:rPr>
          <w:rStyle w:val="None"/>
          <w:rtl w:val="0"/>
          <w:lang w:val="en-US"/>
        </w:rPr>
        <w:t>dual-hat</w:t>
      </w:r>
      <w:r>
        <w:rPr>
          <w:rStyle w:val="None"/>
          <w:rtl w:val="0"/>
          <w:lang w:val="en-US"/>
        </w:rPr>
        <w:t xml:space="preserve">” </w:t>
      </w:r>
      <w:r>
        <w:rPr>
          <w:rStyle w:val="None"/>
          <w:rtl w:val="0"/>
          <w:lang w:val="en-US"/>
        </w:rPr>
        <w:t>as CQC Manager.</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099"/>
        <w:gridCol w:w="4027"/>
        <w:gridCol w:w="2234"/>
      </w:tblGrid>
      <w:tr>
        <w:tblPrEx>
          <w:shd w:val="clear" w:color="auto" w:fill="00a2ff"/>
        </w:tblPrEx>
        <w:trPr>
          <w:trHeight w:val="310" w:hRule="atLeast"/>
          <w:tblHeader/>
        </w:trPr>
        <w:tc>
          <w:tcPr>
            <w:tcW w:type="dxa" w:w="9360"/>
            <w:gridSpan w:val="3"/>
            <w:tcBorders>
              <w:top w:val="nil"/>
              <w:left w:val="nil"/>
              <w:bottom w:val="single" w:color="aaaaaa" w:sz="8" w:space="0" w:shadow="0" w:frame="0"/>
              <w:right w:val="nil"/>
            </w:tcBorders>
            <w:shd w:val="clear" w:color="auto" w:fill="auto"/>
            <w:tcMar>
              <w:top w:type="dxa" w:w="80"/>
              <w:left w:type="dxa" w:w="80"/>
              <w:bottom w:type="dxa" w:w="80"/>
              <w:right w:type="dxa" w:w="80"/>
            </w:tcMar>
            <w:vAlign w:val="center"/>
          </w:tcPr>
          <w:p>
            <w:pPr>
              <w:pStyle w:val="Heading 2"/>
            </w:pPr>
            <w:r>
              <w:rPr>
                <w:rStyle w:val="None"/>
                <w:rtl w:val="0"/>
                <w:lang w:val="en-US"/>
              </w:rPr>
              <w:t>Table 8. Key Personnel to be Assigned</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Project Manager (PM)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[insert]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jc w:val="center"/>
            </w:pPr>
            <w:r>
              <w:rPr>
                <w:rStyle w:val="None"/>
                <w:rFonts w:ascii="Times New Roman" w:hAnsi="Times New Roman"/>
                <w:sz w:val="20"/>
                <w:szCs w:val="20"/>
                <w:rtl w:val="0"/>
                <w:lang w:val="en-US"/>
              </w:rPr>
              <w:t>As Required</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Program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[insert]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jc w:val="center"/>
            </w:pPr>
            <w:r>
              <w:rPr>
                <w:rStyle w:val="None"/>
                <w:rFonts w:ascii="Times New Roman" w:hAnsi="Times New Roman"/>
                <w:sz w:val="20"/>
                <w:szCs w:val="20"/>
                <w:rtl w:val="0"/>
                <w:lang w:val="en-US"/>
              </w:rPr>
              <w:t>..</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Site Superintendent (SS)</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[insert]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jc w:val="center"/>
            </w:pPr>
            <w:r>
              <w:rPr>
                <w:rStyle w:val="None"/>
                <w:rFonts w:ascii="Times New Roman" w:hAnsi="Times New Roman"/>
                <w:sz w:val="20"/>
                <w:szCs w:val="20"/>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Quality Control Manager (QCM)</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[insert]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jc w:val="center"/>
            </w:pPr>
            <w:r>
              <w:rPr>
                <w:rStyle w:val="None"/>
                <w:rFonts w:ascii="Times New Roman" w:hAnsi="Times New Roman"/>
                <w:sz w:val="20"/>
                <w:szCs w:val="20"/>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Safety Officer (SSHO)</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 xml:space="preserve">[insert] </w:t>
            </w:r>
            <w:r>
              <w:rPr>
                <w:rStyle w:val="None"/>
                <w:rFonts w:ascii="Times New Roman" w:hAnsi="Times New Roman"/>
                <w:sz w:val="20"/>
                <w:szCs w:val="20"/>
                <w:rtl w:val="0"/>
                <w:lang w:val="en-US"/>
              </w:rPr>
              <w:t>(dual hat)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jc w:val="center"/>
            </w:pPr>
            <w:r>
              <w:rPr>
                <w:rStyle w:val="None"/>
                <w:rFonts w:ascii="Times New Roman" w:hAnsi="Times New Roman"/>
                <w:sz w:val="20"/>
                <w:szCs w:val="20"/>
                <w:rtl w:val="0"/>
                <w:lang w:val="en-US"/>
              </w:rPr>
              <w:t>On-site</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Waster Manager</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[insert]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w:t>
            </w:r>
          </w:p>
        </w:tc>
      </w:tr>
      <w:tr>
        <w:tblPrEx>
          <w:shd w:val="clear" w:color="auto" w:fill="cadfff"/>
        </w:tblPrEx>
        <w:trPr>
          <w:trHeight w:val="232" w:hRule="atLeast"/>
        </w:trPr>
        <w:tc>
          <w:tcPr>
            <w:tcW w:type="dxa" w:w="3099"/>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Clerk</w:t>
            </w:r>
          </w:p>
        </w:tc>
        <w:tc>
          <w:tcPr>
            <w:tcW w:type="dxa" w:w="4027"/>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Times New Roman" w:hAnsi="Times New Roman"/>
                <w:sz w:val="20"/>
                <w:szCs w:val="20"/>
                <w:rtl w:val="0"/>
                <w:lang w:val="en-US"/>
              </w:rPr>
              <w:t>[insert]</w:t>
            </w:r>
          </w:p>
        </w:tc>
        <w:tc>
          <w:tcPr>
            <w:tcW w:type="dxa" w:w="2234"/>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80"/>
              <w:left w:type="dxa" w:w="80"/>
              <w:bottom w:type="dxa" w:w="80"/>
              <w:right w:type="dxa" w:w="80"/>
            </w:tcMar>
            <w:vAlign w:val="bottom"/>
          </w:tcPr>
          <w:p>
            <w:pPr>
              <w:pStyle w:val="Default"/>
              <w:spacing w:before="0" w:line="240" w:lineRule="auto"/>
              <w:jc w:val="center"/>
            </w:pPr>
            <w:r>
              <w:rPr>
                <w:rStyle w:val="None"/>
                <w:rFonts w:ascii="Times New Roman" w:hAnsi="Times New Roman"/>
                <w:sz w:val="20"/>
                <w:szCs w:val="20"/>
                <w:rtl w:val="0"/>
                <w:lang w:val="en-US"/>
              </w:rPr>
              <w:t>..</w:t>
            </w:r>
          </w:p>
        </w:tc>
      </w:tr>
    </w:tbl>
    <w:p>
      <w:pPr>
        <w:pStyle w:val="Body C"/>
        <w:suppressAutoHyphens w:val="1"/>
      </w:pPr>
    </w:p>
    <w:p>
      <w:pPr>
        <w:pStyle w:val="Body C"/>
        <w:suppressAutoHyphens w:val="1"/>
      </w:pPr>
      <w:r>
        <w:rPr>
          <w:rtl w:val="0"/>
          <w:lang w:val="en-US"/>
        </w:rPr>
        <w:t xml:space="preserve">The </w:t>
      </w:r>
      <w:r>
        <w:rPr>
          <w:rtl w:val="0"/>
          <w:lang w:val="en-US"/>
        </w:rPr>
        <w:t xml:space="preserve">All Phase PM will be available on a daily (pre-scheduled) basis to meet with USACE and Installation representatives. </w:t>
      </w:r>
      <w:r>
        <w:rPr>
          <w:rtl w:val="0"/>
          <w:lang w:val="en-US"/>
        </w:rPr>
        <w:t>Our</w:t>
      </w:r>
      <w:r>
        <w:rPr>
          <w:rtl w:val="0"/>
          <w:lang w:val="en-US"/>
        </w:rPr>
        <w:t xml:space="preserve"> Site Superintendent will be available to attend the weekly (pre-scheduled) progress meeting with USACE and installation representatives.</w:t>
      </w:r>
      <w:r>
        <w:rPr>
          <w:rtl w:val="0"/>
          <w:lang w:val="en-US"/>
        </w:rPr>
        <w:t xml:space="preserve"> Our </w:t>
      </w:r>
      <w:r>
        <w:rPr>
          <w:rtl w:val="0"/>
          <w:lang w:val="en-US"/>
        </w:rPr>
        <w:t xml:space="preserve">Site Safety and Health Officer will be available to attend the weekly (pre-scheduled) progress meeting with USACE and installation representatives. We will provide additional essential and readily available personnel: Storm Water Pollution Prevention Professional (Qualified Stormwater Designer, or equivalent depending on state or local requirement); Certified Industrial Hygienist (CIH); and, a Waste Manager. </w:t>
      </w:r>
    </w:p>
    <w:p>
      <w:pPr>
        <w:pStyle w:val="Body C"/>
        <w:suppressAutoHyphens w:val="1"/>
      </w:pPr>
      <w:r>
        <w:rPr>
          <w:rtl w:val="0"/>
          <w:lang w:val="en-US"/>
        </w:rPr>
        <w:t>All Phase will comply with all Installation entrance and security requirements. All Phase will be responsible for assuring that all employees meet the access requirements of the Installation prior to the execution of work action on the Installation. All Phase will adhere to the installation operations security (OPSEC) requirements in accordance with Antiterrorism/Operations Security Review PAT/OPSEC Requirements.</w:t>
      </w:r>
    </w:p>
    <w:p>
      <w:pPr>
        <w:pStyle w:val="Body C"/>
        <w:suppressAutoHyphens w:val="1"/>
      </w:pPr>
    </w:p>
    <w:p>
      <w:pPr>
        <w:pStyle w:val="Body C"/>
        <w:suppressAutoHyphens w:val="1"/>
      </w:pPr>
    </w:p>
    <w:p>
      <w:pPr>
        <w:pStyle w:val="Heading 1"/>
        <w:pageBreakBefore w:val="1"/>
        <w:suppressAutoHyphens w:val="1"/>
      </w:pPr>
      <w:bookmarkStart w:name="_Toc24" w:id="26"/>
      <w:r>
        <w:rPr>
          <w:rtl w:val="0"/>
          <w:lang w:val="en-US"/>
        </w:rPr>
        <w:t xml:space="preserve">Appendix - Preliminary Project Schedule </w:t>
      </w:r>
      <w:r>
        <w:rPr>
          <w:rtl w:val="0"/>
          <w:lang w:val="en-US"/>
        </w:rPr>
        <w:t xml:space="preserve">– </w:t>
      </w:r>
      <w:r>
        <w:rPr>
          <w:rtl w:val="0"/>
          <w:lang w:val="en-US"/>
        </w:rPr>
        <w:t xml:space="preserve">Base Bid </w:t>
      </w:r>
      <w:bookmarkEnd w:id="26"/>
    </w:p>
    <w:p>
      <w:pPr>
        <w:pStyle w:val="Body C"/>
        <w:suppressAutoHyphens w:val="1"/>
      </w:pPr>
      <w:r>
        <w:drawing>
          <wp:anchor distT="152400" distB="152400" distL="152400" distR="152400" simplePos="0" relativeHeight="251660288" behindDoc="0" locked="0" layoutInCell="1" allowOverlap="1">
            <wp:simplePos x="0" y="0"/>
            <wp:positionH relativeFrom="page">
              <wp:posOffset>1948179</wp:posOffset>
            </wp:positionH>
            <wp:positionV relativeFrom="line">
              <wp:posOffset>323202</wp:posOffset>
            </wp:positionV>
            <wp:extent cx="3863341" cy="5943600"/>
            <wp:effectExtent l="0" t="0" r="0" b="0"/>
            <wp:wrapThrough wrapText="bothSides" distL="152400" distR="152400">
              <wp:wrapPolygon edited="1">
                <wp:start x="0" y="0"/>
                <wp:lineTo x="21600" y="0"/>
                <wp:lineTo x="21600" y="21600"/>
                <wp:lineTo x="0" y="21600"/>
                <wp:lineTo x="0" y="0"/>
              </wp:wrapPolygon>
            </wp:wrapThrough>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extLst/>
                    </a:blip>
                    <a:stretch>
                      <a:fillRect/>
                    </a:stretch>
                  </pic:blipFill>
                  <pic:spPr>
                    <a:xfrm>
                      <a:off x="0" y="0"/>
                      <a:ext cx="3863341" cy="5943600"/>
                    </a:xfrm>
                    <a:prstGeom prst="rect">
                      <a:avLst/>
                    </a:prstGeom>
                    <a:ln w="12700" cap="flat">
                      <a:noFill/>
                      <a:miter lim="400000"/>
                    </a:ln>
                    <a:effectLst/>
                  </pic:spPr>
                </pic:pic>
              </a:graphicData>
            </a:graphic>
          </wp:anchor>
        </w:drawing>
      </w:r>
    </w:p>
    <w:p>
      <w:pPr>
        <w:pStyle w:val="Body C"/>
        <w:suppressAutoHyphens w:val="1"/>
      </w:pPr>
    </w:p>
    <w:p>
      <w:pPr>
        <w:pStyle w:val="Body A"/>
      </w:pPr>
    </w:p>
    <w:p>
      <w:pPr>
        <w:pStyle w:val="Body A"/>
      </w:pPr>
    </w:p>
    <w:p>
      <w:pPr>
        <w:pStyle w:val="Body A"/>
      </w:pPr>
      <w:r/>
    </w:p>
    <w:sectPr>
      <w:headerReference w:type="default" r:id="rId9"/>
      <w:footerReference w:type="default" r:id="rId10"/>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3" w:author="Tom Termini" w:date="2022-08-26T22:12:56Z">
    <w:p w14:paraId="1111FFFF">
      <w:pPr>
        <w:pStyle w:val="Default"/>
      </w:pPr>
    </w:p>
    <w:p w14:paraId="11120000">
      <w:pPr>
        <w:pStyle w:val="Default"/>
      </w:pPr>
      <w:r>
        <w:rPr>
          <w:rtl w:val="0"/>
        </w:rPr>
        <w:t>NEED VENDOR INFORMATION</w:t>
      </w:r>
    </w:p>
  </w:comment>
  <w:comment w:id="24" w:author="Tom Termini" w:date="2022-08-27T17:39:03Z">
    <w:p w14:paraId="11120001">
      <w:pPr>
        <w:pStyle w:val="Default"/>
      </w:pPr>
    </w:p>
    <w:p w14:paraId="11120002">
      <w:pPr>
        <w:pStyle w:val="Default"/>
      </w:pPr>
      <w:r>
        <w:rPr>
          <w:rtl w:val="0"/>
        </w:rPr>
        <w:t>data needed</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23</w:t>
    </w:r>
    <w:r>
      <w:rPr/>
      <w:fldChar w:fldCharType="end" w:fldLock="0"/>
    </w:r>
    <w:r>
      <w:rPr>
        <w:rtl w:val="0"/>
        <w:lang w:val="en-US"/>
      </w:rPr>
      <w:t xml:space="preserve"> of </w:t>
    </w:r>
    <w:r>
      <w:rPr/>
      <w:fldChar w:fldCharType="begin" w:fldLock="0"/>
    </w:r>
    <w:r>
      <w:instrText xml:space="preserve"> NUMPAGES </w:instrText>
    </w:r>
    <w:r>
      <w:rPr/>
      <w:fldChar w:fldCharType="separate" w:fldLock="0"/>
    </w:r>
    <w:r>
      <w:t>23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003887</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003887</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48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Requirements">
    <w:name w:val="Body Requirements"/>
    <w:next w:val="Body Requirements"/>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bf4c85"/>
      <w:spacing w:val="0"/>
      <w:kern w:val="0"/>
      <w:position w:val="0"/>
      <w:sz w:val="20"/>
      <w:szCs w:val="20"/>
      <w:u w:val="none" w:color="000000"/>
      <w:vertAlign w:val="baseline"/>
      <w:lang w:val="de-DE"/>
    </w:rPr>
  </w:style>
  <w:style w:type="numbering" w:styleId="Bullets">
    <w:name w:val="Bullets"/>
    <w:pPr>
      <w:numPr>
        <w:numId w:val="1"/>
      </w:numPr>
    </w:pPr>
  </w:style>
  <w:style w:type="numbering" w:styleId="Bullets.0">
    <w:name w:val="Bullets.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