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003887 - Southeastern Region MATOC, </w:t>
      </w:r>
      <w:r>
        <w:rPr>
          <w:b w:val="1"/>
          <w:bCs w:val="1"/>
          <w:sz w:val="28"/>
          <w:szCs w:val="28"/>
        </w:rPr>
        <w:br w:type="textWrapping"/>
      </w:r>
      <w:r>
        <w:rPr>
          <w:b w:val="1"/>
          <w:bCs w:val="1"/>
          <w:sz w:val="28"/>
          <w:szCs w:val="28"/>
          <w:rtl w:val="0"/>
          <w:lang w:val="en-US"/>
        </w:rPr>
        <w:t xml:space="preserve">for </w:t>
      </w:r>
      <w:r>
        <w:rPr>
          <w:b w:val="1"/>
          <w:bCs w:val="1"/>
          <w:sz w:val="28"/>
          <w:szCs w:val="28"/>
          <w:rtl w:val="0"/>
          <w:lang w:val="en-US"/>
        </w:rPr>
        <w:t>A</w:t>
      </w:r>
      <w:r>
        <w:rPr>
          <w:b w:val="1"/>
          <w:bCs w:val="1"/>
          <w:sz w:val="28"/>
          <w:szCs w:val="28"/>
          <w:rtl w:val="0"/>
          <w:lang w:val="en-US"/>
        </w:rPr>
        <w:t xml:space="preserve">batement and </w:t>
      </w:r>
      <w:r>
        <w:rPr>
          <w:b w:val="1"/>
          <w:bCs w:val="1"/>
          <w:sz w:val="28"/>
          <w:szCs w:val="28"/>
          <w:rtl w:val="0"/>
          <w:lang w:val="en-US"/>
        </w:rPr>
        <w:t>D</w:t>
      </w:r>
      <w:r>
        <w:rPr>
          <w:b w:val="1"/>
          <w:bCs w:val="1"/>
          <w:sz w:val="28"/>
          <w:szCs w:val="28"/>
          <w:rtl w:val="0"/>
          <w:lang w:val="en-US"/>
        </w:rPr>
        <w:t xml:space="preserve">emolition </w:t>
      </w:r>
      <w:r>
        <w:rPr>
          <w:b w:val="1"/>
          <w:bCs w:val="1"/>
          <w:sz w:val="28"/>
          <w:szCs w:val="28"/>
          <w:rtl w:val="0"/>
          <w:lang w:val="en-US"/>
        </w:rPr>
        <w:t>S</w:t>
      </w:r>
      <w:r>
        <w:rPr>
          <w:b w:val="1"/>
          <w:bCs w:val="1"/>
          <w:sz w:val="28"/>
          <w:szCs w:val="28"/>
          <w:rtl w:val="0"/>
          <w:lang w:val="en-US"/>
        </w:rPr>
        <w:t xml:space="preserve">ervices at </w:t>
      </w:r>
      <w:r>
        <w:rPr>
          <w:b w:val="1"/>
          <w:bCs w:val="1"/>
          <w:sz w:val="28"/>
          <w:szCs w:val="28"/>
        </w:rPr>
        <w:br w:type="textWrapping"/>
      </w:r>
      <w:r>
        <w:rPr>
          <w:b w:val="1"/>
          <w:bCs w:val="1"/>
          <w:sz w:val="28"/>
          <w:szCs w:val="28"/>
          <w:rtl w:val="0"/>
          <w:lang w:val="en-US"/>
        </w:rPr>
        <w:t xml:space="preserve">Rio Puerto Nuevo, San Juan </w:t>
      </w:r>
      <w:r>
        <w:rPr>
          <w:b w:val="1"/>
          <w:bCs w:val="1"/>
          <w:sz w:val="28"/>
          <w:szCs w:val="28"/>
        </w:rPr>
        <w:br w:type="textWrapping"/>
      </w:r>
      <w:r>
        <w:rPr>
          <w:b w:val="1"/>
          <w:bCs w:val="1"/>
          <w:sz w:val="28"/>
          <w:szCs w:val="28"/>
          <w:rtl w:val="0"/>
          <w:lang w:val="en-US"/>
        </w:rPr>
        <w:t>Puerto Rico Housing Demolition</w:t>
      </w:r>
    </w:p>
    <w:p>
      <w:pPr>
        <w:pStyle w:val="Body A"/>
        <w:jc w:val="center"/>
      </w:pPr>
      <w:r>
        <w:rPr>
          <w:rtl w:val="0"/>
          <w:lang w:val="en-US"/>
        </w:rPr>
        <w:t>Submitted on: 30-August-2022 12:00 CST</w:t>
      </w:r>
    </w:p>
    <w:p>
      <w:pPr>
        <w:pStyle w:val="Body A"/>
        <w:jc w:val="center"/>
      </w:pPr>
      <w:r>
        <w:rPr>
          <w:rtl w:val="0"/>
          <w:lang w:val="en-US"/>
        </w:rPr>
        <w:t xml:space="preserve">Submitted to: US Army Corps of Engineers, </w:t>
      </w:r>
      <w:r>
        <w:br w:type="textWrapping"/>
      </w:r>
      <w:r>
        <w:rPr>
          <w:rtl w:val="0"/>
          <w:lang w:val="en-US"/>
        </w:rPr>
        <w:t xml:space="preserve">Engineering </w:t>
      </w:r>
      <w:r>
        <w:drawing>
          <wp:anchor distT="0" distB="0" distL="0" distR="0" simplePos="0" relativeHeight="251660288" behindDoc="0" locked="0" layoutInCell="1" allowOverlap="1">
            <wp:simplePos x="0" y="0"/>
            <wp:positionH relativeFrom="page">
              <wp:posOffset>2728912</wp:posOffset>
            </wp:positionH>
            <wp:positionV relativeFrom="page">
              <wp:posOffset>5131514</wp:posOffset>
            </wp:positionV>
            <wp:extent cx="2314575" cy="1228725"/>
            <wp:effectExtent l="0" t="0" r="0" b="0"/>
            <wp:wrapTopAndBottom distT="0" distB="0"/>
            <wp:docPr id="1073741827"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7" name="New logo - APS" descr="New logo - APS"/>
                    <pic:cNvPicPr>
                      <a:picLocks noChangeAspect="1"/>
                    </pic:cNvPicPr>
                  </pic:nvPicPr>
                  <pic:blipFill>
                    <a:blip r:embed="rId4">
                      <a:extLst/>
                    </a:blip>
                    <a:stretch>
                      <a:fillRect/>
                    </a:stretch>
                  </pic:blipFill>
                  <pic:spPr>
                    <a:xfrm>
                      <a:off x="0" y="0"/>
                      <a:ext cx="2314575" cy="1228725"/>
                    </a:xfrm>
                    <a:prstGeom prst="rect">
                      <a:avLst/>
                    </a:prstGeom>
                    <a:ln w="12700" cap="flat">
                      <a:noFill/>
                      <a:miter lim="400000"/>
                    </a:ln>
                    <a:effectLst/>
                  </pic:spPr>
                </pic:pic>
              </a:graphicData>
            </a:graphic>
          </wp:anchor>
        </w:drawing>
      </w:r>
      <w:r>
        <w:drawing>
          <wp:anchor distT="0" distB="0" distL="0" distR="0" simplePos="0" relativeHeight="251661312" behindDoc="0" locked="0" layoutInCell="1" allowOverlap="1">
            <wp:simplePos x="0" y="0"/>
            <wp:positionH relativeFrom="page">
              <wp:posOffset>3162180</wp:posOffset>
            </wp:positionH>
            <wp:positionV relativeFrom="page">
              <wp:posOffset>3152020</wp:posOffset>
            </wp:positionV>
            <wp:extent cx="1458199" cy="1458199"/>
            <wp:effectExtent l="0" t="0" r="0" b="0"/>
            <wp:wrapTopAndBottom distT="0" dist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5">
                      <a:extLst/>
                    </a:blip>
                    <a:stretch>
                      <a:fillRect/>
                    </a:stretch>
                  </pic:blipFill>
                  <pic:spPr>
                    <a:xfrm>
                      <a:off x="0" y="0"/>
                      <a:ext cx="1458199" cy="1458199"/>
                    </a:xfrm>
                    <a:prstGeom prst="rect">
                      <a:avLst/>
                    </a:prstGeom>
                    <a:ln w="12700" cap="flat">
                      <a:noFill/>
                      <a:miter lim="400000"/>
                    </a:ln>
                    <a:effectLst/>
                  </pic:spPr>
                </pic:pic>
              </a:graphicData>
            </a:graphic>
          </wp:anchor>
        </w:drawing>
      </w:r>
      <w:r>
        <w:rPr>
          <w:rtl w:val="0"/>
          <w:lang w:val="en-US"/>
        </w:rPr>
        <w:t xml:space="preserve">and Support Center, </w:t>
      </w:r>
      <w:r>
        <w:br w:type="textWrapping"/>
      </w:r>
      <w:r>
        <w:rPr>
          <w:rtl w:val="0"/>
          <w:lang w:val="en-US"/>
        </w:rPr>
        <w:t xml:space="preserve">Huntsville (CEHNC) </w:t>
      </w:r>
      <w:r>
        <w:br w:type="textWrapping"/>
      </w:r>
    </w:p>
    <w:p>
      <w:pPr>
        <w:pStyle w:val="Body A"/>
        <w:jc w:val="center"/>
      </w:pPr>
      <w:r>
        <w:rPr>
          <w:rtl w:val="0"/>
          <w:lang w:val="en-US"/>
        </w:rPr>
        <w:t>Submitted by:</w:t>
      </w:r>
    </w:p>
    <w:p>
      <w:pPr>
        <w:pStyle w:val="Body A"/>
        <w:spacing w:line="240" w:lineRule="auto"/>
        <w:jc w:val="center"/>
      </w:pP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w:t>
      </w:r>
      <w:r>
        <w:rPr>
          <w:b w:val="1"/>
          <w:bCs w:val="1"/>
        </w:rPr>
        <w:br w:type="textWrapping"/>
      </w:r>
      <w:r>
        <w:rPr>
          <w:b w:val="1"/>
          <w:bCs w:val="1"/>
          <w:rtl w:val="0"/>
          <w:lang w:val="en-US"/>
        </w:rPr>
        <w:t>34 SW 5th Avenue | Delray Beach FL 33444 US</w:t>
      </w:r>
      <w:r>
        <w:rPr>
          <w:b w:val="1"/>
          <w:bCs w:val="1"/>
        </w:rPr>
        <w:br w:type="textWrapping"/>
      </w:r>
      <w:r>
        <w:rPr>
          <w:b w:val="1"/>
          <w:bCs w:val="1"/>
          <w:rtl w:val="0"/>
          <w:lang w:val="en-US"/>
        </w:rPr>
        <w:t>Phone: 561-620-8222 or 561-756-6647 | Fax: 866-260-2024 | Web: www.allphaseenv.com</w:t>
      </w:r>
      <w:r>
        <w:rPr>
          <w:b w:val="1"/>
          <w:bCs w:val="1"/>
        </w:rPr>
        <mc:AlternateContent>
          <mc:Choice Requires="wps">
            <w:drawing>
              <wp:anchor distT="152400" distB="152400" distL="152400" distR="152400" simplePos="0" relativeHeight="251659264" behindDoc="0" locked="0" layoutInCell="1" allowOverlap="1">
                <wp:simplePos x="0" y="0"/>
                <wp:positionH relativeFrom="margin">
                  <wp:posOffset>0</wp:posOffset>
                </wp:positionH>
                <wp:positionV relativeFrom="line">
                  <wp:posOffset>328065</wp:posOffset>
                </wp:positionV>
                <wp:extent cx="5943600" cy="1410099"/>
                <wp:effectExtent l="0" t="0" r="0" b="0"/>
                <wp:wrapTopAndBottom distT="152400" distB="152400"/>
                <wp:docPr id="1073741826" name="officeArt object" descr="NOTICE…"/>
                <wp:cNvGraphicFramePr/>
                <a:graphic xmlns:a="http://schemas.openxmlformats.org/drawingml/2006/main">
                  <a:graphicData uri="http://schemas.microsoft.com/office/word/2010/wordprocessingShape">
                    <wps:wsp>
                      <wps:cNvSpPr txBox="1"/>
                      <wps:spPr>
                        <a:xfrm>
                          <a:off x="0" y="0"/>
                          <a:ext cx="5943600" cy="1410099"/>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0pt;margin-top:25.8pt;width:468.0pt;height:111.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u w:color="000000"/>
                        </w:rPr>
                      </w:pPr>
                      <w:r>
                        <w:rPr>
                          <w:rFonts w:ascii="Arial Narrow" w:hAnsi="Arial Narrow"/>
                          <w:caps w:val="1"/>
                          <w:sz w:val="16"/>
                          <w:szCs w:val="16"/>
                          <w:u w:color="000000"/>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u w:color="000000"/>
                          <w:rtl w:val="0"/>
                          <w:lang w:val="en-US"/>
                        </w:rPr>
                        <w:t>—</w:t>
                      </w:r>
                      <w:r>
                        <w:rPr>
                          <w:rFonts w:ascii="Arial Narrow" w:hAnsi="Arial Narrow"/>
                          <w:caps w:val="1"/>
                          <w:sz w:val="16"/>
                          <w:szCs w:val="16"/>
                          <w:u w:color="000000"/>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u w:color="000000"/>
                          <w:rtl w:val="0"/>
                          <w:lang w:val="en-US"/>
                        </w:rPr>
                        <w:t>Use or disclosure of data contained on this sheet is subject to the restriction on the title page of this documen</w:t>
                      </w:r>
                      <w:r>
                        <w:rPr>
                          <w:rFonts w:ascii="Arial Narrow" w:hAnsi="Arial Narrow"/>
                          <w:b w:val="1"/>
                          <w:bCs w:val="1"/>
                          <w:caps w:val="1"/>
                          <w:sz w:val="16"/>
                          <w:szCs w:val="16"/>
                          <w:u w:color="000000"/>
                          <w:rtl w:val="0"/>
                          <w:lang w:val="en-US"/>
                        </w:rPr>
                        <w:t>T.</w:t>
                      </w:r>
                    </w:p>
                  </w:txbxContent>
                </v:textbox>
                <w10:wrap type="topAndBottom" side="bothSides" anchorx="margin"/>
              </v:shape>
            </w:pict>
          </mc:Fallback>
        </mc:AlternateContent>
      </w:r>
    </w:p>
    <w:p>
      <w:pPr>
        <w:pStyle w:val="Body A"/>
        <w:pageBreakBefore w:val="1"/>
      </w:pPr>
      <w:r>
        <w:br w:type="textWrapping"/>
      </w:r>
      <w:r>
        <w:rPr>
          <w:rtl w:val="0"/>
          <w:lang w:val="en-US"/>
        </w:rPr>
        <w:t>To:</w:t>
      </w:r>
      <w:r>
        <w:br w:type="textWrapping"/>
      </w:r>
      <w:r>
        <w:rPr>
          <w:rtl w:val="0"/>
          <w:lang w:val="en-US"/>
        </w:rPr>
        <w:t xml:space="preserve">US Army Corps of Engineers, Engineering and Support Center, </w:t>
      </w:r>
      <w:r>
        <w:br w:type="textWrapping"/>
      </w:r>
      <w:r>
        <w:rPr>
          <w:rtl w:val="0"/>
          <w:lang w:val="en-US"/>
        </w:rPr>
        <w:t>Huntsville</w:t>
      </w:r>
    </w:p>
    <w:p>
      <w:pPr>
        <w:pStyle w:val="Body A"/>
      </w:pPr>
      <w:r>
        <w:rPr>
          <w:rtl w:val="0"/>
          <w:lang w:val="en-US"/>
        </w:rPr>
        <w:t>Dear Sir/Madam:</w:t>
      </w:r>
    </w:p>
    <w:p>
      <w:pPr>
        <w:pStyle w:val="Body A"/>
        <w:spacing w:line="240" w:lineRule="auto"/>
      </w:pPr>
      <w:r>
        <w:rPr>
          <w:rtl w:val="0"/>
          <w:lang w:val="en-US"/>
        </w:rPr>
        <w:t xml:space="preserve">All Phase Services, Inc. is pleased to submit this proposal in response to PANHES-22-P-0000 003887 - Southeastern Region MATOC, </w:t>
      </w:r>
      <w:r>
        <w:rPr>
          <w:rtl w:val="0"/>
          <w:lang w:val="en-US"/>
        </w:rPr>
        <w:t xml:space="preserve">for abatement and demolition </w:t>
      </w:r>
      <w:r>
        <w:rPr>
          <w:rtl w:val="0"/>
          <w:lang w:val="en-US"/>
        </w:rPr>
        <w:t xml:space="preserve">services </w:t>
      </w:r>
      <w:r>
        <w:rPr>
          <w:rtl w:val="0"/>
          <w:lang w:val="en-US"/>
        </w:rPr>
        <w:t>are located at</w:t>
      </w:r>
      <w:r>
        <w:rPr>
          <w:rtl w:val="0"/>
          <w:lang w:val="en-US"/>
        </w:rPr>
        <w:t xml:space="preserve"> small parcel properties acquired by Jacksonville District, along the southern shore of the Rio Piedras canal. The structures are located North and West of the Colegio San Gabriel, along 25th NE Street. Our proposal conforms to the instructions and requirements of the solicitation and addresses the Task Order PWS. </w:t>
      </w:r>
    </w:p>
    <w:p>
      <w:pPr>
        <w:pStyle w:val="Body A"/>
        <w:spacing w:line="240" w:lineRule="auto"/>
      </w:pPr>
      <w:r>
        <w:rPr>
          <w:rtl w:val="0"/>
          <w:lang w:val="en-US"/>
        </w:rPr>
        <w:t xml:space="preserve">We acknowledge receipt of associated maps and Site Survey Report, and Q&amp;As, as well as the RFP, including all amendments up to received </w:t>
      </w:r>
      <w:r>
        <w:rPr>
          <w:rtl w:val="0"/>
          <w:lang w:val="en-US"/>
        </w:rPr>
        <w:t>2-September-2022</w:t>
      </w:r>
      <w:r>
        <w:rPr>
          <w:rtl w:val="0"/>
          <w:lang w:val="en-US"/>
        </w:rPr>
        <w:t>. All Phase takes no exceptions to the terms, conditions, and provisions contained therein. Furthermore, we make no assumptions within this proposal that are intended to offset any risk onto the Government.</w:t>
      </w:r>
      <w:r>
        <w:rPr>
          <w:rtl w:val="0"/>
          <w:lang w:val="en-US"/>
        </w:rPr>
        <w:t xml:space="preserve"> We acknowledge the </w:t>
      </w:r>
      <w:r>
        <w:rPr>
          <w:rtl w:val="0"/>
          <w:lang w:val="en-US"/>
        </w:rPr>
        <w:t xml:space="preserve">requirements in the base contract, </w:t>
      </w:r>
      <w:r>
        <w:rPr>
          <w:rtl w:val="0"/>
          <w:lang w:val="en-US"/>
        </w:rPr>
        <w:t xml:space="preserve">that, </w:t>
      </w:r>
      <w:r>
        <w:rPr>
          <w:rtl w:val="0"/>
          <w:lang w:val="en-US"/>
        </w:rPr>
        <w:t>for each task order</w:t>
      </w:r>
      <w:r>
        <w:rPr>
          <w:rtl w:val="0"/>
          <w:lang w:val="en-US"/>
        </w:rPr>
        <w:t xml:space="preserve">, </w:t>
      </w:r>
      <w:r>
        <w:rPr>
          <w:rtl w:val="0"/>
          <w:lang w:val="en-US"/>
        </w:rPr>
        <w:t>Liquidated Damages</w:t>
      </w:r>
      <w:r>
        <w:rPr>
          <w:rtl w:val="0"/>
          <w:lang w:val="en-US"/>
        </w:rPr>
        <w:t xml:space="preserve"> </w:t>
      </w:r>
      <w:r>
        <w:rPr>
          <w:rtl w:val="0"/>
          <w:lang w:val="en-US"/>
        </w:rPr>
        <w:t>in the amount of $1</w:t>
      </w:r>
      <w:r>
        <w:rPr>
          <w:rtl w:val="0"/>
          <w:lang w:val="en-US"/>
        </w:rPr>
        <w:t>,</w:t>
      </w:r>
      <w:r>
        <w:rPr>
          <w:rtl w:val="0"/>
          <w:lang w:val="en-US"/>
        </w:rPr>
        <w:t>793.75</w:t>
      </w:r>
      <w:r>
        <w:rPr>
          <w:rtl w:val="0"/>
          <w:lang w:val="en-US"/>
        </w:rPr>
        <w:t xml:space="preserve"> </w:t>
      </w:r>
      <w:r>
        <w:rPr>
          <w:rtl w:val="0"/>
          <w:lang w:val="en-US"/>
        </w:rPr>
        <w:t>per calendar day may be assessed in accordance with FAR 52.211-11</w:t>
      </w:r>
      <w:r>
        <w:rPr>
          <w:rtl w:val="0"/>
          <w:lang w:val="en-US"/>
        </w:rPr>
        <w:t xml:space="preserve"> / </w:t>
      </w:r>
      <w:r>
        <w:rPr>
          <w:rtl w:val="0"/>
          <w:lang w:val="en-US"/>
        </w:rPr>
        <w:t xml:space="preserve">11.501(d). </w:t>
      </w:r>
    </w:p>
    <w:p>
      <w:pPr>
        <w:pStyle w:val="Body A"/>
        <w:spacing w:line="240" w:lineRule="auto"/>
      </w:pPr>
      <w:r>
        <w:rPr>
          <w:rtl w:val="0"/>
          <w:lang w:val="en-US"/>
        </w:rPr>
        <w:t xml:space="preserve">Our proposed contract value for the base bid is $___________; we show price breakouts for both demolition and abatement in our cost summary sheets. A cost summary sheet is also included for Options ($_________). We will meet the minimum ___% landfill diversion goal for this task order. </w:t>
      </w:r>
    </w:p>
    <w:p>
      <w:pPr>
        <w:pStyle w:val="Body A"/>
        <w:spacing w:line="240" w:lineRule="auto"/>
      </w:pPr>
      <w:r>
        <w:rPr>
          <w:rtl w:val="0"/>
          <w:lang w:val="en-US"/>
        </w:rPr>
        <w:t>Eric Newman, Pre-Construction Manager of All Phase Services, Inc. will be the point of contact for this proposal with full authority to negotiate and sign the contract resulting from this procurement on All Phase</w:t>
      </w:r>
      <w:r>
        <w:rPr>
          <w:rtl w:val="0"/>
          <w:lang w:val="en-US"/>
        </w:rPr>
        <w:t>’</w:t>
      </w:r>
      <w:r>
        <w:rPr>
          <w:rtl w:val="0"/>
          <w:lang w:val="en-US"/>
        </w:rPr>
        <w:t xml:space="preserve">s behalf, with contact information provided, below. Sal Rabah, President of All Phase, will be the </w:t>
      </w:r>
      <w:r>
        <w:rPr>
          <w:rtl w:val="0"/>
          <w:lang w:val="en-US"/>
        </w:rPr>
        <w:t>primary</w:t>
      </w:r>
      <w:r>
        <w:rPr>
          <w:rtl w:val="0"/>
          <w:lang w:val="en-US"/>
        </w:rPr>
        <w:t xml:space="preserve"> POC. </w:t>
      </w:r>
    </w:p>
    <w:p>
      <w:pPr>
        <w:pStyle w:val="Body A"/>
        <w:keepNext w:val="1"/>
      </w:pPr>
      <w:r>
        <w:rPr>
          <w:rtl w:val="0"/>
          <w:lang w:val="en-US"/>
        </w:rPr>
        <w:t>Respectfully,</w:t>
      </w:r>
    </w:p>
    <w:p>
      <w:pPr>
        <w:pStyle w:val="Body A"/>
      </w:pPr>
      <w:r>
        <w:rPr>
          <w:rtl w:val="0"/>
          <w:lang w:val="en-US"/>
        </w:rPr>
        <w:t>/S/</w:t>
      </w:r>
    </w:p>
    <w:p>
      <w:pPr>
        <w:pStyle w:val="Body A"/>
        <w:spacing w:line="240" w:lineRule="auto"/>
      </w:pPr>
      <w:r>
        <w:rPr>
          <w:rtl w:val="0"/>
          <w:lang w:val="en-US"/>
        </w:rPr>
        <w:t xml:space="preserve">Sal Rabah, President </w:t>
      </w:r>
      <w:r>
        <w:rPr>
          <w:rtl w:val="0"/>
          <w:lang w:val="en-US"/>
        </w:rPr>
        <w:t xml:space="preserve">– </w:t>
      </w:r>
      <w:r>
        <w:rPr>
          <w:rtl w:val="0"/>
          <w:lang w:val="en-US"/>
        </w:rPr>
        <w:t xml:space="preserve">Primary </w:t>
      </w:r>
      <w:r>
        <w:rPr>
          <w:rtl w:val="0"/>
          <w:lang w:val="en-US"/>
        </w:rPr>
        <w:t>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0"/>
        </w:rPr>
        <w:fldChar w:fldCharType="begin" w:fldLock="0"/>
      </w:r>
      <w:r>
        <w:rPr>
          <w:rStyle w:val="Hyperlink.0"/>
        </w:rPr>
        <w:instrText xml:space="preserve"> HYPERLINK "mailto:sal@allphase.org"</w:instrText>
      </w:r>
      <w:r>
        <w:rPr>
          <w:rStyle w:val="Hyperlink.0"/>
        </w:rPr>
        <w:fldChar w:fldCharType="separate" w:fldLock="0"/>
      </w:r>
      <w:r>
        <w:rPr>
          <w:rStyle w:val="Hyperlink.0"/>
          <w:rtl w:val="0"/>
          <w:lang w:val="en-US"/>
        </w:rPr>
        <w:t>sal@allphase.org</w:t>
      </w:r>
      <w:r>
        <w:rPr/>
        <w:fldChar w:fldCharType="end" w:fldLock="0"/>
      </w:r>
    </w:p>
    <w:p>
      <w:pPr>
        <w:pStyle w:val="Body A"/>
        <w:spacing w:line="240" w:lineRule="auto"/>
      </w:pPr>
      <w:r>
        <w:rPr>
          <w:rtl w:val="0"/>
          <w:lang w:val="en-US"/>
        </w:rPr>
        <w:t xml:space="preserve">Eric Newman, Pre-Construction Manager </w:t>
      </w:r>
      <w:r>
        <w:rPr>
          <w:rtl w:val="0"/>
          <w:lang w:val="en-US"/>
        </w:rPr>
        <w:t xml:space="preserve">– </w:t>
      </w:r>
      <w:r>
        <w:rPr>
          <w:rtl w:val="0"/>
          <w:lang w:val="en-US"/>
        </w:rPr>
        <w:t>Alternate</w:t>
      </w:r>
      <w:r>
        <w:rPr>
          <w:rtl w:val="0"/>
          <w:lang w:val="en-US"/>
        </w:rPr>
        <w:t xml:space="preserve"> POC</w:t>
      </w:r>
      <w:r>
        <w:br w:type="textWrapping"/>
      </w:r>
      <w:r>
        <w:rPr>
          <w:rtl w:val="0"/>
          <w:lang w:val="en-US"/>
        </w:rPr>
        <w:t>O: 561.272.0944 | C: 941.302.6562</w:t>
      </w:r>
      <w:r>
        <w:br w:type="textWrapping"/>
      </w:r>
      <w:r>
        <w:rPr>
          <w:rtl w:val="0"/>
          <w:lang w:val="en-US"/>
        </w:rPr>
        <w:t>Email: Eric.newman@allphase.org</w:t>
      </w:r>
    </w:p>
    <w:p>
      <w:pPr>
        <w:pStyle w:val="Body A"/>
      </w:pP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All Phase will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All Phase will also acknowledges that it has satisfied itself as to the character, quality, and quantity of surface and subsurface materials or obstacles to be encountered insofar as this information is reasonably ascertainable from an inspection of the site, including all exploratory work done by the Government, as well as from the drawings and specifications made a part of this contract. Any failure of All Phase will to take the actions described and acknowledged in this paragraph will not relieve All Phase will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All Phase will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1-2 </w:instrText>
      </w:r>
      <w:r>
        <w:rPr>
          <w:rStyle w:val="None"/>
          <w:b w:val="1"/>
          <w:bCs w:val="1"/>
        </w:rPr>
        <w:fldChar w:fldCharType="separate" w:fldLock="0"/>
      </w:r>
    </w:p>
    <w:p>
      <w:pPr>
        <w:pStyle w:val="TOC 1"/>
      </w:pPr>
      <w:r>
        <w:rPr>
          <w:rFonts w:cs="Arial Unicode MS" w:eastAsia="Arial Unicode MS"/>
          <w:rtl w:val="0"/>
          <w:lang w:val="en-US"/>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lang w:val="en-US"/>
        </w:rPr>
        <w:t>Table 1. Hazardous Material Abatement Projected Difficulty Per Location</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lang w:val="en-US"/>
        </w:rPr>
        <w:t>Table 2. Subcontractors, Consultants, Vendors, And Waste Handlers</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lang w:val="en-US"/>
        </w:rPr>
        <w:t>1. Project Planning</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lang w:val="en-US"/>
        </w:rPr>
        <w:t>2. Abatement Approach and Disposal</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lang w:val="en-US"/>
        </w:rPr>
        <w:t>Abatement and Disposal of Asbestos Containing Material</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lang w:val="en-US"/>
        </w:rPr>
        <w:t>3. Project Execution</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lang w:val="en-US"/>
        </w:rPr>
        <w:t>Reporting</w:t>
        <w:tab/>
      </w:r>
      <w:r>
        <w:rPr/>
        <w:fldChar w:fldCharType="begin" w:fldLock="0"/>
      </w:r>
      <w:r>
        <w:instrText xml:space="preserve"> PAGEREF _Toc7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lang w:val="en-US"/>
        </w:rPr>
        <w:t>Preliminary Schedule</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lang w:val="en-US"/>
        </w:rPr>
        <w:t>Change Orders</w:t>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lang w:val="en-US"/>
        </w:rPr>
        <w:t>4. Demolition Approach</w:t>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lang w:val="en-US"/>
        </w:rPr>
        <w:t>Table 3. Manpower and Major Equipment Needed</w:t>
        <w:tab/>
      </w:r>
      <w:r>
        <w:rPr/>
        <w:fldChar w:fldCharType="begin" w:fldLock="0"/>
      </w:r>
      <w:r>
        <w:instrText xml:space="preserve"> PAGEREF _Toc11 \h </w:instrText>
      </w:r>
      <w:r>
        <w:rPr/>
        <w:fldChar w:fldCharType="separate" w:fldLock="0"/>
      </w:r>
      <w:r>
        <w:rPr>
          <w:rFonts w:cs="Arial Unicode MS" w:eastAsia="Arial Unicode MS"/>
          <w:rtl w:val="0"/>
        </w:rPr>
        <w:t>13</w:t>
      </w:r>
      <w:r>
        <w:rPr/>
        <w:fldChar w:fldCharType="end" w:fldLock="0"/>
      </w:r>
    </w:p>
    <w:p>
      <w:pPr>
        <w:pStyle w:val="TOC 1"/>
      </w:pPr>
      <w:r>
        <w:rPr>
          <w:rFonts w:cs="Arial Unicode MS" w:eastAsia="Arial Unicode MS"/>
          <w:rtl w:val="0"/>
          <w:lang w:val="en-US"/>
        </w:rPr>
        <w:t>5. Debris Handling, Waste Diversion, Recycling</w:t>
        <w:tab/>
      </w:r>
      <w:r>
        <w:rPr/>
        <w:fldChar w:fldCharType="begin" w:fldLock="0"/>
      </w:r>
      <w:r>
        <w:instrText xml:space="preserve"> PAGEREF _Toc12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Debris Handling</w:t>
        <w:tab/>
      </w:r>
      <w:r>
        <w:rPr/>
        <w:fldChar w:fldCharType="begin" w:fldLock="0"/>
      </w:r>
      <w:r>
        <w:instrText xml:space="preserve"> PAGEREF _Toc13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 xml:space="preserve">Table 4. Demolition Waste Recycling and Salvage </w:t>
        <w:tab/>
      </w:r>
      <w:r>
        <w:rPr/>
        <w:fldChar w:fldCharType="begin" w:fldLock="0"/>
      </w:r>
      <w:r>
        <w:instrText xml:space="preserve"> PAGEREF _Toc14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lang w:val="en-US"/>
        </w:rPr>
        <w:t>Waste Diversion and Recycling</w:t>
        <w:tab/>
      </w:r>
      <w:r>
        <w:rPr/>
        <w:fldChar w:fldCharType="begin" w:fldLock="0"/>
      </w:r>
      <w:r>
        <w:instrText xml:space="preserve"> PAGEREF _Toc15 \h </w:instrText>
      </w:r>
      <w:r>
        <w:rPr/>
        <w:fldChar w:fldCharType="separate" w:fldLock="0"/>
      </w:r>
      <w:r>
        <w:rPr>
          <w:rFonts w:cs="Arial Unicode MS" w:eastAsia="Arial Unicode MS"/>
          <w:rtl w:val="0"/>
        </w:rPr>
        <w:t>14</w:t>
      </w:r>
      <w:r>
        <w:rPr/>
        <w:fldChar w:fldCharType="end" w:fldLock="0"/>
      </w:r>
    </w:p>
    <w:p>
      <w:pPr>
        <w:pStyle w:val="TOC 1"/>
      </w:pPr>
      <w:r>
        <w:rPr>
          <w:rFonts w:cs="Arial Unicode MS" w:eastAsia="Arial Unicode MS"/>
          <w:rtl w:val="0"/>
          <w:lang w:val="en-US"/>
        </w:rPr>
        <w:t>6. Site Security and Safety Approach</w:t>
        <w:tab/>
      </w:r>
      <w:r>
        <w:rPr/>
        <w:fldChar w:fldCharType="begin" w:fldLock="0"/>
      </w:r>
      <w:r>
        <w:instrText xml:space="preserve"> PAGEREF _Toc16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lang w:val="en-US"/>
        </w:rPr>
        <w:t>Site Security</w:t>
        <w:tab/>
      </w:r>
      <w:r>
        <w:rPr/>
        <w:fldChar w:fldCharType="begin" w:fldLock="0"/>
      </w:r>
      <w:r>
        <w:instrText xml:space="preserve"> PAGEREF _Toc17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lang w:val="en-US"/>
        </w:rPr>
        <w:t>Safety Approach</w:t>
        <w:tab/>
      </w:r>
      <w:r>
        <w:rPr/>
        <w:fldChar w:fldCharType="begin" w:fldLock="0"/>
      </w:r>
      <w:r>
        <w:instrText xml:space="preserve"> PAGEREF _Toc18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lang w:val="en-US"/>
        </w:rPr>
        <w:t>Table 5. Preliminary Activity Hazard Analysis</w:t>
        <w:tab/>
      </w:r>
      <w:r>
        <w:rPr/>
        <w:fldChar w:fldCharType="begin" w:fldLock="0"/>
      </w:r>
      <w:r>
        <w:instrText xml:space="preserve"> PAGEREF _Toc19 \h </w:instrText>
      </w:r>
      <w:r>
        <w:rPr/>
        <w:fldChar w:fldCharType="separate" w:fldLock="0"/>
      </w:r>
      <w:r>
        <w:rPr>
          <w:rFonts w:cs="Arial Unicode MS" w:eastAsia="Arial Unicode MS"/>
          <w:rtl w:val="0"/>
        </w:rPr>
        <w:t>17</w:t>
      </w:r>
      <w:r>
        <w:rPr/>
        <w:fldChar w:fldCharType="end" w:fldLock="0"/>
      </w:r>
    </w:p>
    <w:p>
      <w:pPr>
        <w:pStyle w:val="TOC 1"/>
      </w:pPr>
      <w:r>
        <w:rPr>
          <w:rFonts w:cs="Arial Unicode MS" w:eastAsia="Arial Unicode MS"/>
          <w:rtl w:val="0"/>
          <w:lang w:val="en-US"/>
        </w:rPr>
        <w:t>7. Site Restoration</w:t>
        <w:tab/>
      </w:r>
      <w:r>
        <w:rPr/>
        <w:fldChar w:fldCharType="begin" w:fldLock="0"/>
      </w:r>
      <w:r>
        <w:instrText xml:space="preserve"> PAGEREF _Toc20 \h </w:instrText>
      </w:r>
      <w:r>
        <w:rPr/>
        <w:fldChar w:fldCharType="separate" w:fldLock="0"/>
      </w:r>
      <w:r>
        <w:rPr>
          <w:rFonts w:cs="Arial Unicode MS" w:eastAsia="Arial Unicode MS"/>
          <w:rtl w:val="0"/>
        </w:rPr>
        <w:t>19</w:t>
      </w:r>
      <w:r>
        <w:rPr/>
        <w:fldChar w:fldCharType="end" w:fldLock="0"/>
      </w:r>
    </w:p>
    <w:p>
      <w:pPr>
        <w:pStyle w:val="TOC 1"/>
      </w:pPr>
      <w:r>
        <w:rPr>
          <w:rFonts w:cs="Arial Unicode MS" w:eastAsia="Arial Unicode MS"/>
          <w:rtl w:val="0"/>
          <w:lang w:val="fr-FR"/>
        </w:rPr>
        <w:t>8. Key Personnel</w:t>
        <w:tab/>
      </w:r>
      <w:r>
        <w:rPr/>
        <w:fldChar w:fldCharType="begin" w:fldLock="0"/>
      </w:r>
      <w:r>
        <w:instrText xml:space="preserve"> PAGEREF _Toc21 \h </w:instrText>
      </w:r>
      <w:r>
        <w:rPr/>
        <w:fldChar w:fldCharType="separate" w:fldLock="0"/>
      </w:r>
      <w:r>
        <w:rPr>
          <w:rFonts w:cs="Arial Unicode MS" w:eastAsia="Arial Unicode MS"/>
          <w:rtl w:val="0"/>
        </w:rPr>
        <w:t>20</w:t>
      </w:r>
      <w:r>
        <w:rPr/>
        <w:fldChar w:fldCharType="end" w:fldLock="0"/>
      </w:r>
    </w:p>
    <w:p>
      <w:pPr>
        <w:pStyle w:val="TOC 2"/>
      </w:pPr>
      <w:r>
        <w:rPr>
          <w:rFonts w:cs="Arial Unicode MS" w:eastAsia="Arial Unicode MS"/>
          <w:rtl w:val="0"/>
          <w:lang w:val="en-US"/>
        </w:rPr>
        <w:t>Table 6. Key Personnel to be Assigned</w:t>
        <w:tab/>
      </w:r>
      <w:r>
        <w:rPr/>
        <w:fldChar w:fldCharType="begin" w:fldLock="0"/>
      </w:r>
      <w:r>
        <w:instrText xml:space="preserve"> PAGEREF _Toc22 \h </w:instrText>
      </w:r>
      <w:r>
        <w:rPr/>
        <w:fldChar w:fldCharType="separate" w:fldLock="0"/>
      </w:r>
      <w:r>
        <w:rPr>
          <w:rFonts w:cs="Arial Unicode MS" w:eastAsia="Arial Unicode MS"/>
          <w:rtl w:val="0"/>
        </w:rPr>
        <w:t>20</w:t>
      </w:r>
      <w:r>
        <w:rPr/>
        <w:fldChar w:fldCharType="end" w:fldLock="0"/>
      </w:r>
    </w:p>
    <w:p>
      <w:pPr>
        <w:pStyle w:val="TOC 1"/>
      </w:pPr>
      <w:r>
        <w:rPr>
          <w:rFonts w:cs="Arial Unicode MS" w:eastAsia="Arial Unicode MS"/>
          <w:rtl w:val="0"/>
          <w:lang w:val="en-US"/>
        </w:rPr>
        <w:t xml:space="preserve">Options </w:t>
        <w:tab/>
      </w:r>
      <w:r>
        <w:rPr/>
        <w:fldChar w:fldCharType="begin" w:fldLock="0"/>
      </w:r>
      <w:r>
        <w:instrText xml:space="preserve"> PAGEREF _Toc23 \h </w:instrText>
      </w:r>
      <w:r>
        <w:rPr/>
        <w:fldChar w:fldCharType="separate" w:fldLock="0"/>
      </w:r>
      <w:r>
        <w:rPr>
          <w:rFonts w:cs="Arial Unicode MS" w:eastAsia="Arial Unicode MS"/>
          <w:rtl w:val="0"/>
        </w:rPr>
        <w:t>21</w:t>
      </w:r>
      <w:r>
        <w:rPr/>
        <w:fldChar w:fldCharType="end" w:fldLock="0"/>
      </w:r>
    </w:p>
    <w:p>
      <w:pPr>
        <w:pStyle w:val="TOC 1"/>
      </w:pPr>
      <w:r>
        <w:rPr>
          <w:rFonts w:cs="Arial Unicode MS" w:eastAsia="Arial Unicode MS" w:hint="default"/>
          <w:rtl w:val="0"/>
          <w:lang w:val="en-US"/>
        </w:rPr>
        <w:t xml:space="preserve">Appendix - Preliminary Project Schedule – Base Bid </w:t>
        <w:tab/>
      </w:r>
      <w:r>
        <w:rPr/>
        <w:fldChar w:fldCharType="begin" w:fldLock="0"/>
      </w:r>
      <w:r>
        <w:instrText xml:space="preserve"> PAGEREF _Toc24 \h </w:instrText>
      </w:r>
      <w:r>
        <w:rPr/>
        <w:fldChar w:fldCharType="separate" w:fldLock="0"/>
      </w:r>
      <w:r>
        <w:rPr>
          <w:rFonts w:cs="Arial Unicode MS" w:eastAsia="Arial Unicode MS"/>
          <w:rtl w:val="0"/>
        </w:rPr>
        <w:t>22</w:t>
      </w:r>
      <w:r>
        <w:rPr/>
        <w:fldChar w:fldCharType="end" w:fldLock="0"/>
      </w:r>
    </w:p>
    <w:p>
      <w:pPr>
        <w:pStyle w:val="Body A"/>
      </w:pPr>
      <w:r>
        <w:rPr>
          <w:rStyle w:val="None"/>
          <w:b w:val="1"/>
          <w:bCs w:val="1"/>
        </w:rPr>
        <w:fldChar w:fldCharType="end" w:fldLock="0"/>
      </w:r>
    </w:p>
    <w:p>
      <w:pPr>
        <w:pStyle w:val="Body A"/>
        <w:sectPr>
          <w:headerReference w:type="default" r:id="rId6"/>
          <w:footerReference w:type="default" r:id="rId7"/>
          <w:pgSz w:w="12240" w:h="15840" w:orient="portrait"/>
          <w:pgMar w:top="1440" w:right="1440" w:bottom="1440" w:left="1440" w:header="720" w:footer="864"/>
          <w:bidi w:val="0"/>
        </w:sectPr>
      </w:pPr>
    </w:p>
    <w:p>
      <w:pPr>
        <w:pStyle w:val="Heading 1"/>
        <w:suppressAutoHyphens w:val="1"/>
      </w:pPr>
      <w:bookmarkStart w:name="_Toc" w:id="0"/>
      <w:r>
        <w:rPr>
          <w:rtl w:val="0"/>
          <w:lang w:val="en-US"/>
        </w:rPr>
        <w:t>Technical Approach</w:t>
      </w:r>
      <w:bookmarkEnd w:id="0"/>
    </w:p>
    <w:p>
      <w:pPr>
        <w:pStyle w:val="Body C"/>
        <w:suppressAutoHyphens w:val="1"/>
        <w:rPr>
          <w:rStyle w:val="None"/>
          <w:lang w:val="en-US"/>
        </w:rPr>
      </w:pPr>
      <w:r>
        <w:rPr>
          <w:rStyle w:val="None"/>
          <w:rtl w:val="0"/>
          <w:lang w:val="en-US"/>
        </w:rPr>
        <w:t>This project involves All Phase Services, Inc. (</w:t>
      </w:r>
      <w:r>
        <w:rPr>
          <w:rStyle w:val="None"/>
          <w:rtl w:val="0"/>
          <w:lang w:val="en-US"/>
        </w:rPr>
        <w:t>“</w:t>
      </w:r>
      <w:r>
        <w:rPr>
          <w:rStyle w:val="None"/>
          <w:rtl w:val="0"/>
          <w:lang w:val="en-US"/>
        </w:rPr>
        <w:t>All Phase</w:t>
      </w:r>
      <w:r>
        <w:rPr>
          <w:rStyle w:val="None"/>
          <w:rtl w:val="0"/>
          <w:lang w:val="en-US"/>
        </w:rPr>
        <w:t>”</w:t>
      </w:r>
      <w:r>
        <w:rPr>
          <w:rStyle w:val="None"/>
          <w:rtl w:val="0"/>
          <w:lang w:val="en-US"/>
        </w:rPr>
        <w:t xml:space="preserve">) </w:t>
      </w:r>
      <w:r>
        <w:rPr>
          <w:rStyle w:val="None"/>
          <w:rtl w:val="0"/>
          <w:lang w:val="en-US"/>
        </w:rPr>
        <w:t xml:space="preserve">providing </w:t>
      </w:r>
      <w:r>
        <w:rPr>
          <w:rStyle w:val="None"/>
          <w:rtl w:val="0"/>
          <w:lang w:val="en-US"/>
        </w:rPr>
        <w:t xml:space="preserve">physical security, pre-demolition facility assessments, abatement/removal of asbestos containing materials (ACM) and other regulated materials (ORM), disconnection and capping of utilities, removal of pole mounted and pad mounted transformers, demolition of facilities, diversion and/or disposal of all demolition debris and materials, and restoration of the site to </w:t>
      </w:r>
      <w:r>
        <w:rPr>
          <w:rStyle w:val="None"/>
          <w:rtl w:val="0"/>
          <w:lang w:val="en-US"/>
        </w:rPr>
        <w:t>the</w:t>
      </w:r>
      <w:r>
        <w:rPr>
          <w:rStyle w:val="None"/>
          <w:rtl w:val="0"/>
          <w:lang w:val="en-US"/>
        </w:rPr>
        <w:t xml:space="preserve"> specified condition</w:t>
      </w:r>
      <w:r>
        <w:rPr>
          <w:rStyle w:val="None"/>
          <w:rtl w:val="0"/>
          <w:lang w:val="en-US"/>
        </w:rPr>
        <w:t>,</w:t>
      </w:r>
      <w:r>
        <w:rPr>
          <w:rStyle w:val="None"/>
          <w:rtl w:val="0"/>
          <w:lang w:val="en-US"/>
        </w:rPr>
        <w:t xml:space="preserve"> and providing for positive site drainage</w:t>
      </w:r>
      <w:r>
        <w:rPr>
          <w:rStyle w:val="None"/>
          <w:rtl w:val="0"/>
          <w:lang w:val="en-US"/>
        </w:rPr>
        <w:t xml:space="preserve">. We will be </w:t>
      </w:r>
      <w:r>
        <w:rPr>
          <w:rStyle w:val="None"/>
          <w:rtl w:val="0"/>
          <w:lang w:val="en-US"/>
        </w:rPr>
        <w:t xml:space="preserve">coordinating personnel, equipment, and other resources to get this demolition process completed. All Phase understands the location of the abatement, demolition and site restoration requirements </w:t>
      </w:r>
      <w:r>
        <w:rPr>
          <w:rStyle w:val="None"/>
          <w:rtl w:val="0"/>
          <w:lang w:val="en-US"/>
        </w:rPr>
        <w:t>to be______ (see Base Requirement, following)</w:t>
      </w:r>
      <w:r>
        <w:rPr>
          <w:rStyle w:val="None"/>
          <w:rtl w:val="0"/>
          <w:lang w:val="en-US"/>
        </w:rPr>
        <w:t xml:space="preserve">. In our experience, this results in inevitable complexities throughout the project, so we know it is crucial to have a well-orchestrated plan in place to coordinate the different aspects. </w:t>
      </w:r>
    </w:p>
    <w:p>
      <w:pPr>
        <w:pStyle w:val="Body C"/>
        <w:suppressAutoHyphens w:val="1"/>
      </w:pPr>
      <w:r>
        <w:rPr>
          <w:rStyle w:val="None"/>
          <w:rtl w:val="0"/>
          <w:lang w:val="en-US"/>
        </w:rPr>
        <w:t xml:space="preserve">Our project planning approach is based on a traditional </w:t>
      </w:r>
      <w:r>
        <w:rPr>
          <w:rStyle w:val="None"/>
          <w:rFonts w:ascii="Arial Unicode MS" w:hAnsi="Arial Unicode MS" w:hint="default"/>
          <w:rtl w:val="1"/>
          <w:lang w:val="ar-SA" w:bidi="ar-SA"/>
        </w:rPr>
        <w:t>“</w:t>
      </w:r>
      <w:r>
        <w:rPr>
          <w:rStyle w:val="None"/>
          <w:rtl w:val="0"/>
          <w:lang w:val="en-US"/>
        </w:rPr>
        <w:t>waterfall</w:t>
      </w:r>
      <w:r>
        <w:rPr>
          <w:rStyle w:val="None"/>
          <w:rtl w:val="0"/>
          <w:lang w:val="en-US"/>
        </w:rPr>
        <w:t xml:space="preserve">” </w:t>
      </w:r>
      <w:r>
        <w:rPr>
          <w:rStyle w:val="None"/>
          <w:rtl w:val="0"/>
          <w:lang w:val="en-US"/>
        </w:rPr>
        <w:t xml:space="preserve">approach: we set clear milestones between each task, with set due dates, deliverables, and client expectations organized on a clear timeline, as shown in the GANTT provided as an appendix. 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797979" w:sz="8" w:space="0" w:shadow="0" w:frame="0"/>
          <w:insideV w:val="single" w:color="797979" w:sz="8" w:space="0" w:shadow="0" w:frame="0"/>
        </w:tblBorders>
        <w:shd w:val="clear" w:color="auto" w:fill="cadfff"/>
        <w:tblLayout w:type="fixed"/>
      </w:tblPr>
      <w:tblGrid>
        <w:gridCol w:w="1452"/>
        <w:gridCol w:w="3071"/>
        <w:gridCol w:w="1527"/>
        <w:gridCol w:w="3290"/>
      </w:tblGrid>
      <w:tr>
        <w:tblPrEx>
          <w:shd w:val="clear" w:color="auto" w:fill="auto"/>
        </w:tblPrEx>
        <w:trPr>
          <w:trHeight w:val="411" w:hRule="atLeast"/>
          <w:tblHeader/>
        </w:trPr>
        <w:tc>
          <w:tcPr>
            <w:tcW w:type="dxa" w:w="9340"/>
            <w:gridSpan w:val="4"/>
            <w:tcBorders>
              <w:top w:val="single" w:color="797979" w:sz="8" w:space="0" w:shadow="0" w:frame="0"/>
              <w:left w:val="single" w:color="797979" w:sz="8" w:space="0" w:shadow="0" w:frame="0"/>
              <w:bottom w:val="nil"/>
              <w:right w:val="single" w:color="797979" w:sz="8" w:space="0" w:shadow="0" w:frame="0"/>
            </w:tcBorders>
            <w:shd w:val="clear" w:color="auto" w:fill="auto"/>
            <w:tcMar>
              <w:top w:type="dxa" w:w="80"/>
              <w:left w:type="dxa" w:w="80"/>
              <w:bottom w:type="dxa" w:w="80"/>
              <w:right w:type="dxa" w:w="80"/>
            </w:tcMar>
            <w:vAlign w:val="center"/>
          </w:tcPr>
          <w:p>
            <w:pPr>
              <w:pStyle w:val="Body C"/>
              <w:suppressAutoHyphens w:val="1"/>
              <w:jc w:val="center"/>
            </w:pPr>
            <w:r>
              <w:rPr>
                <w:b w:val="1"/>
                <w:bCs w:val="1"/>
                <w:sz w:val="22"/>
                <w:szCs w:val="22"/>
              </w:rPr>
              <w:t>Base Requirement - Demolition of Structure(s)</w:t>
            </w:r>
          </w:p>
        </w:tc>
      </w:tr>
      <w:tr>
        <w:tblPrEx>
          <w:shd w:val="clear" w:color="auto" w:fill="00a2ff"/>
        </w:tblPrEx>
        <w:trPr>
          <w:trHeight w:val="472" w:hRule="atLeast"/>
          <w:tblHeader/>
        </w:trPr>
        <w:tc>
          <w:tcPr>
            <w:tcW w:type="dxa" w:w="1452"/>
            <w:tcBorders>
              <w:top w:val="single" w:color="797979" w:sz="8" w:space="0" w:shadow="0" w:frame="0"/>
              <w:left w:val="single" w:color="797979"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Demolition Sequence</w:t>
            </w:r>
          </w:p>
        </w:tc>
        <w:tc>
          <w:tcPr>
            <w:tcW w:type="dxa" w:w="3070"/>
            <w:tcBorders>
              <w:top w:val="single" w:color="797979"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Building #/Description</w:t>
            </w:r>
          </w:p>
        </w:tc>
        <w:tc>
          <w:tcPr>
            <w:tcW w:type="dxa" w:w="1526"/>
            <w:tcBorders>
              <w:top w:val="single" w:color="797979" w:sz="8" w:space="0" w:shadow="0" w:frame="0"/>
              <w:left w:val="single" w:color="ffffff" w:sz="8" w:space="0" w:shadow="0" w:frame="0"/>
              <w:bottom w:val="single" w:color="ffffff" w:sz="24" w:space="0" w:shadow="0" w:frame="0"/>
              <w:right w:val="single" w:color="ffffff"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Sq ft</w:t>
            </w:r>
          </w:p>
        </w:tc>
        <w:tc>
          <w:tcPr>
            <w:tcW w:type="dxa" w:w="3289"/>
            <w:tcBorders>
              <w:top w:val="single" w:color="797979" w:sz="8" w:space="0" w:shadow="0" w:frame="0"/>
              <w:left w:val="single" w:color="ffffff" w:sz="8" w:space="0" w:shadow="0" w:frame="0"/>
              <w:bottom w:val="single" w:color="ffffff" w:sz="24" w:space="0" w:shadow="0" w:frame="0"/>
              <w:right w:val="single" w:color="797979" w:sz="8" w:space="0" w:shadow="0" w:frame="0"/>
            </w:tcBorders>
            <w:shd w:val="clear" w:color="auto" w:fill="00a2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vertAlign w:val="baseline"/>
                <w:rtl w:val="0"/>
              </w:rPr>
              <w:t>Site Restoration</w:t>
            </w:r>
          </w:p>
        </w:tc>
      </w:tr>
      <w:tr>
        <w:tblPrEx>
          <w:shd w:val="clear" w:color="auto" w:fill="cadfff"/>
        </w:tblPrEx>
        <w:trPr>
          <w:trHeight w:val="692" w:hRule="atLeast"/>
        </w:trPr>
        <w:tc>
          <w:tcPr>
            <w:tcW w:type="dxa" w:w="1452"/>
            <w:tcBorders>
              <w:top w:val="single" w:color="ffffff" w:sz="24"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07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300 - 267 25th NE Street</w:t>
            </w:r>
          </w:p>
        </w:tc>
        <w:tc>
          <w:tcPr>
            <w:tcW w:type="dxa" w:w="152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1705</w:t>
            </w:r>
          </w:p>
        </w:tc>
        <w:tc>
          <w:tcPr>
            <w:tcW w:type="dxa" w:w="3289"/>
            <w:tcBorders>
              <w:top w:val="single" w:color="ffffff" w:sz="24"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Fill, then 4</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layer of topsoil, graded to match the surrounding environment, with positive site drainage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301 - 269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1774</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302 - 271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766</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303 - 273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1849</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304 - 275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1042</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305 - 277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1164</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306 - 279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809</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307 - 281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909</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308 - 301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1426</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309 - 303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1742</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310 - 305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696</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311 - 307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1388</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312 - 309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808</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313 - 311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2049</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314 - 313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1645</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315 - 315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995</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17</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316 - 317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1029</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18</w:t>
            </w:r>
          </w:p>
        </w:tc>
        <w:tc>
          <w:tcPr>
            <w:tcW w:type="dxa" w:w="30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317 - 319 25th NE Street</w:t>
            </w:r>
          </w:p>
        </w:tc>
        <w:tc>
          <w:tcPr>
            <w:tcW w:type="dxa" w:w="152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2338</w:t>
            </w:r>
          </w:p>
        </w:tc>
        <w:tc>
          <w:tcPr>
            <w:tcW w:type="dxa" w:w="3289"/>
            <w:tcBorders>
              <w:top w:val="single" w:color="ffffff" w:sz="8" w:space="0" w:shadow="0" w:frame="0"/>
              <w:left w:val="single" w:color="ffffff" w:sz="8" w:space="0" w:shadow="0" w:frame="0"/>
              <w:bottom w:val="single" w:color="ffffff" w:sz="8" w:space="0" w:shadow="0" w:frame="0"/>
              <w:right w:val="single" w:color="797979" w:sz="8" w:space="0" w:shadow="0" w:frame="0"/>
            </w:tcBorders>
            <w:shd w:val="clear" w:color="auto" w:fill="e6e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r>
        <w:tblPrEx>
          <w:shd w:val="clear" w:color="auto" w:fill="cadfff"/>
        </w:tblPrEx>
        <w:trPr>
          <w:trHeight w:val="460" w:hRule="atLeast"/>
        </w:trPr>
        <w:tc>
          <w:tcPr>
            <w:tcW w:type="dxa" w:w="1452"/>
            <w:tcBorders>
              <w:top w:val="single" w:color="ffffff" w:sz="8" w:space="0" w:shadow="0" w:frame="0"/>
              <w:left w:val="single" w:color="797979"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center"/>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19</w:t>
            </w:r>
          </w:p>
        </w:tc>
        <w:tc>
          <w:tcPr>
            <w:tcW w:type="dxa" w:w="3070"/>
            <w:tcBorders>
              <w:top w:val="single" w:color="ffffff" w:sz="8" w:space="0" w:shadow="0" w:frame="0"/>
              <w:left w:val="single" w:color="ffffff"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3210E-1 - 335 25th NE Street</w:t>
            </w:r>
          </w:p>
        </w:tc>
        <w:tc>
          <w:tcPr>
            <w:tcW w:type="dxa" w:w="1526"/>
            <w:tcBorders>
              <w:top w:val="single" w:color="ffffff" w:sz="8" w:space="0" w:shadow="0" w:frame="0"/>
              <w:left w:val="single" w:color="ffffff" w:sz="8" w:space="0" w:shadow="0" w:frame="0"/>
              <w:bottom w:val="single" w:color="797979" w:sz="8" w:space="0" w:shadow="0" w:frame="0"/>
              <w:right w:val="single" w:color="ffffff"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1657</w:t>
            </w:r>
          </w:p>
        </w:tc>
        <w:tc>
          <w:tcPr>
            <w:tcW w:type="dxa" w:w="3289"/>
            <w:tcBorders>
              <w:top w:val="single" w:color="ffffff" w:sz="8" w:space="0" w:shadow="0" w:frame="0"/>
              <w:left w:val="single" w:color="ffffff" w:sz="8" w:space="0" w:shadow="0" w:frame="0"/>
              <w:bottom w:val="single" w:color="797979" w:sz="8" w:space="0" w:shadow="0" w:frame="0"/>
              <w:right w:val="single" w:color="797979" w:sz="8" w:space="0" w:shadow="0" w:frame="0"/>
            </w:tcBorders>
            <w:shd w:val="clear" w:color="auto" w:fill="cadfff"/>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vertAlign w:val="baseline"/>
                <w:rtl w:val="0"/>
              </w:rPr>
              <w:t>same as above</w:t>
            </w:r>
          </w:p>
        </w:tc>
      </w:tr>
    </w:tbl>
    <w:p>
      <w:pPr>
        <w:pStyle w:val="Body Requirements"/>
        <w:suppressAutoHyphens w:val="1"/>
        <w:rPr>
          <w:lang w:val="en-US"/>
        </w:rPr>
      </w:pPr>
    </w:p>
    <w:p>
      <w:pPr>
        <w:pStyle w:val="Body C"/>
        <w:suppressAutoHyphens w:val="1"/>
      </w:pPr>
      <w:r>
        <w:rPr>
          <w:rtl w:val="0"/>
          <w:lang w:val="en-US"/>
        </w:rPr>
        <w:t xml:space="preserve">Sequencing will will maximize the effort in support of this project to ensure support security of the site, Pre-Demo Survey, subsequent abatement and demolition of structures are accomplished in the least amount of time after award. Demolition of slabs and processing of materials should occur after all structures have been demolished to a point where no re-habitation can occur. All Phase has carefully considered the requirements of the PWS and all other work scope documents, and understand the abatement task in terms of hazardous material sources and difficulty per location (Table 1). From site visit and Pre-Demolition Survey Reports, we expect to encounter asbestos containing material ACM in many of the bid structures from various sources, including flooring/roofing/windows, TS, joint compound, transite, insulation, paneling, gaskets, electrical wire, caulks, and sealants. The abatement team will consist of </w:t>
      </w:r>
      <w:r>
        <w:rPr>
          <w:rtl w:val="0"/>
          <w:lang w:val="en-US"/>
        </w:rPr>
        <w:t>a</w:t>
      </w:r>
      <w:r>
        <w:rPr>
          <w:rtl w:val="0"/>
          <w:lang w:val="en-US"/>
        </w:rPr>
        <w:t xml:space="preserve"> supervisor and trained abatement workers. This team will systematically move from structure to structure </w:t>
      </w:r>
      <w:r>
        <w:rPr>
          <w:rtl w:val="0"/>
          <w:lang w:val="en-US"/>
        </w:rPr>
        <w:t xml:space="preserve">and floor to floor </w:t>
      </w:r>
      <w:r>
        <w:rPr>
          <w:rtl w:val="0"/>
          <w:lang w:val="en-US"/>
        </w:rPr>
        <w:t xml:space="preserve">removing hazardous materials and enabling subsequent site preparation and demolition. ORM labor is included in </w:t>
      </w:r>
      <w:r>
        <w:rPr>
          <w:rtl w:val="0"/>
          <w:lang w:val="en-US"/>
        </w:rPr>
        <w:t>the t</w:t>
      </w:r>
      <w:r>
        <w:rPr>
          <w:rtl w:val="0"/>
          <w:lang w:val="en-US"/>
        </w:rPr>
        <w:t xml:space="preserve">able </w:t>
      </w:r>
      <w:r>
        <w:rPr>
          <w:rtl w:val="0"/>
          <w:lang w:val="en-US"/>
        </w:rPr>
        <w:t xml:space="preserve">in the </w:t>
      </w:r>
      <w:r>
        <w:rPr>
          <w:rtl w:val="0"/>
          <w:lang w:val="en-US"/>
        </w:rPr>
        <w:t>demolition section.</w:t>
      </w:r>
    </w:p>
    <w:p>
      <w:pPr>
        <w:pStyle w:val="Body C"/>
        <w:suppressAutoHyphens w:val="1"/>
      </w:pPr>
    </w:p>
    <w:p>
      <w:pPr>
        <w:pStyle w:val="Heading 2"/>
        <w:pageBreakBefore w:val="1"/>
        <w:suppressAutoHyphens w:val="1"/>
      </w:pPr>
      <w:bookmarkStart w:name="_Toc1" w:id="1"/>
      <w:r>
        <w:rPr>
          <w:rtl w:val="0"/>
          <w:lang w:val="en-US"/>
        </w:rPr>
        <w:t xml:space="preserve">Table 1. Hazardous </w:t>
      </w:r>
      <w:r>
        <w:rPr>
          <w:rtl w:val="0"/>
          <w:lang w:val="en-US"/>
        </w:rPr>
        <w:t>Material Abatement Projected Difficulty Per Location</w:t>
      </w:r>
      <w:bookmarkEnd w:id="1"/>
    </w:p>
    <w:p>
      <w:pPr>
        <w:pStyle w:val="Body A"/>
      </w:pPr>
      <w:r>
        <w:drawing>
          <wp:anchor distT="12700" distB="12700" distL="12700" distR="12700" simplePos="0" relativeHeight="251662336" behindDoc="0" locked="0" layoutInCell="1" allowOverlap="1">
            <wp:simplePos x="0" y="0"/>
            <wp:positionH relativeFrom="margin">
              <wp:posOffset>-6349</wp:posOffset>
            </wp:positionH>
            <wp:positionV relativeFrom="line">
              <wp:posOffset>195579</wp:posOffset>
            </wp:positionV>
            <wp:extent cx="5943600" cy="3866226"/>
            <wp:effectExtent l="0" t="0" r="0" b="0"/>
            <wp:wrapTopAndBottom distT="12700" distB="127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8">
                      <a:extLst/>
                    </a:blip>
                    <a:stretch>
                      <a:fillRect/>
                    </a:stretch>
                  </pic:blipFill>
                  <pic:spPr>
                    <a:xfrm>
                      <a:off x="0" y="0"/>
                      <a:ext cx="5943600" cy="3866226"/>
                    </a:xfrm>
                    <a:prstGeom prst="rect">
                      <a:avLst/>
                    </a:prstGeom>
                    <a:ln w="12700" cap="flat">
                      <a:noFill/>
                      <a:miter lim="400000"/>
                    </a:ln>
                    <a:effectLst/>
                  </pic:spPr>
                </pic:pic>
              </a:graphicData>
            </a:graphic>
          </wp:anchor>
        </w:drawing>
      </w:r>
    </w:p>
    <w:p>
      <w:pPr>
        <w:pStyle w:val="Body A"/>
      </w:pPr>
    </w:p>
    <w:p>
      <w:pPr>
        <w:pStyle w:val="Body C"/>
        <w:suppressAutoHyphens w:val="1"/>
      </w:pPr>
      <w:r>
        <w:rPr>
          <w:rtl w:val="0"/>
          <w:lang w:val="en-US"/>
        </w:rPr>
        <w:t xml:space="preserve">All Phase will self-perform all work associated with this task order. We will also call upon specialty consultants, vendors, and waste handlers to assist as needed. These entities are summarized in Table </w:t>
      </w:r>
      <w:r>
        <w:rPr>
          <w:rtl w:val="0"/>
          <w:lang w:val="en-US"/>
        </w:rPr>
        <w:t>2</w:t>
      </w:r>
      <w:r>
        <w:rPr>
          <w:rtl w:val="0"/>
          <w:lang w:val="en-US"/>
        </w:rPr>
        <w:t>.</w:t>
      </w:r>
    </w:p>
    <w:p>
      <w:pPr>
        <w:pStyle w:val="Heading 2"/>
        <w:suppressAutoHyphens w:val="1"/>
      </w:pPr>
      <w:bookmarkStart w:name="_Toc2" w:id="2"/>
      <w:commentRangeStart w:id="3"/>
      <w:r>
        <w:rPr>
          <w:rtl w:val="0"/>
          <w:lang w:val="en-US"/>
        </w:rPr>
        <w:t xml:space="preserve">Table </w:t>
      </w:r>
      <w:r>
        <w:rPr>
          <w:rtl w:val="0"/>
          <w:lang w:val="en-US"/>
        </w:rPr>
        <w:t>2</w:t>
      </w:r>
      <w:r>
        <w:rPr>
          <w:rtl w:val="0"/>
          <w:lang w:val="en-US"/>
        </w:rPr>
        <w:t xml:space="preserve">. </w:t>
      </w:r>
      <w:r>
        <w:rPr>
          <w:rtl w:val="0"/>
          <w:lang w:val="en-US"/>
        </w:rPr>
        <w:t>Subcontractors, Consultants, Vendors, And Waste Handlers</w:t>
      </w:r>
      <w:commentRangeEnd w:id="3"/>
      <w:r>
        <w:commentReference w:id="3"/>
      </w:r>
      <w:bookmarkEnd w:id="2"/>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0"/>
        <w:gridCol w:w="3348"/>
        <w:gridCol w:w="2872"/>
      </w:tblGrid>
      <w:tr>
        <w:tblPrEx>
          <w:shd w:val="clear" w:color="auto" w:fill="cadfff"/>
        </w:tblPrEx>
        <w:trPr>
          <w:trHeight w:val="292" w:hRule="atLeast"/>
        </w:trPr>
        <w:tc>
          <w:tcPr>
            <w:tcW w:type="dxa" w:w="312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spacing w:after="0" w:line="240" w:lineRule="auto"/>
              <w:jc w:val="center"/>
              <w:outlineLvl w:val="0"/>
            </w:pPr>
            <w:r>
              <w:rPr>
                <w:rStyle w:val="None"/>
                <w:b w:val="1"/>
                <w:bCs w:val="1"/>
                <w:sz w:val="18"/>
                <w:szCs w:val="18"/>
                <w:u w:color="ffffff"/>
                <w:rtl w:val="0"/>
                <w:lang w:val="en-US"/>
              </w:rPr>
              <w:t>Expertise</w:t>
            </w:r>
          </w:p>
        </w:tc>
        <w:tc>
          <w:tcPr>
            <w:tcW w:type="dxa" w:w="334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spacing w:after="0" w:line="240" w:lineRule="auto"/>
              <w:jc w:val="center"/>
              <w:outlineLvl w:val="0"/>
            </w:pPr>
            <w:r>
              <w:rPr>
                <w:rStyle w:val="None"/>
                <w:b w:val="1"/>
                <w:bCs w:val="1"/>
                <w:sz w:val="18"/>
                <w:szCs w:val="18"/>
                <w:u w:color="ffffff"/>
                <w:rtl w:val="0"/>
                <w:lang w:val="en-US"/>
              </w:rPr>
              <w:t>Company</w:t>
            </w:r>
          </w:p>
        </w:tc>
        <w:tc>
          <w:tcPr>
            <w:tcW w:type="dxa" w:w="28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uppressAutoHyphens w:val="1"/>
              <w:spacing w:after="0" w:line="240" w:lineRule="auto"/>
              <w:jc w:val="center"/>
              <w:outlineLvl w:val="0"/>
            </w:pPr>
            <w:r>
              <w:rPr>
                <w:rStyle w:val="None"/>
                <w:b w:val="1"/>
                <w:bCs w:val="1"/>
                <w:sz w:val="18"/>
                <w:szCs w:val="18"/>
                <w:u w:color="ffffff"/>
                <w:rtl w:val="0"/>
                <w:lang w:val="en-US"/>
              </w:rPr>
              <w:t>Location</w:t>
            </w:r>
          </w:p>
        </w:tc>
      </w:tr>
      <w:tr>
        <w:tblPrEx>
          <w:shd w:val="clear" w:color="auto" w:fill="cadfff"/>
        </w:tblPrEx>
        <w:trPr>
          <w:trHeight w:val="472" w:hRule="atLeast"/>
        </w:trPr>
        <w:tc>
          <w:tcPr>
            <w:tcW w:type="dxa" w:w="3120"/>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 xml:space="preserve">State SWPPP </w:t>
            </w:r>
            <w:r>
              <w:rPr>
                <w:rStyle w:val="None"/>
                <w:b w:val="1"/>
                <w:bCs w:val="1"/>
                <w:sz w:val="18"/>
                <w:szCs w:val="18"/>
                <w:rtl w:val="0"/>
                <w:lang w:val="en-US"/>
              </w:rPr>
              <w:t xml:space="preserve">– </w:t>
            </w:r>
            <w:r>
              <w:rPr>
                <w:rStyle w:val="None"/>
                <w:b w:val="1"/>
                <w:bCs w:val="1"/>
                <w:sz w:val="18"/>
                <w:szCs w:val="18"/>
                <w:rtl w:val="0"/>
                <w:lang w:val="en-US"/>
              </w:rPr>
              <w:t>Qualified Stormwater Designer</w:t>
            </w:r>
          </w:p>
        </w:tc>
        <w:tc>
          <w:tcPr>
            <w:tcW w:type="dxa" w:w="3348"/>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H2E Consulting</w:t>
            </w:r>
          </w:p>
        </w:tc>
        <w:tc>
          <w:tcPr>
            <w:tcW w:type="dxa" w:w="2872"/>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San Francisco,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State of California Certified Biologist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Jacobs Engineering Group, Inc.</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Pasadena,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CIH</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Safety equipment</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Needham</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Framingham, MA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Refrigerant recovery</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Rapid Recovery</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Nationwide</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rPr>
                <w:rStyle w:val="None"/>
                <w:sz w:val="18"/>
                <w:szCs w:val="18"/>
              </w:rPr>
            </w:pPr>
            <w:r>
              <w:rPr>
                <w:rStyle w:val="None"/>
                <w:b w:val="1"/>
                <w:bCs w:val="1"/>
                <w:sz w:val="18"/>
                <w:szCs w:val="18"/>
                <w:rtl w:val="0"/>
                <w:lang w:val="en-US"/>
              </w:rPr>
              <w:t>Landfill</w:t>
            </w:r>
          </w:p>
          <w:p>
            <w:pPr>
              <w:pStyle w:val="Body C"/>
              <w:suppressAutoHyphens w:val="1"/>
              <w:bidi w:val="0"/>
              <w:spacing w:after="0" w:line="240" w:lineRule="auto"/>
              <w:ind w:left="0" w:right="0" w:firstLine="0"/>
              <w:jc w:val="center"/>
              <w:outlineLvl w:val="0"/>
              <w:rPr>
                <w:rtl w:val="0"/>
              </w:rPr>
            </w:pPr>
            <w:r>
              <w:rPr>
                <w:rStyle w:val="None"/>
                <w:sz w:val="18"/>
                <w:szCs w:val="18"/>
                <w:rtl w:val="0"/>
                <w:lang w:val="en-US"/>
              </w:rPr>
              <w:t>C&amp;D</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rPr>
                <w:rStyle w:val="None"/>
                <w:sz w:val="18"/>
                <w:szCs w:val="18"/>
              </w:rPr>
            </w:pPr>
            <w:r>
              <w:rPr>
                <w:rStyle w:val="None"/>
                <w:b w:val="1"/>
                <w:bCs w:val="1"/>
                <w:sz w:val="18"/>
                <w:szCs w:val="18"/>
                <w:rtl w:val="0"/>
                <w:lang w:val="en-US"/>
              </w:rPr>
              <w:t>Landfill</w:t>
            </w:r>
          </w:p>
          <w:p>
            <w:pPr>
              <w:pStyle w:val="Body C"/>
              <w:suppressAutoHyphens w:val="1"/>
              <w:bidi w:val="0"/>
              <w:spacing w:after="0" w:line="240" w:lineRule="auto"/>
              <w:ind w:left="0" w:right="0" w:firstLine="0"/>
              <w:jc w:val="center"/>
              <w:outlineLvl w:val="0"/>
              <w:rPr>
                <w:rtl w:val="0"/>
              </w:rPr>
            </w:pPr>
            <w:r>
              <w:rPr>
                <w:rStyle w:val="None"/>
                <w:sz w:val="18"/>
                <w:szCs w:val="18"/>
                <w:rtl w:val="0"/>
                <w:lang w:val="en-US"/>
              </w:rPr>
              <w:t>friable + non-friable asbestos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Concrete and Asphalt Recycling</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Waste Management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Simi Valley, CA</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Universal Wastes</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Veolia ES Technical Solutions</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Nationwide</w:t>
            </w:r>
          </w:p>
        </w:tc>
      </w:tr>
      <w:tr>
        <w:tblPrEx>
          <w:shd w:val="clear" w:color="auto" w:fill="cadfff"/>
        </w:tblPrEx>
        <w:trPr>
          <w:trHeight w:val="4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Metals Salvage</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r>
        <w:tblPrEx>
          <w:shd w:val="clear" w:color="auto" w:fill="cadfff"/>
        </w:tblPrEx>
        <w:trPr>
          <w:trHeight w:val="272" w:hRule="atLeast"/>
        </w:trPr>
        <w:tc>
          <w:tcPr>
            <w:tcW w:type="dxa" w:w="31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outlineLvl w:val="0"/>
            </w:pPr>
            <w:r>
              <w:rPr>
                <w:rStyle w:val="None"/>
                <w:b w:val="1"/>
                <w:bCs w:val="1"/>
                <w:sz w:val="18"/>
                <w:szCs w:val="18"/>
                <w:rtl w:val="0"/>
                <w:lang w:val="en-US"/>
              </w:rPr>
              <w:t>Topsoil / Backfill</w:t>
            </w:r>
          </w:p>
        </w:tc>
        <w:tc>
          <w:tcPr>
            <w:tcW w:type="dxa" w:w="334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c>
          <w:tcPr>
            <w:tcW w:type="dxa" w:w="28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uppressAutoHyphens w:val="1"/>
              <w:spacing w:after="0" w:line="240" w:lineRule="auto"/>
              <w:jc w:val="center"/>
              <w:outlineLvl w:val="0"/>
            </w:pPr>
            <w:r>
              <w:rPr>
                <w:rStyle w:val="None"/>
                <w:sz w:val="18"/>
                <w:szCs w:val="18"/>
                <w:rtl w:val="0"/>
                <w:lang w:val="en-US"/>
              </w:rPr>
              <w:t>[INSERT]</w:t>
            </w:r>
          </w:p>
        </w:tc>
      </w:tr>
    </w:tbl>
    <w:p>
      <w:pPr>
        <w:pStyle w:val="Body C"/>
        <w:suppressAutoHyphens w:val="1"/>
      </w:pPr>
    </w:p>
    <w:p>
      <w:pPr>
        <w:pStyle w:val="Heading 1"/>
        <w:suppressAutoHyphens w:val="1"/>
      </w:pPr>
      <w:bookmarkStart w:name="_Toc3" w:id="4"/>
      <w:r>
        <w:rPr>
          <w:rtl w:val="0"/>
          <w:lang w:val="en-US"/>
        </w:rPr>
        <w:t>1. Project Planning</w:t>
      </w:r>
      <w:bookmarkEnd w:id="4"/>
    </w:p>
    <w:p>
      <w:pPr>
        <w:pStyle w:val="Body C"/>
        <w:suppressAutoHyphens w:val="1"/>
      </w:pPr>
      <w:r>
        <w:rPr>
          <w:rtl w:val="0"/>
          <w:lang w:val="en-US"/>
        </w:rPr>
        <w:t xml:space="preserve">All Phase will utilize available information provided as the basis of the demolition for the proposed project and </w:t>
      </w:r>
      <w:r>
        <w:rPr>
          <w:rtl w:val="0"/>
          <w:lang w:val="en-US"/>
        </w:rPr>
        <w:t>will</w:t>
      </w:r>
      <w:r>
        <w:rPr>
          <w:rtl w:val="0"/>
          <w:lang w:val="en-US"/>
        </w:rPr>
        <w:t xml:space="preserve"> include contractor site visit for investigation</w:t>
      </w:r>
      <w:r>
        <w:rPr>
          <w:rtl w:val="0"/>
          <w:lang w:val="en-US"/>
        </w:rPr>
        <w:t xml:space="preserve"> — </w:t>
      </w:r>
      <w:r>
        <w:rPr>
          <w:rtl w:val="0"/>
          <w:lang w:val="en-US"/>
        </w:rPr>
        <w:t>with permission of the government</w:t>
      </w:r>
      <w:r>
        <w:rPr>
          <w:rtl w:val="0"/>
          <w:lang w:val="en-US"/>
        </w:rPr>
        <w:t xml:space="preserve">. </w:t>
      </w:r>
      <w:r>
        <w:rPr>
          <w:rtl w:val="0"/>
          <w:lang w:val="en-US"/>
        </w:rPr>
        <w:t xml:space="preserve">Until a </w:t>
      </w:r>
      <w:r>
        <w:rPr>
          <w:rtl w:val="0"/>
          <w:lang w:val="en-US"/>
        </w:rPr>
        <w:t xml:space="preserve">Notice to Proceed </w:t>
      </w:r>
      <w:r>
        <w:rPr>
          <w:rtl w:val="0"/>
          <w:lang w:val="en-US"/>
        </w:rPr>
        <w:t xml:space="preserve">(NTP) has been received, All Phase will conduct all project planning off-site, based on materials and information provided by the government. </w:t>
      </w:r>
      <w:r>
        <w:rPr>
          <w:rtl w:val="0"/>
          <w:lang w:val="en-US"/>
        </w:rPr>
        <w:t xml:space="preserve">All Phase will be responsible for obtaining additional information required to execute the demolition. This </w:t>
      </w:r>
      <w:r>
        <w:rPr>
          <w:rtl w:val="0"/>
          <w:lang w:val="en-US"/>
        </w:rPr>
        <w:t>will</w:t>
      </w:r>
      <w:r>
        <w:rPr>
          <w:rtl w:val="0"/>
          <w:lang w:val="en-US"/>
        </w:rPr>
        <w:t xml:space="preserve"> include retrieving from the government as-builts, site measurements, surveys, tests, and other material necessary to provide All Phase will with an adequate basis for demolition. We understand that, at present, the potential for HAZMAT conditions for this project exist. All Phase will develop Safety Plans for all known hazards. Asbestos and lead based paint will be required to be abated before demolition by the design build contractor. All Phase will field verify any as-built, site surveys, geotechnical information, or other information that will have been provided by the Government. The design documents will require the acceptance of the Government prior to initiation. Meeting review minutes and design review comment responses are the responsibility of the Architect/Engineer/All Phase, and turned over to the government for review and filing. Meetings on construction status will be as frequently as needed.</w:t>
      </w:r>
    </w:p>
    <w:p>
      <w:pPr>
        <w:pStyle w:val="Body C"/>
        <w:suppressAutoHyphens w:val="1"/>
      </w:pPr>
      <w:r>
        <w:rPr>
          <w:rtl w:val="0"/>
          <w:lang w:val="en-US"/>
        </w:rPr>
        <w:t xml:space="preserve">Prior to full mobilization, All Phase will request site access to perform certain pre-demolition activities that may assist with the development of work plans, accident prevention plans, and project schedules. </w:t>
      </w:r>
    </w:p>
    <w:p>
      <w:pPr>
        <w:pStyle w:val="Body C"/>
        <w:suppressAutoHyphens w:val="1"/>
      </w:pPr>
      <w:r>
        <w:rPr>
          <w:rtl w:val="0"/>
          <w:lang w:val="en-US"/>
        </w:rPr>
        <w:t xml:space="preserve">Within 10 business days of award, All Phase will have personnel physically present at the site, provide 24/7 security at the site, erect/install 6-foot chain link security fencing around the site(s), and begin the Pre-Demolition Survey assessment of all structures. For Task 2 </w:t>
      </w:r>
      <w:r>
        <w:rPr>
          <w:rtl w:val="0"/>
          <w:lang w:val="en-US"/>
        </w:rPr>
        <w:t xml:space="preserve">– </w:t>
      </w:r>
      <w:r>
        <w:rPr>
          <w:rtl w:val="0"/>
          <w:lang w:val="en-US"/>
        </w:rPr>
        <w:t>Pre-Demo Survey , and within 30 work days of award, All Phase will have accomplished the Pre-Demolition Survey, Laboratory Analysis, and have provided an initial Report of Findings. Following acceptance of the Work Plans and related documents, the Contracting Officer will issue a Notice to Proceed (NTP) directing All Phase will to execute the contract, or any portion thereof, in accordance with the awarded PWS, accepted submittals, and all Federal, State, and local regulations.</w:t>
      </w:r>
    </w:p>
    <w:p>
      <w:pPr>
        <w:pStyle w:val="Body C"/>
        <w:suppressAutoHyphens w:val="1"/>
      </w:pPr>
      <w:r>
        <w:rPr>
          <w:rtl w:val="0"/>
          <w:lang w:val="en-US"/>
        </w:rPr>
        <w:t xml:space="preserve">The Work Plan will include the various sub-plans necessary to support/prosecute the work, e.g., Pre-Demolition Assessment Plan, Asbestos Abatement Plan (includes ACM and ORM), Site Specific Demolition Plan, Diversion/Re-Use Plan, Accident Prevention Plan, etc., as well as the plans listed below. All Phase will include a detailed project schedule providing abatement and demolition timelines by building, restoration of sites by individual site or groups of sites, and a projected completion date, to include the overall project critical path, in the Work Plan. The Work Plan will clearly identify the Key Personnel planned to be associated with the Task Order, all qualifications, accompanying resume, and any necessary certifications to support the assigned duties. The Work Plan will identify available markets and landfill resources in the general area in order to develop the Diversion/Recycle Plan to achieve the maximum cost-effective re-use/disposal of this facility. These plans and documents will be prepared in accordance with all applicable Federal, State, and Local regulations, the instructions and guidance in the basic MATOC, and this task order PWS. </w:t>
      </w:r>
    </w:p>
    <w:p>
      <w:pPr>
        <w:pStyle w:val="Heading 1"/>
        <w:suppressAutoHyphens w:val="1"/>
      </w:pPr>
      <w:bookmarkStart w:name="_Toc4" w:id="5"/>
      <w:r>
        <w:rPr>
          <w:rtl w:val="0"/>
          <w:lang w:val="en-US"/>
        </w:rPr>
        <w:t>2. Abatement Approach and Disposal</w:t>
      </w:r>
      <w:bookmarkEnd w:id="5"/>
    </w:p>
    <w:p>
      <w:pPr>
        <w:pStyle w:val="Body C"/>
        <w:suppressAutoHyphens w:val="1"/>
      </w:pPr>
      <w:r>
        <w:rPr>
          <w:rtl w:val="0"/>
          <w:lang w:val="en-US"/>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w:t>
      </w:r>
    </w:p>
    <w:p>
      <w:pPr>
        <w:pStyle w:val="Body C"/>
        <w:suppressAutoHyphens w:val="1"/>
      </w:pPr>
      <w:r>
        <w:rPr>
          <w:rtl w:val="0"/>
          <w:lang w:val="en-US"/>
        </w:rPr>
        <w:t>Other hazardous / 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w:t>
      </w:r>
    </w:p>
    <w:p>
      <w:pPr>
        <w:pStyle w:val="Heading 2"/>
        <w:suppressAutoHyphens w:val="1"/>
      </w:pPr>
      <w:bookmarkStart w:name="_Toc5" w:id="6"/>
      <w:r>
        <w:rPr>
          <w:rtl w:val="0"/>
          <w:lang w:val="en-US"/>
        </w:rPr>
        <w:t>Abatement and Disposal of Asbestos Containing Material</w:t>
      </w:r>
      <w:bookmarkEnd w:id="6"/>
    </w:p>
    <w:p>
      <w:pPr>
        <w:pStyle w:val="Body C"/>
        <w:suppressAutoHyphens w:val="1"/>
        <w:spacing w:line="240" w:lineRule="auto"/>
      </w:pPr>
      <w:r>
        <w:rPr>
          <w:rtl w:val="0"/>
          <w:lang w:val="en-US"/>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suppressAutoHyphens w:val="1"/>
        <w:spacing w:line="240" w:lineRule="auto"/>
      </w:pPr>
      <w:r>
        <w:rPr>
          <w:rtl w:val="0"/>
          <w:lang w:val="en-US"/>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p>
    <w:p>
      <w:pPr>
        <w:pStyle w:val="Body C"/>
        <w:suppressAutoHyphens w:val="1"/>
        <w:spacing w:line="240" w:lineRule="auto"/>
      </w:pPr>
      <w:r>
        <w:rPr>
          <w:rtl w:val="0"/>
          <w:lang w:val="en-US"/>
        </w:rPr>
        <w:t xml:space="preserve">Asbestos abatement will require special containment equipment including personnel and waste decontamination chambers, water filtering equipment to 20 micron and 5 micron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t>
      </w:r>
    </w:p>
    <w:p>
      <w:pPr>
        <w:pStyle w:val="Body C"/>
        <w:suppressAutoHyphens w:val="1"/>
        <w:spacing w:line="240" w:lineRule="auto"/>
      </w:pPr>
      <w:r>
        <w:rPr>
          <w:rtl w:val="0"/>
          <w:lang w:val="en-US"/>
        </w:rPr>
        <w:t>Full enclosure method for friable materials (e.g., pipe insulation, floor tile, and mastic, joint compound, tank insulation, boiler and duct insulation): These materials will be removed as OSHA Class I. All critical openings such as windows, doors, vents, etc., will be sealed with two layers of 6-mil poly and duct tape. All walls floors and ceilings will be sealed with two layers of 6-mil plastic to create a full containment, only exposing the materials scheduled for abatement. HEPA Air filtration units will be utilized to ensure and maintain negative air pressure in the work area during abatement.</w:t>
      </w:r>
    </w:p>
    <w:p>
      <w:pPr>
        <w:pStyle w:val="Body C"/>
        <w:suppressAutoHyphens w:val="1"/>
        <w:spacing w:line="240" w:lineRule="auto"/>
      </w:pPr>
      <w:r>
        <w:rPr>
          <w:rtl w:val="0"/>
          <w:lang w:val="en-US"/>
        </w:rPr>
        <w:t>Glove bag method for friable materials: Materials such as pipe insulation and pipe fittings will also be removed as OSHA Class I in areas with less than 260 linear feet of ACM. A 20-foot Control Area extending around the work area (where feasible) will be barricaded-off and signs posted. One worker will continuously mist the pipe with amended water while the second worker removes the pipe insulation and places it into the bottom of the glove bag.</w:t>
      </w:r>
    </w:p>
    <w:p>
      <w:pPr>
        <w:pStyle w:val="Body C"/>
        <w:suppressAutoHyphens w:val="1"/>
        <w:spacing w:line="240" w:lineRule="auto"/>
      </w:pPr>
      <w:r>
        <w:rPr>
          <w:rtl w:val="0"/>
          <w:lang w:val="en-US"/>
        </w:rPr>
        <w:t xml:space="preserve">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possible access. Materials will be wrapped or bagged and then sealed within the work area, then carried, labeled and placed in the appropriate ACM waste container. </w:t>
      </w:r>
    </w:p>
    <w:p>
      <w:pPr>
        <w:pStyle w:val="Body C"/>
        <w:suppressAutoHyphens w:val="1"/>
        <w:spacing w:line="240" w:lineRule="auto"/>
      </w:pPr>
      <w:r>
        <w:rPr>
          <w:rtl w:val="0"/>
          <w:lang w:val="en-US"/>
        </w:rPr>
        <w:t xml:space="preserve">Category I non-friable materials will be demolished with the building, under wet demolition methods, and taken to the landfill as ACM-containing C&amp;D debris only if permissible by law and Installation regulations. </w:t>
      </w:r>
      <w:r>
        <w:rPr>
          <w:rtl w:val="0"/>
          <w:lang w:val="en-US"/>
        </w:rPr>
        <w:t xml:space="preserve"> </w:t>
      </w:r>
      <w:r>
        <w:rPr>
          <w:rtl w:val="0"/>
          <w:lang w:val="en-US"/>
        </w:rPr>
        <w:t>The decontamination station is designed to allow passage to and from the work area during removal operations with no leakage of asbestos fibers outside the contained work area. The airlocks are formed by overlapping three sheets of polyethylene at the exit of each room, and three sheets at the entrance to the next room with 2-3 feet of space between barriers.</w:t>
      </w:r>
    </w:p>
    <w:p>
      <w:pPr>
        <w:pStyle w:val="Body C"/>
        <w:suppressAutoHyphens w:val="1"/>
        <w:spacing w:line="240" w:lineRule="auto"/>
      </w:pPr>
      <w:r>
        <w:rPr>
          <w:rtl w:val="0"/>
          <w:lang w:val="en-US"/>
        </w:rPr>
        <w:t xml:space="preserve">Workers use this area to suit up, store street clothes, and put on respiratory protection before they enter the work area, and to dress in clean clothes after washing. Workers pass through the shower room on their way to the removal area, and use the shower area on their way out after leaving their contaminated clothing in the equipment room. Wastewater will be collected and treated as asbestos containing material or filtered through a 5 micron filter before disposal into the sanitary sewer. </w:t>
      </w:r>
    </w:p>
    <w:p>
      <w:pPr>
        <w:pStyle w:val="Body C"/>
        <w:suppressAutoHyphens w:val="1"/>
        <w:spacing w:line="240" w:lineRule="auto"/>
      </w:pPr>
      <w:r>
        <w:rPr>
          <w:rtl w:val="0"/>
          <w:lang w:val="en-US"/>
        </w:rPr>
        <w:t xml:space="preserve">The </w:t>
      </w:r>
      <w:r>
        <w:rPr>
          <w:rtl w:val="0"/>
          <w:lang w:val="en-US"/>
        </w:rPr>
        <w:t>Equipment Room</w:t>
      </w:r>
      <w:r>
        <w:rPr>
          <w:rtl w:val="0"/>
          <w:lang w:val="en-US"/>
        </w:rPr>
        <w:t xml:space="preserve"> </w:t>
      </w:r>
      <w:r>
        <w:rPr>
          <w:rtl w:val="0"/>
          <w:lang w:val="en-US"/>
        </w:rPr>
        <w:t>is a contaminated area where equipment, boots, hard hats, goggles, and contaminated work clothes are stored. Workers place disposable clothing such as coveralls, boots, and hoods in bins before leaving this area for the wash room. Respirators are worn until workers enter the wash room and these are then thoroughly soaked with water.</w:t>
      </w:r>
      <w:r>
        <w:rPr>
          <w:rtl w:val="0"/>
          <w:lang w:val="en-US"/>
        </w:rPr>
        <w:t xml:space="preserve"> </w:t>
      </w:r>
      <w:r>
        <w:rPr>
          <w:rtl w:val="0"/>
          <w:lang w:val="en-US"/>
        </w:rPr>
        <w:t>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w:t>
      </w:r>
    </w:p>
    <w:p>
      <w:pPr>
        <w:pStyle w:val="Body C"/>
        <w:suppressAutoHyphens w:val="1"/>
        <w:spacing w:line="240" w:lineRule="auto"/>
      </w:pPr>
      <w:r>
        <w:rPr>
          <w:rStyle w:val="None"/>
          <w:i w:val="1"/>
          <w:iCs w:val="1"/>
          <w:rtl w:val="0"/>
          <w:lang w:val="en-US"/>
        </w:rPr>
        <w:t>Basis of Initial Exposure Assessment</w:t>
      </w:r>
      <w:r>
        <w:rPr>
          <w:rtl w:val="0"/>
          <w:lang w:val="en-US"/>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in excess of the PELs, or otherwise makes a negative exposure assessment, we will presume that employees are exposed in excess of the TWA and excursion limit.</w:t>
      </w:r>
    </w:p>
    <w:p>
      <w:pPr>
        <w:pStyle w:val="Body C"/>
        <w:suppressAutoHyphens w:val="1"/>
        <w:spacing w:line="240" w:lineRule="auto"/>
      </w:pPr>
      <w:r>
        <w:rPr>
          <w:rStyle w:val="None"/>
          <w:i w:val="1"/>
          <w:iCs w:val="1"/>
          <w:rtl w:val="0"/>
          <w:lang w:val="en-US"/>
        </w:rPr>
        <w:t>Cleanup during Gross Removal</w:t>
      </w:r>
      <w:r>
        <w:rPr>
          <w:rtl w:val="0"/>
          <w:lang w:val="en-US"/>
        </w:rPr>
        <w:t>: Cleaning of the work area will begin shortly after workers start removing the asbestos-containing material from the substrate. The material is to be collected from the floor with squeegees, plastic shovels, or other appropriate tools and placed in 6 mil labeled bags for disposal.</w:t>
      </w:r>
    </w:p>
    <w:p>
      <w:pPr>
        <w:pStyle w:val="Body C"/>
        <w:suppressAutoHyphens w:val="1"/>
        <w:spacing w:line="240" w:lineRule="auto"/>
      </w:pPr>
      <w:r>
        <w:rPr>
          <w:rStyle w:val="None"/>
          <w:i w:val="1"/>
          <w:iCs w:val="1"/>
          <w:rtl w:val="0"/>
          <w:lang w:val="en-US"/>
        </w:rPr>
        <w:t>Perform Final Wipe Down of Equipment</w:t>
      </w:r>
      <w:r>
        <w:rPr>
          <w:rtl w:val="0"/>
          <w:lang w:val="en-US"/>
        </w:rPr>
        <w:t xml:space="preserve">: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The negative air filtration units will remain in place and operate for the remainder of the cleanup operation until clearance samples are collected. After all tasks have been accomplished, a thorough visual inspection of the area should be conducted by an All Phase supervisor and the Industrial Hygiene Technician (IHT) on-site. </w:t>
      </w:r>
    </w:p>
    <w:p>
      <w:pPr>
        <w:pStyle w:val="Body C"/>
        <w:suppressAutoHyphens w:val="1"/>
        <w:spacing w:line="240" w:lineRule="auto"/>
      </w:pPr>
      <w:r>
        <w:rPr>
          <w:rStyle w:val="None"/>
          <w:i w:val="1"/>
          <w:iCs w:val="1"/>
          <w:rtl w:val="0"/>
          <w:lang w:val="en-US"/>
        </w:rPr>
        <w:t>Training &amp; Medical Surveillance</w:t>
      </w:r>
      <w:r>
        <w:rPr>
          <w:rtl w:val="0"/>
          <w:lang w:val="en-US"/>
        </w:rPr>
        <w:t xml:space="preserve">: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w:t>
      </w:r>
    </w:p>
    <w:p>
      <w:pPr>
        <w:pStyle w:val="Body C"/>
        <w:suppressAutoHyphens w:val="1"/>
        <w:spacing w:line="240" w:lineRule="auto"/>
      </w:pPr>
      <w:r>
        <w:rPr>
          <w:rStyle w:val="None"/>
          <w:i w:val="1"/>
          <w:iCs w:val="1"/>
          <w:rtl w:val="0"/>
          <w:lang w:val="en-US"/>
        </w:rPr>
        <w:t>Asbestos Disposition</w:t>
      </w:r>
      <w:r>
        <w:rPr>
          <w:rtl w:val="0"/>
          <w:lang w:val="en-US"/>
        </w:rPr>
        <w:t>: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r>
        <w:rPr>
          <w:rtl w:val="0"/>
          <w:lang w:val="en-US"/>
        </w:rPr>
        <w:t xml:space="preserve"> </w:t>
      </w:r>
    </w:p>
    <w:p>
      <w:pPr>
        <w:pStyle w:val="Body C"/>
        <w:suppressAutoHyphens w:val="1"/>
        <w:spacing w:line="240" w:lineRule="auto"/>
      </w:pPr>
      <w:r>
        <w:rPr>
          <w:rStyle w:val="None"/>
          <w:i w:val="1"/>
          <w:iCs w:val="1"/>
          <w:rtl w:val="0"/>
          <w:lang w:val="en-US"/>
        </w:rPr>
        <w:t>PCB Abatement</w:t>
      </w:r>
      <w:r>
        <w:rPr>
          <w:rtl w:val="0"/>
          <w:lang w:val="en-US"/>
        </w:rPr>
        <w:t xml:space="preserve">: </w:t>
      </w:r>
      <w:r>
        <w:rPr>
          <w:rtl w:val="0"/>
          <w:lang w:val="en-US"/>
        </w:rPr>
        <w:t>The steps to safe polychlorinated biphenyls (PCBs) abatement activities apply when air and/or building materials have been tested and PCBs</w:t>
      </w:r>
      <w:r>
        <w:rPr>
          <w:rtl w:val="0"/>
          <w:lang w:val="en-US"/>
        </w:rPr>
        <w:t> </w:t>
      </w:r>
      <w:r>
        <w:rPr>
          <w:rtl w:val="0"/>
          <w:lang w:val="en-US"/>
        </w:rPr>
        <w:t>have been found present, or when a contractor undertakes a PCB-abatement activity.</w:t>
      </w:r>
      <w:r>
        <w:rPr>
          <w:rtl w:val="0"/>
          <w:lang w:val="en-US"/>
        </w:rPr>
        <w:t xml:space="preserve">  </w:t>
      </w:r>
      <w:r>
        <w:rPr>
          <w:rtl w:val="0"/>
          <w:lang w:val="en-US"/>
        </w:rPr>
        <w:t>If our abatement plan details how to dispose of the PCB caulk and any contaminated building materials together, we may dispose of all the materials as a PCB bulk product waste</w:t>
      </w:r>
      <w:r>
        <w:rPr>
          <w:rtl w:val="0"/>
          <w:lang w:val="en-US"/>
        </w:rPr>
        <w:t> </w:t>
      </w:r>
      <w:r>
        <w:rPr>
          <w:rtl w:val="0"/>
          <w:lang w:val="en-US"/>
        </w:rPr>
        <w:t>even if the PCB caulk becomes separated from the adjacent contaminated building materials during remediation. All Phase will submit a monthly report to the base Solid Waste Manager, identifying the weight, quantity, and disposal cost of: 1) Municipal Solid Waste; and 2) Construction &amp; Demolition debris disposed on or off-base.</w:t>
      </w:r>
    </w:p>
    <w:p>
      <w:pPr>
        <w:pStyle w:val="Heading 1"/>
        <w:suppressAutoHyphens w:val="1"/>
      </w:pPr>
      <w:bookmarkStart w:name="_Toc6" w:id="7"/>
      <w:r>
        <w:rPr>
          <w:rtl w:val="0"/>
          <w:lang w:val="en-US"/>
        </w:rPr>
        <w:t>3. Project Execution</w:t>
      </w:r>
      <w:bookmarkEnd w:id="7"/>
    </w:p>
    <w:p>
      <w:pPr>
        <w:pStyle w:val="Body C"/>
        <w:suppressAutoHyphens w:val="1"/>
      </w:pPr>
      <w:r>
        <w:rPr>
          <w:rtl w:val="0"/>
          <w:lang w:val="en-US"/>
        </w:rPr>
        <w:t>At All Phase, we recognize that on-site management requires a chain of different tasks and responsibilities which are followed with great precision in order for the demolition project to be delivered according to the PMP. This on-site PM expands, updates, and modifies the PMP in conjunction with the All Phase team as necessary to reflect further information, the government</w:t>
      </w:r>
      <w:r>
        <w:rPr>
          <w:rtl w:val="0"/>
          <w:lang w:val="en-US"/>
        </w:rPr>
        <w:t>’</w:t>
      </w:r>
      <w:r>
        <w:rPr>
          <w:rtl w:val="0"/>
          <w:lang w:val="en-US"/>
        </w:rPr>
        <w:t xml:space="preserve">s detailed specifications or changed circumstances. When appropriate, the PM will make proposals for the acceleration of all or part of any demolition work package or task elements to achieve the target dates of the project. Mobilization/Demobilization and Site Setup includes Travel and transport of labor, equipment, and materials to work site, in-processing, site orientation, and any site or task specific training; Installation of storm water protection system, installation of temporary safety security fencing, and any other features required by permit. Location of gates within the security fence will be determined and documented by All Phase will, once establish on-site. Overhead utilities which are disconnected and capped will be coiled and attached to the first pole more than five feet from the facility perimeter. </w:t>
      </w:r>
    </w:p>
    <w:p>
      <w:pPr>
        <w:pStyle w:val="Body C"/>
        <w:suppressAutoHyphens w:val="1"/>
      </w:pPr>
      <w:r>
        <w:rPr>
          <w:rtl w:val="0"/>
          <w:lang w:val="en-US"/>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generally co-ordinate any further setting out carried out by the workforce. The on-site PM will establish and effectively manage task execution and final acceptance procedures, and monitor their implementation. The PM will instruct any subcontractors regarding required documentation to be handed over in order to ensure timely completion of the demolition.</w:t>
      </w:r>
    </w:p>
    <w:p>
      <w:pPr>
        <w:pStyle w:val="Body C"/>
        <w:suppressAutoHyphens w:val="1"/>
        <w:rPr>
          <w:rStyle w:val="None"/>
          <w:b w:val="1"/>
          <w:bCs w:val="1"/>
          <w:i w:val="1"/>
          <w:iCs w:val="1"/>
        </w:rPr>
      </w:pPr>
      <w:r>
        <w:rPr>
          <w:rStyle w:val="None"/>
          <w:b w:val="1"/>
          <w:bCs w:val="1"/>
          <w:i w:val="1"/>
          <w:iCs w:val="1"/>
          <w:rtl w:val="0"/>
          <w:lang w:val="en-US"/>
        </w:rPr>
        <w:t xml:space="preserve">Regulations and Permitting: </w:t>
      </w:r>
      <w:r>
        <w:rPr>
          <w:rStyle w:val="None"/>
          <w:rtl w:val="0"/>
          <w:lang w:val="en-US"/>
        </w:rPr>
        <w:t xml:space="preserve">All Phase will follow the jurisdiction of the state Department of Environmental Protection over asbestos abatement on this task order, unless otherwise directed. All Phase will coordinate removal and disposal of all regulated materials with the state Department of Environmental Protection. If needed, All Phase will submit a Notice of Intent (NOI) to the proper authority for a Construction Storm Water Permit and comply with all applicable requirements. If necessary, we will engage a Qualified Stormwater Designer (see Table 3) to ensure that all SWPPP and National Pollutant Discharge Elimination System (NPDES) permit requirements are in compliance. The All Phase Storm Water Pollution Prevention Plan (SWPPP)/Erosion and Sediment Control Plan (E&amp;SCP) will contain copies of the necessary permits to conduct the activities included in this Task Order. As part of planning, and no later than the kick-off meeting, we will coordinate SWPPP/E&amp;SCP permit requirements with the State and Installation, with adequate time for the Installation and Owner to comment. </w:t>
      </w:r>
    </w:p>
    <w:p>
      <w:pPr>
        <w:pStyle w:val="Body C"/>
        <w:suppressAutoHyphens w:val="1"/>
      </w:pPr>
      <w:r>
        <w:rPr>
          <w:rtl w:val="0"/>
          <w:lang w:val="en-US"/>
        </w:rPr>
        <w:t xml:space="preserve">In accord with generally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in order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generally within 5 working days or as per the project schedule. All Phase will highlight all revisions made in response to comments so that such changes can easily be tracked throughout the project. We will insert a </w:t>
      </w:r>
      <w:r>
        <w:rPr>
          <w:rStyle w:val="None"/>
          <w:rFonts w:ascii="Arial Unicode MS" w:hAnsi="Arial Unicode MS" w:hint="default"/>
          <w:rtl w:val="1"/>
          <w:lang w:val="ar-SA" w:bidi="ar-SA"/>
        </w:rPr>
        <w:t>“</w:t>
      </w:r>
      <w:r>
        <w:rPr>
          <w:rStyle w:val="None"/>
          <w:rtl w:val="0"/>
          <w:lang w:val="de-DE"/>
        </w:rPr>
        <w:t>Changes List</w:t>
      </w:r>
      <w:r>
        <w:rPr>
          <w:rtl w:val="0"/>
          <w:lang w:val="en-US"/>
        </w:rPr>
        <w:t xml:space="preserve">” </w:t>
      </w:r>
      <w:r>
        <w:rPr>
          <w:rtl w:val="0"/>
          <w:lang w:val="en-US"/>
        </w:rPr>
        <w:t>at the front of the document for each re-submittal.</w:t>
      </w:r>
    </w:p>
    <w:p>
      <w:pPr>
        <w:pStyle w:val="Body C"/>
        <w:suppressAutoHyphens w:val="1"/>
        <w:spacing w:line="240" w:lineRule="auto"/>
      </w:pPr>
      <w:r>
        <w:rPr>
          <w:rStyle w:val="None"/>
          <w:b w:val="1"/>
          <w:bCs w:val="1"/>
          <w:i w:val="1"/>
          <w:iCs w:val="1"/>
          <w:rtl w:val="0"/>
          <w:lang w:val="nl-NL"/>
        </w:rPr>
        <w:t>Coordination</w:t>
      </w:r>
      <w:r>
        <w:rPr>
          <w:rStyle w:val="None"/>
          <w:rtl w:val="0"/>
          <w:lang w:val="en-US"/>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0"/>
          <w:lang w:val="en-US"/>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suppressAutoHyphens w:val="1"/>
        <w:spacing w:line="240" w:lineRule="auto"/>
      </w:pPr>
      <w:r>
        <w:rPr>
          <w:rStyle w:val="None"/>
          <w:b w:val="1"/>
          <w:bCs w:val="1"/>
          <w:i w:val="1"/>
          <w:iCs w:val="1"/>
          <w:rtl w:val="0"/>
          <w:lang w:val="en-US"/>
        </w:rPr>
        <w:t>Traffic and Work Hours</w:t>
      </w:r>
      <w:r>
        <w:rPr>
          <w:rtl w:val="0"/>
          <w:lang w:val="en-US"/>
        </w:rPr>
        <w:t>: Haul routes will be identified/approved after award but prior to mobilization.</w:t>
      </w:r>
    </w:p>
    <w:p>
      <w:pPr>
        <w:pStyle w:val="Body C"/>
        <w:suppressAutoHyphens w:val="1"/>
        <w:spacing w:line="240" w:lineRule="auto"/>
      </w:pPr>
      <w:r>
        <w:rPr>
          <w:rStyle w:val="None"/>
          <w:b w:val="1"/>
          <w:bCs w:val="1"/>
          <w:i w:val="1"/>
          <w:iCs w:val="1"/>
          <w:rtl w:val="0"/>
          <w:lang w:val="en-US"/>
        </w:rPr>
        <w:t>Staging</w:t>
      </w:r>
      <w:r>
        <w:rPr>
          <w:rtl w:val="0"/>
          <w:lang w:val="en-US"/>
        </w:rPr>
        <w:t>: We will confirm the precise locations for staging with the CO/COR.</w:t>
      </w:r>
    </w:p>
    <w:p>
      <w:pPr>
        <w:pStyle w:val="Body C"/>
        <w:suppressAutoHyphens w:val="1"/>
        <w:spacing w:line="240" w:lineRule="auto"/>
      </w:pPr>
      <w:r>
        <w:rPr>
          <w:rStyle w:val="None"/>
          <w:b w:val="1"/>
          <w:bCs w:val="1"/>
          <w:i w:val="1"/>
          <w:iCs w:val="1"/>
          <w:rtl w:val="0"/>
          <w:lang w:val="nl-NL"/>
        </w:rPr>
        <w:t>Utilities</w:t>
      </w:r>
      <w:r>
        <w:rPr>
          <w:rStyle w:val="None"/>
          <w:rtl w:val="0"/>
          <w:lang w:val="en-US"/>
        </w:rPr>
        <w:t>: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w:t>
      </w:r>
      <w:r>
        <w:rPr>
          <w:rStyle w:val="None"/>
          <w:rtl w:val="0"/>
          <w:lang w:val="en-US"/>
        </w:rPr>
        <w:t xml:space="preserve"> </w:t>
      </w:r>
      <w:r>
        <w:rPr>
          <w:rtl w:val="0"/>
          <w:lang w:val="en-US"/>
        </w:rPr>
        <w:t>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C"/>
        <w:suppressAutoHyphens w:val="1"/>
        <w:spacing w:line="240" w:lineRule="auto"/>
      </w:pPr>
      <w:r>
        <w:rPr>
          <w:rStyle w:val="None"/>
          <w:b w:val="1"/>
          <w:bCs w:val="1"/>
          <w:i w:val="1"/>
          <w:iCs w:val="1"/>
          <w:rtl w:val="0"/>
          <w:lang w:val="en-US"/>
        </w:rPr>
        <w:t>Controlled Materials</w:t>
      </w:r>
      <w:r>
        <w:rPr>
          <w:rtl w:val="0"/>
          <w:lang w:val="en-US"/>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C"/>
        <w:suppressAutoHyphens w:val="1"/>
        <w:spacing w:line="240" w:lineRule="auto"/>
      </w:pPr>
      <w:r>
        <w:rPr>
          <w:rStyle w:val="None"/>
          <w:b w:val="1"/>
          <w:bCs w:val="1"/>
          <w:i w:val="1"/>
          <w:iCs w:val="1"/>
          <w:rtl w:val="0"/>
          <w:lang w:val="en-US"/>
        </w:rPr>
        <w:t>Ordnance Explosive Safety Support</w:t>
      </w:r>
      <w:r>
        <w:rPr>
          <w:rtl w:val="0"/>
          <w:lang w:val="en-US"/>
        </w:rPr>
        <w:t>: An explosives safety submission (ESS) is not required.</w:t>
      </w:r>
    </w:p>
    <w:p>
      <w:pPr>
        <w:pStyle w:val="Body C"/>
        <w:suppressAutoHyphens w:val="1"/>
        <w:spacing w:line="240" w:lineRule="auto"/>
      </w:pPr>
      <w:r>
        <w:rPr>
          <w:rStyle w:val="None"/>
          <w:b w:val="1"/>
          <w:bCs w:val="1"/>
          <w:i w:val="1"/>
          <w:iCs w:val="1"/>
          <w:rtl w:val="0"/>
          <w:lang w:val="en-US"/>
        </w:rPr>
        <w:t>Execution</w:t>
      </w:r>
      <w:r>
        <w:rPr>
          <w:rtl w:val="0"/>
          <w:lang w:val="en-US"/>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C"/>
        <w:suppressAutoHyphens w:val="1"/>
        <w:spacing w:line="240" w:lineRule="auto"/>
      </w:pPr>
      <w:r>
        <w:rPr>
          <w:rtl w:val="0"/>
          <w:lang w:val="en-US"/>
        </w:rPr>
        <w:t>Our Quality Control Manager (QCM) will perform a walk 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C"/>
        <w:suppressAutoHyphens w:val="1"/>
        <w:spacing w:line="240" w:lineRule="auto"/>
      </w:pPr>
      <w:r>
        <w:rPr>
          <w:rtl w:val="0"/>
          <w:lang w:val="en-US"/>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suppressAutoHyphens w:val="1"/>
      </w:pPr>
      <w:bookmarkStart w:name="_Toc7" w:id="8"/>
      <w:r>
        <w:rPr>
          <w:rtl w:val="0"/>
          <w:lang w:val="en-US"/>
        </w:rPr>
        <w:t>Reporting</w:t>
      </w:r>
      <w:bookmarkEnd w:id="8"/>
    </w:p>
    <w:p>
      <w:pPr>
        <w:pStyle w:val="Body C"/>
        <w:numPr>
          <w:ilvl w:val="1"/>
          <w:numId w:val="2"/>
        </w:numPr>
        <w:suppressAutoHyphens w:val="1"/>
        <w:spacing w:after="80" w:line="240" w:lineRule="auto"/>
        <w:rPr>
          <w:lang w:val="en-US"/>
        </w:rPr>
      </w:pPr>
      <w:r>
        <w:rPr>
          <w:rtl w:val="0"/>
          <w:lang w:val="en-US"/>
        </w:rPr>
        <w:t xml:space="preserve">Weekly Status Report. All Phase will submit a weekly status report via RMS and email a copy to the Project Delivery Team by close of business on the first working day of each week. </w:t>
      </w:r>
    </w:p>
    <w:p>
      <w:pPr>
        <w:pStyle w:val="Body C"/>
        <w:numPr>
          <w:ilvl w:val="1"/>
          <w:numId w:val="2"/>
        </w:numPr>
        <w:suppressAutoHyphens w:val="1"/>
        <w:spacing w:after="80" w:line="240" w:lineRule="auto"/>
        <w:rPr>
          <w:lang w:val="en-US"/>
        </w:rPr>
      </w:pPr>
      <w:r>
        <w:rPr>
          <w:rtl w:val="0"/>
          <w:lang w:val="en-US"/>
        </w:rPr>
        <w:t xml:space="preserve">Monthly Progress Reports. All Phase will submit a monthly Progress Report via RMS by close of business on the eighth day of the month. </w:t>
      </w:r>
    </w:p>
    <w:p>
      <w:pPr>
        <w:pStyle w:val="Body C"/>
        <w:numPr>
          <w:ilvl w:val="1"/>
          <w:numId w:val="2"/>
        </w:numPr>
        <w:suppressAutoHyphens w:val="1"/>
        <w:spacing w:after="80" w:line="240" w:lineRule="auto"/>
        <w:rPr>
          <w:lang w:val="en-US"/>
        </w:rPr>
      </w:pPr>
      <w:r>
        <w:rPr>
          <w:rtl w:val="0"/>
          <w:lang w:val="en-US"/>
        </w:rPr>
        <w:t>Exposure Hour Report. All Phase will submit complete a monthly summary report of accident experience, exposure, Restricted Duty (RD), and Lost Work Days (LWD)</w:t>
      </w:r>
      <w:r>
        <w:rPr>
          <w:rtl w:val="0"/>
          <w:lang w:val="en-US"/>
        </w:rPr>
        <w:t xml:space="preserve"> </w:t>
      </w:r>
      <w:r>
        <w:rPr>
          <w:rtl w:val="0"/>
          <w:lang w:val="en-US"/>
        </w:rPr>
        <w:t xml:space="preserve">via RMS by close of business on the seventh day of the month. </w:t>
      </w:r>
    </w:p>
    <w:p>
      <w:pPr>
        <w:pStyle w:val="Body C"/>
        <w:numPr>
          <w:ilvl w:val="1"/>
          <w:numId w:val="2"/>
        </w:numPr>
        <w:suppressAutoHyphens w:val="1"/>
        <w:spacing w:after="80" w:line="240" w:lineRule="auto"/>
        <w:rPr>
          <w:lang w:val="en-US"/>
        </w:rPr>
      </w:pPr>
      <w:r>
        <w:rPr>
          <w:rtl w:val="0"/>
          <w:lang w:val="en-US"/>
        </w:rPr>
        <w:t xml:space="preserve">Service Contract Reporting (SCR). All Phase will submit all the information required in the format specified at the following web address: https://www.beta.sam.gov </w:t>
      </w:r>
    </w:p>
    <w:p>
      <w:pPr>
        <w:pStyle w:val="Body C"/>
        <w:numPr>
          <w:ilvl w:val="1"/>
          <w:numId w:val="2"/>
        </w:numPr>
        <w:suppressAutoHyphens w:val="1"/>
        <w:spacing w:line="240" w:lineRule="auto"/>
        <w:rPr>
          <w:lang w:val="en-US"/>
        </w:rPr>
      </w:pPr>
      <w:r>
        <w:rPr>
          <w:rtl w:val="0"/>
          <w:lang w:val="en-US"/>
        </w:rPr>
        <w:t xml:space="preserve">Meeting </w:t>
      </w:r>
      <w:r>
        <w:rPr>
          <w:rtl w:val="0"/>
          <w:lang w:val="en-US"/>
        </w:rPr>
        <w:t>Minutes</w:t>
      </w:r>
      <w:r>
        <w:rPr>
          <w:rtl w:val="0"/>
          <w:lang w:val="en-US"/>
        </w:rPr>
        <w:t xml:space="preserve">. All Phase will take notes and prepare reports for all meetings, to include recurring weekly/monthly meetings and teleconferences. Within five working days after date of meeting, </w:t>
      </w:r>
      <w:r>
        <w:rPr>
          <w:rtl w:val="0"/>
          <w:lang w:val="en-US"/>
        </w:rPr>
        <w:t>our PM</w:t>
      </w:r>
      <w:r>
        <w:rPr>
          <w:rtl w:val="0"/>
          <w:lang w:val="en-US"/>
        </w:rPr>
        <w:t xml:space="preserve"> will prepare meeting notes in typed form and furnish it to the Government PM. </w:t>
      </w:r>
    </w:p>
    <w:p>
      <w:pPr>
        <w:pStyle w:val="Body C"/>
        <w:suppressAutoHyphens w:val="1"/>
        <w:spacing w:line="240" w:lineRule="auto"/>
      </w:pPr>
      <w:r>
        <w:rPr>
          <w:rtl w:val="0"/>
          <w:lang w:val="en-US"/>
        </w:rPr>
        <w:t>All Phase will submit a status report via e-mail every week to the Government Project Manager by close of business on the first working day of each week. We will submit a monthly Progress Report not later than the tenth day of the month.</w:t>
      </w:r>
    </w:p>
    <w:p>
      <w:pPr>
        <w:pStyle w:val="Body C"/>
        <w:suppressAutoHyphens w:val="1"/>
        <w:spacing w:line="240" w:lineRule="auto"/>
      </w:pPr>
      <w:r>
        <w:rPr>
          <w:rStyle w:val="None"/>
          <w:b w:val="1"/>
          <w:bCs w:val="1"/>
          <w:i w:val="1"/>
          <w:iCs w:val="1"/>
          <w:rtl w:val="0"/>
          <w:lang w:val="en-US"/>
        </w:rPr>
        <w:t>Close-out</w:t>
      </w:r>
      <w:r>
        <w:rPr>
          <w:rtl w:val="0"/>
          <w:lang w:val="en-US"/>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r>
        <w:rPr>
          <w:rtl w:val="0"/>
          <w:lang w:val="en-US"/>
        </w:rPr>
        <w:t xml:space="preserve"> </w:t>
      </w:r>
      <w:r>
        <w:rPr>
          <w:rtl w:val="0"/>
          <w:lang w:val="en-US"/>
        </w:rPr>
        <w:t>All Phase will provide a Demolition and Recycling Final Report. The final report will include a detailed description of work performed and lessons learned. A copy of this diversion information will be provided to the designated Installation Environmental POC.</w:t>
      </w:r>
    </w:p>
    <w:p>
      <w:pPr>
        <w:pStyle w:val="Heading 2"/>
        <w:suppressAutoHyphens w:val="1"/>
      </w:pPr>
      <w:bookmarkStart w:name="_Toc8" w:id="9"/>
      <w:r>
        <w:rPr>
          <w:rtl w:val="0"/>
          <w:lang w:val="en-US"/>
        </w:rPr>
        <w:t>Preliminary Schedule</w:t>
      </w:r>
      <w:bookmarkEnd w:id="9"/>
    </w:p>
    <w:p>
      <w:pPr>
        <w:pStyle w:val="Body C"/>
        <w:suppressAutoHyphens w:val="1"/>
      </w:pPr>
      <w:r>
        <w:rPr>
          <w:rtl w:val="0"/>
          <w:lang w:val="en-US"/>
        </w:rPr>
        <w:t>In the attached appendix, we attach our work schedule in the form of a Gantt Chart. The schedule is broken down into four main work phases: (1) Start-up + Mobilization; (2) Hazmat Abatement + Salvage + Demolition, (3) Site Restoration + Demobilization; and (4) Project Close-out. The timeline terminates a full five (5) days fewer than the maximum allowed.</w:t>
      </w:r>
    </w:p>
    <w:p>
      <w:pPr>
        <w:pStyle w:val="Body C"/>
        <w:suppressAutoHyphens w:val="1"/>
      </w:pPr>
      <w:r>
        <w:rPr>
          <w:rtl w:val="0"/>
          <w:lang w:val="en-US"/>
        </w:rPr>
        <w:t>As described previously, All Phase will execute the project using an abatement crew consisting of a Supervisor overseeing laborers. The demolition crew will consist of a Supervisor plus operators and laborers. There is no stated order of priority in the PWS. Following the project startup phase, the base bid structures targeted will be systematically abated and demolished in the order shown in the schedule.</w:t>
      </w:r>
    </w:p>
    <w:p>
      <w:pPr>
        <w:pStyle w:val="Heading 2"/>
        <w:suppressAutoHyphens w:val="1"/>
      </w:pPr>
      <w:bookmarkStart w:name="_Toc9" w:id="10"/>
      <w:r>
        <w:rPr>
          <w:rtl w:val="0"/>
          <w:lang w:val="en-US"/>
        </w:rPr>
        <w:t>Change Orders</w:t>
      </w:r>
      <w:bookmarkEnd w:id="10"/>
    </w:p>
    <w:p>
      <w:pPr>
        <w:pStyle w:val="Body C"/>
        <w:suppressAutoHyphens w:val="1"/>
      </w:pPr>
      <w:r>
        <w:rPr>
          <w:rtl w:val="0"/>
          <w:lang w:val="en-US"/>
        </w:rPr>
        <w:t>By closely reviewing the master schedule on a weekly basis, All Phase will anticipate impacts caused by owner changes, unforeseen site conditions, weather, etc. We have the ability to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suppressAutoHyphens w:val="1"/>
      </w:pPr>
      <w:r>
        <w:rPr>
          <w:rStyle w:val="None"/>
          <w:b w:val="1"/>
          <w:bCs w:val="1"/>
          <w:i w:val="1"/>
          <w:iCs w:val="1"/>
          <w:rtl w:val="0"/>
          <w:lang w:val="en-US"/>
        </w:rPr>
        <w:t>Unforeseen Conditions and Change Orders</w:t>
      </w:r>
      <w:r>
        <w:rPr>
          <w:rtl w:val="0"/>
          <w:lang w:val="en-US"/>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(see Table 3). Our project team will coordinate closely with these experts whenever needed and regularly update the COR on any findings that pertain to unforeseen work conditions. We will factor permitting, wildlife and archeological concerns, etc. into our pre-demo surveys, inspections, and schedules as thoroughly as possible.</w:t>
      </w:r>
    </w:p>
    <w:p>
      <w:pPr>
        <w:pStyle w:val="Body C"/>
        <w:suppressAutoHyphens w:val="1"/>
      </w:pPr>
      <w:r>
        <w:rPr>
          <w:rtl w:val="0"/>
          <w:lang w:val="en-US"/>
        </w:rPr>
        <w:t>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hint="default"/>
          <w:rtl w:val="0"/>
          <w:lang w:val="en-US"/>
        </w:rPr>
        <w:t>’</w:t>
      </w:r>
      <w:r>
        <w:rPr>
          <w:rtl w:val="0"/>
          <w:lang w:val="en-US"/>
        </w:rPr>
        <w:t>s most accurate price estimate for the Change Order. Based on our extensive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1"/>
        <w:suppressAutoHyphens w:val="1"/>
      </w:pPr>
      <w:bookmarkStart w:name="_Toc10" w:id="11"/>
      <w:r>
        <w:rPr>
          <w:rtl w:val="0"/>
          <w:lang w:val="en-US"/>
        </w:rPr>
        <w:t>4. Demolition Approach</w:t>
      </w:r>
      <w:bookmarkEnd w:id="11"/>
    </w:p>
    <w:p>
      <w:pPr>
        <w:pStyle w:val="Body C"/>
        <w:suppressAutoHyphens w:val="1"/>
      </w:pPr>
      <w:r>
        <w:rPr>
          <w:rtl w:val="0"/>
          <w:lang w:val="en-US"/>
        </w:rPr>
        <w:t>In order for the demolition of the buildings go smoothly, we will draft a Project Management Plan (PMP) for the government</w:t>
      </w:r>
      <w:r>
        <w:rPr>
          <w:rStyle w:val="None"/>
          <w:rFonts w:ascii="Arial Unicode MS" w:hAnsi="Arial Unicode MS" w:hint="default"/>
          <w:rtl w:val="0"/>
          <w:lang w:val="en-US"/>
        </w:rPr>
        <w:t>’</w:t>
      </w:r>
      <w:r>
        <w:rPr>
          <w:rtl w:val="0"/>
          <w:lang w:val="en-US"/>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Body C"/>
        <w:suppressAutoHyphens w:val="1"/>
      </w:pPr>
      <w:r>
        <w:rPr>
          <w:rtl w:val="0"/>
          <w:lang w:val="en-US"/>
        </w:rPr>
        <w:t>Demolition</w:t>
      </w:r>
      <w:r>
        <w:rPr>
          <w:rtl w:val="0"/>
          <w:lang w:val="en-US"/>
        </w:rPr>
        <w:t xml:space="preserve"> </w:t>
      </w:r>
      <w:r>
        <w:rPr>
          <w:rtl w:val="0"/>
          <w:lang w:val="en-US"/>
        </w:rPr>
        <w:t>includes</w:t>
      </w:r>
      <w:r>
        <w:rPr>
          <w:rtl w:val="0"/>
          <w:lang w:val="en-US"/>
        </w:rPr>
        <w:t xml:space="preserve"> removal of</w:t>
      </w:r>
      <w:r>
        <w:rPr>
          <w:rStyle w:val="None"/>
          <w:rtl w:val="0"/>
          <w:lang w:val="de-DE"/>
        </w:rPr>
        <w:t> </w:t>
      </w:r>
      <w:r>
        <w:rPr>
          <w:rStyle w:val="None"/>
          <w:rtl w:val="0"/>
          <w:lang w:val="de-DE"/>
        </w:rPr>
        <w:t>i</w:t>
      </w:r>
      <w:r>
        <w:rPr>
          <w:rtl w:val="0"/>
          <w:lang w:val="en-US"/>
        </w:rPr>
        <w:t xml:space="preserve">nterior equipment and machinery whether attached to the structure or free-standing. </w:t>
      </w:r>
      <w:r>
        <w:rPr>
          <w:rtl w:val="0"/>
          <w:lang w:val="en-US"/>
        </w:rPr>
        <w:t xml:space="preserve">All Phase will demolish </w:t>
      </w:r>
      <w:r>
        <w:rPr>
          <w:rtl w:val="0"/>
          <w:lang w:val="en-US"/>
        </w:rPr>
        <w:t xml:space="preserve">xterior pole-mounted lights and other equipment within the boundaries of demolition of the facility perimeter, and any pole or other item that hinders the facility removal process or contributes a safety hazard. The removal of these will be reviewed and accepted by the Owner prior to work. Except where specified or reserved by the Government, all items and objects, materials, and equipment, that are on, in, or within the boundaries of demolition of the facility at the time of mobilization are the property of All Phase will and will be removed. </w:t>
      </w:r>
    </w:p>
    <w:p>
      <w:pPr>
        <w:pStyle w:val="Body C"/>
        <w:suppressAutoHyphens w:val="1"/>
      </w:pPr>
      <w:r>
        <w:rPr>
          <w:rtl w:val="0"/>
          <w:lang w:val="en-US"/>
        </w:rPr>
        <w:t xml:space="preserve">All foundations and other underground features to a minimum depth of four feet below surrounding grade will be removed as part of the demolition requirements. </w:t>
      </w:r>
      <w:r>
        <w:rPr>
          <w:rtl w:val="0"/>
          <w:lang w:val="en-US"/>
        </w:rPr>
        <w:t>Although we don</w:t>
      </w:r>
      <w:r>
        <w:rPr>
          <w:rtl w:val="0"/>
          <w:lang w:val="en-US"/>
        </w:rPr>
        <w:t>’</w:t>
      </w:r>
      <w:r>
        <w:rPr>
          <w:rtl w:val="0"/>
          <w:lang w:val="en-US"/>
        </w:rPr>
        <w:t>t expect any, f</w:t>
      </w:r>
      <w:r>
        <w:rPr>
          <w:rtl w:val="0"/>
          <w:lang w:val="en-US"/>
        </w:rPr>
        <w:t>acilities with basements or swimming pools will have the walls removed to a depth of four feet below surrounding grade, the bottom and remaining sides perforated in numerous locations, and backfilled to match surrounding grade.</w:t>
      </w:r>
      <w:r>
        <w:rPr>
          <w:rtl w:val="0"/>
          <w:lang w:val="en-US"/>
        </w:rPr>
        <w:t xml:space="preserve"> </w:t>
      </w:r>
      <w:r>
        <w:rPr>
          <w:rtl w:val="0"/>
          <w:lang w:val="en-US"/>
        </w:rPr>
        <w:t xml:space="preserve">All Phase will demolish and remove all ancillary items associated with each facility within the limits defined in the Demolition Design documents provided or as otherwise indicated in the PWS. Items may include, but are not limited to, overhead conveyance systems, unused utilities, walkways and sidewalks, utility poles, fencing, equipment pads, loading docks, etc. Satisfactory backfill material will comply with all Federal, State, and Local regulations, but if allowable may be processed cementitious debris or similar backfill material as accepted by the Contracting Officer and accepted by the Installation Environmental POC. </w:t>
      </w:r>
    </w:p>
    <w:p>
      <w:pPr>
        <w:pStyle w:val="Body C"/>
        <w:suppressAutoHyphens w:val="1"/>
      </w:pPr>
      <w:r>
        <w:rPr>
          <w:rtl w:val="0"/>
          <w:lang w:val="en-US"/>
        </w:rPr>
        <w:t xml:space="preserve">Backfill will be placed in lifts not to exceed eight (8) inches in loose thickness and compacted to the density as specified in the Region MATOC Attachment 12 </w:t>
      </w:r>
      <w:r>
        <w:rPr>
          <w:rStyle w:val="None"/>
          <w:rtl w:val="0"/>
          <w:lang w:val="de-DE"/>
        </w:rPr>
        <w:t xml:space="preserve">– </w:t>
      </w:r>
      <w:r>
        <w:rPr>
          <w:rtl w:val="0"/>
          <w:lang w:val="en-US"/>
        </w:rPr>
        <w:t xml:space="preserve">Specification Guide 02221 - Ex-Back-Site. Gradation of stone or cementitious materials used as backfill materials will be two-inch minus aggregate size. The facility footprint will be covered with a four-inch layer of topsoil which will be graded to match the surrounding environment and provide for positive site drainage. </w:t>
      </w:r>
      <w:r>
        <w:rPr>
          <w:rtl w:val="0"/>
          <w:lang w:val="en-US"/>
        </w:rPr>
        <w:t xml:space="preserve"> </w:t>
      </w:r>
      <w:r>
        <w:rPr>
          <w:rtl w:val="0"/>
          <w:lang w:val="en-US"/>
        </w:rPr>
        <w:t>All of the work can be accomplished using an 80K# class excavator with various attachments and skid steers. Little hand work will be required. None of these demolition tasks should prove unusual or difficult.</w:t>
      </w:r>
    </w:p>
    <w:p>
      <w:pPr>
        <w:pStyle w:val="Body C"/>
        <w:suppressAutoHyphens w:val="1"/>
      </w:pPr>
      <w:r>
        <w:rPr>
          <w:rStyle w:val="None"/>
          <w:b w:val="1"/>
          <w:bCs w:val="1"/>
          <w:i w:val="1"/>
          <w:iCs w:val="1"/>
          <w:rtl w:val="0"/>
          <w:lang w:val="en-US"/>
        </w:rPr>
        <w:t>Manpower and Equipment</w:t>
      </w:r>
      <w:r>
        <w:rPr>
          <w:rtl w:val="0"/>
          <w:lang w:val="en-US"/>
        </w:rPr>
        <w:t xml:space="preserve">: Effort required to salvage and recycle usable materials and demolish and restore the site is summarized in Table </w:t>
      </w:r>
      <w:r>
        <w:rPr>
          <w:rtl w:val="0"/>
          <w:lang w:val="en-US"/>
        </w:rPr>
        <w:t>3</w:t>
      </w:r>
      <w:r>
        <w:rPr>
          <w:rtl w:val="0"/>
          <w:lang w:val="en-US"/>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 80K# class demolition excavator, skid steers, and various trucks.</w:t>
      </w:r>
    </w:p>
    <w:p>
      <w:pPr>
        <w:pStyle w:val="Heading 2"/>
        <w:suppressAutoHyphens w:val="1"/>
      </w:pPr>
      <w:bookmarkStart w:name="_Toc11" w:id="12"/>
      <w:r>
        <w:rPr>
          <w:rtl w:val="0"/>
          <w:lang w:val="en-US"/>
        </w:rPr>
        <w:t xml:space="preserve">Table </w:t>
      </w:r>
      <w:r>
        <w:rPr>
          <w:rtl w:val="0"/>
          <w:lang w:val="en-US"/>
        </w:rPr>
        <w:t>3</w:t>
      </w:r>
      <w:r>
        <w:rPr>
          <w:rtl w:val="0"/>
          <w:lang w:val="en-US"/>
        </w:rPr>
        <w:t>. Manpower and Major Equipment Needed</w:t>
      </w:r>
      <w:r>
        <w:drawing>
          <wp:anchor distT="12700" distB="12700" distL="12700" distR="12700" simplePos="0" relativeHeight="251663360" behindDoc="0" locked="0" layoutInCell="1" allowOverlap="1">
            <wp:simplePos x="0" y="0"/>
            <wp:positionH relativeFrom="margin">
              <wp:posOffset>-6350</wp:posOffset>
            </wp:positionH>
            <wp:positionV relativeFrom="line">
              <wp:posOffset>213359</wp:posOffset>
            </wp:positionV>
            <wp:extent cx="5943600" cy="1666781"/>
            <wp:effectExtent l="0" t="0" r="0" b="0"/>
            <wp:wrapTopAndBottom distT="12700" distB="127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9">
                      <a:extLst/>
                    </a:blip>
                    <a:stretch>
                      <a:fillRect/>
                    </a:stretch>
                  </pic:blipFill>
                  <pic:spPr>
                    <a:xfrm>
                      <a:off x="0" y="0"/>
                      <a:ext cx="5943600" cy="1666781"/>
                    </a:xfrm>
                    <a:prstGeom prst="rect">
                      <a:avLst/>
                    </a:prstGeom>
                    <a:ln w="12700" cap="flat">
                      <a:noFill/>
                      <a:miter lim="400000"/>
                    </a:ln>
                    <a:effectLst/>
                  </pic:spPr>
                </pic:pic>
              </a:graphicData>
            </a:graphic>
          </wp:anchor>
        </w:drawing>
      </w:r>
      <w:bookmarkEnd w:id="12"/>
    </w:p>
    <w:p>
      <w:pPr>
        <w:pStyle w:val="Body C"/>
        <w:suppressAutoHyphens w:val="1"/>
      </w:pPr>
    </w:p>
    <w:p>
      <w:pPr>
        <w:pStyle w:val="Heading 1"/>
        <w:suppressAutoHyphens w:val="1"/>
      </w:pPr>
      <w:bookmarkStart w:name="_Toc12" w:id="13"/>
      <w:r>
        <w:rPr>
          <w:rtl w:val="0"/>
          <w:lang w:val="en-US"/>
        </w:rPr>
        <w:t>5. Debris Handling, Waste Diversion, Recycling</w:t>
      </w:r>
      <w:bookmarkEnd w:id="13"/>
    </w:p>
    <w:p>
      <w:pPr>
        <w:pStyle w:val="Body C"/>
        <w:suppressAutoHyphens w:val="1"/>
        <w:spacing w:after="60"/>
      </w:pPr>
      <w:r>
        <w:rPr>
          <w:rtl w:val="0"/>
          <w:lang w:val="en-US"/>
        </w:rPr>
        <w:t>All Phase is fastidious in its implementation of the 3R</w:t>
      </w:r>
      <w:r>
        <w:rPr>
          <w:rStyle w:val="None"/>
          <w:rFonts w:ascii="Arial Unicode MS" w:hAnsi="Arial Unicode MS" w:hint="default"/>
          <w:rtl w:val="0"/>
          <w:lang w:val="en-US"/>
        </w:rPr>
        <w:t>’</w:t>
      </w:r>
      <w:r>
        <w:rPr>
          <w:rtl w:val="0"/>
          <w:lang w:val="en-US"/>
        </w:rPr>
        <w:t>s:</w:t>
      </w:r>
    </w:p>
    <w:p>
      <w:pPr>
        <w:pStyle w:val="Body C"/>
        <w:suppressAutoHyphens w:val="1"/>
        <w:spacing w:after="60"/>
        <w:ind w:left="785"/>
      </w:pPr>
      <w:r>
        <w:rPr>
          <w:rtl w:val="0"/>
          <w:lang w:val="en-US"/>
        </w:rPr>
        <w:t xml:space="preserve">• </w:t>
      </w:r>
      <w:r>
        <w:rPr>
          <w:rtl w:val="0"/>
          <w:lang w:val="en-US"/>
        </w:rPr>
        <w:t>REDUCE: Make every effort to minimize the amount of waste generated</w:t>
      </w:r>
    </w:p>
    <w:p>
      <w:pPr>
        <w:pStyle w:val="Body C"/>
        <w:suppressAutoHyphens w:val="1"/>
        <w:spacing w:after="60"/>
        <w:ind w:left="785"/>
      </w:pPr>
      <w:r>
        <w:rPr>
          <w:rtl w:val="0"/>
          <w:lang w:val="en-US"/>
        </w:rPr>
        <w:t xml:space="preserve">• </w:t>
      </w:r>
      <w:r>
        <w:rPr>
          <w:rtl w:val="0"/>
          <w:lang w:val="en-US"/>
        </w:rPr>
        <w:t>REUSE: Segregate items that can potentially be reused</w:t>
      </w:r>
    </w:p>
    <w:p>
      <w:pPr>
        <w:pStyle w:val="Body C"/>
        <w:numPr>
          <w:ilvl w:val="1"/>
          <w:numId w:val="4"/>
        </w:numPr>
        <w:suppressAutoHyphens w:val="1"/>
        <w:rPr>
          <w:lang w:val="en-US"/>
        </w:rPr>
      </w:pPr>
      <w:r>
        <w:rPr>
          <w:rtl w:val="0"/>
          <w:lang w:val="en-US"/>
        </w:rPr>
        <w:t>RECYCLE: Segregate recyclable items and place them in appropriate containers</w:t>
      </w:r>
    </w:p>
    <w:p>
      <w:pPr>
        <w:pStyle w:val="Body C"/>
        <w:suppressAutoHyphens w:val="1"/>
        <w:spacing w:line="240" w:lineRule="auto"/>
      </w:pPr>
      <w:r>
        <w:rPr>
          <w:rtl w:val="0"/>
          <w:lang w:val="en-US"/>
        </w:rPr>
        <w:t>We understand that t</w:t>
      </w:r>
      <w:r>
        <w:rPr>
          <w:rtl w:val="0"/>
          <w:lang w:val="en-US"/>
        </w:rPr>
        <w:t xml:space="preserve">he minimum diversion goal for this Task Order is 60% by weight. All Phase will manage wastes and debris in accordance with the accepted Waste Management and Diversion Plan. All Phase will recycle materials and submit proof of recycling/diversion in the monthly and final reports. </w:t>
      </w:r>
      <w:r>
        <w:rPr>
          <w:rtl w:val="0"/>
          <w:lang w:val="en-US"/>
        </w:rPr>
        <w:t>We acknowledge that u</w:t>
      </w:r>
      <w:r>
        <w:rPr>
          <w:rtl w:val="0"/>
          <w:lang w:val="en-US"/>
        </w:rPr>
        <w:t xml:space="preserve">se of the material processed for engineering fill, aggregate, or re-constituted concrete or asphaltic pavement constitutes recycling. </w:t>
      </w:r>
    </w:p>
    <w:p>
      <w:pPr>
        <w:pStyle w:val="Body C"/>
        <w:suppressAutoHyphens w:val="1"/>
        <w:spacing w:line="240" w:lineRule="auto"/>
      </w:pPr>
      <w:r>
        <w:rPr>
          <w:rtl w:val="0"/>
          <w:lang w:val="en-US"/>
        </w:rPr>
        <w:t>All Phase will dispose of debris generated during the execution of this work not intended for diversion/re-use/recycling at a commercial disposal facility/landfill that is permitted to accept the type material being disposed. Suitable materials that meet Federal, State, and local standards for re-cycle/re-use may go directly to an identified re-cycling facility, direct sale to the public, direct conveyance to non-profit organizations, or by auction, or any combination. In accordance with all Federal, State, and local regulations, all concrete/asphaltic materials suitable for crushing, reuse, or recycling may be crushed, re-c</w:t>
      </w:r>
      <w:r>
        <w:drawing>
          <wp:anchor distT="152400" distB="152400" distL="152400" distR="152400" simplePos="0" relativeHeight="251665408" behindDoc="0" locked="0" layoutInCell="1" allowOverlap="1">
            <wp:simplePos x="0" y="0"/>
            <wp:positionH relativeFrom="page">
              <wp:posOffset>4089400</wp:posOffset>
            </wp:positionH>
            <wp:positionV relativeFrom="page">
              <wp:posOffset>5447191</wp:posOffset>
            </wp:positionV>
            <wp:extent cx="2972088" cy="3696809"/>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0">
                      <a:extLst/>
                    </a:blip>
                    <a:stretch>
                      <a:fillRect/>
                    </a:stretch>
                  </pic:blipFill>
                  <pic:spPr>
                    <a:xfrm>
                      <a:off x="0" y="0"/>
                      <a:ext cx="2972088" cy="3696809"/>
                    </a:xfrm>
                    <a:prstGeom prst="rect">
                      <a:avLst/>
                    </a:prstGeom>
                    <a:ln w="12700" cap="flat">
                      <a:noFill/>
                      <a:miter lim="400000"/>
                    </a:ln>
                    <a:effectLst/>
                  </pic:spPr>
                </pic:pic>
              </a:graphicData>
            </a:graphic>
          </wp:anchor>
        </w:drawing>
      </w:r>
      <w:r>
        <w:rPr>
          <w:rtl w:val="0"/>
          <w:lang w:val="en-US"/>
        </w:rPr>
        <w:t xml:space="preserve">ycled, or stockpiled at a designated site on the Installation on a temporary basis. All concrete/asphalt materials not used for site restoration must be removed from the Installation by the end of the project schedule. </w:t>
      </w:r>
      <w:r>
        <w:rPr>
          <w:rtl w:val="0"/>
          <w:lang w:val="en-US"/>
        </w:rPr>
        <w:t>All Phase</w:t>
      </w:r>
      <w:r>
        <w:rPr>
          <w:rtl w:val="0"/>
          <w:lang w:val="en-US"/>
        </w:rPr>
        <w:t xml:space="preserve"> will be responsible for any/all air quality permits required for crushing activities. </w:t>
      </w:r>
    </w:p>
    <w:p>
      <w:pPr>
        <w:pStyle w:val="Heading 2"/>
        <w:suppressAutoHyphens w:val="1"/>
        <w:spacing w:after="180"/>
      </w:pPr>
      <w:bookmarkStart w:name="_Toc13" w:id="14"/>
      <w:r>
        <w:rPr>
          <w:rtl w:val="0"/>
          <w:lang w:val="en-US"/>
        </w:rPr>
        <w:t>Debris Handling</w:t>
      </w:r>
      <w:bookmarkEnd w:id="14"/>
    </w:p>
    <w:p>
      <w:pPr>
        <w:pStyle w:val="Body C"/>
        <w:suppressAutoHyphens w:val="1"/>
        <w:spacing w:line="240" w:lineRule="auto"/>
      </w:pPr>
      <w:r>
        <w:rPr>
          <w:rtl w:val="0"/>
          <w:lang w:val="en-US"/>
        </w:rPr>
        <w:t>We will comply with the requirement to provide a waste management and diversion plan as required by the PWS. All concrete, brick, and masonry will be separated from the C&amp;D debris. Disposal will be a last resort only when recycling is not economically practical. All abatement and demolition materials will be exported off site to an appropriate waste management landfill (C&amp;D + ACM).</w:t>
      </w:r>
      <w:r>
        <w:rPr>
          <w:rtl w:val="0"/>
          <w:lang w:val="en-US"/>
        </w:rPr>
        <w:t xml:space="preserve"> </w:t>
      </w:r>
    </w:p>
    <w:p>
      <w:pPr>
        <w:pStyle w:val="Heading 2"/>
        <w:suppressAutoHyphens w:val="1"/>
      </w:pPr>
      <w:bookmarkStart w:name="_Toc14" w:id="15"/>
      <w:r>
        <w:rPr>
          <w:rtl w:val="0"/>
          <w:lang w:val="en-US"/>
        </w:rPr>
        <w:t xml:space="preserve">Table </w:t>
      </w:r>
      <w:r>
        <w:rPr>
          <w:rtl w:val="0"/>
          <w:lang w:val="en-US"/>
        </w:rPr>
        <w:t>4</w:t>
      </w:r>
      <w:r>
        <w:rPr>
          <w:rtl w:val="0"/>
          <w:lang w:val="en-US"/>
        </w:rPr>
        <w:t>. Demolition Waste Recycling and Salvage</w:t>
      </w:r>
      <w:r>
        <w:rPr>
          <w:rtl w:val="0"/>
          <w:lang w:val="en-US"/>
        </w:rPr>
        <w:t xml:space="preserve"> </w:t>
      </w:r>
      <w:bookmarkEnd w:id="15"/>
    </w:p>
    <w:p>
      <w:pPr>
        <w:pStyle w:val="Body C"/>
        <w:suppressAutoHyphens w:val="1"/>
        <w:spacing w:line="240" w:lineRule="auto"/>
      </w:pPr>
    </w:p>
    <w:p>
      <w:pPr>
        <w:pStyle w:val="Body C"/>
        <w:suppressAutoHyphens w:val="1"/>
        <w:spacing w:line="240" w:lineRule="auto"/>
      </w:pPr>
      <w:r>
        <w:rPr>
          <w:rtl w:val="0"/>
          <w:lang w:val="en-US"/>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suppressAutoHyphens w:val="1"/>
        <w:spacing w:after="180"/>
      </w:pPr>
      <w:bookmarkStart w:name="_Toc15" w:id="16"/>
      <w:r>
        <w:rPr>
          <w:rtl w:val="0"/>
          <w:lang w:val="en-US"/>
        </w:rPr>
        <w:t>Waste Diversion and Recycling</w:t>
      </w:r>
      <w:bookmarkEnd w:id="16"/>
    </w:p>
    <w:p>
      <w:pPr>
        <w:pStyle w:val="Body C"/>
        <w:suppressAutoHyphens w:val="1"/>
        <w:spacing w:line="240" w:lineRule="auto"/>
      </w:pPr>
      <w:r>
        <w:rPr>
          <w:rtl w:val="0"/>
          <w:lang w:val="en-US"/>
        </w:rPr>
        <w:t>All Phase</w:t>
      </w:r>
      <w:r>
        <w:rPr>
          <w:rStyle w:val="None"/>
          <w:rFonts w:ascii="Arial Unicode MS" w:hAnsi="Arial Unicode MS" w:hint="default"/>
          <w:rtl w:val="0"/>
          <w:lang w:val="en-US"/>
        </w:rPr>
        <w:t>’</w:t>
      </w:r>
      <w:r>
        <w:rPr>
          <w:rtl w:val="0"/>
          <w:lang w:val="en-US"/>
        </w:rPr>
        <w:t>s intent is to maximize the economic recycling of materials. This maximizes our return on scrap value and minimizes the waste stream of materials that will go to landfill.</w:t>
      </w:r>
    </w:p>
    <w:p>
      <w:pPr>
        <w:pStyle w:val="Body C"/>
        <w:suppressAutoHyphens w:val="1"/>
        <w:spacing w:line="240" w:lineRule="auto"/>
      </w:pPr>
    </w:p>
    <w:p>
      <w:pPr>
        <w:pStyle w:val="Body C"/>
        <w:suppressAutoHyphens w:val="1"/>
        <w:spacing w:line="240" w:lineRule="auto"/>
      </w:pPr>
      <w:r>
        <w:rPr>
          <w:rtl w:val="0"/>
          <w:lang w:val="en-US"/>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suppressAutoHyphens w:val="1"/>
      </w:pPr>
      <w:r>
        <w:rPr>
          <w:rtl w:val="0"/>
          <w:lang w:val="en-US"/>
        </w:rPr>
        <w:t xml:space="preserve">We estimate that </w:t>
      </w:r>
      <w:r>
        <w:rPr>
          <w:rtl w:val="0"/>
          <w:lang w:val="en-US"/>
        </w:rPr>
        <w:t>92</w:t>
      </w:r>
      <w:r>
        <w:rPr>
          <w:rtl w:val="0"/>
          <w:lang w:val="en-US"/>
        </w:rPr>
        <w:t xml:space="preserve">% of the demolition waste material by weight can be recycled as tabulated in Table </w:t>
      </w:r>
      <w:r>
        <w:rPr>
          <w:rtl w:val="0"/>
          <w:lang w:val="en-US"/>
        </w:rPr>
        <w:t>4</w:t>
      </w:r>
      <w:r>
        <w:rPr>
          <w:rtl w:val="0"/>
          <w:lang w:val="en-US"/>
        </w:rPr>
        <w:t>. This should meet the minimum diversion goal for this task order. We project a $</w:t>
      </w:r>
      <w:r>
        <w:rPr>
          <w:rtl w:val="0"/>
          <w:lang w:val="en-US"/>
        </w:rPr>
        <w:t xml:space="preserve">11,200.00 </w:t>
      </w:r>
      <w:r>
        <w:rPr>
          <w:rtl w:val="0"/>
          <w:lang w:val="en-US"/>
        </w:rPr>
        <w:t>salvage credit to the government for all types of scrapped metal.</w:t>
      </w:r>
    </w:p>
    <w:p>
      <w:pPr>
        <w:pStyle w:val="Heading 1"/>
        <w:suppressAutoHyphens w:val="1"/>
      </w:pPr>
      <w:bookmarkStart w:name="_Toc16" w:id="17"/>
      <w:r>
        <w:rPr>
          <w:rtl w:val="0"/>
          <w:lang w:val="en-US"/>
        </w:rPr>
        <w:t>6. Site Security and Safety Approach</w:t>
      </w:r>
      <w:bookmarkEnd w:id="17"/>
    </w:p>
    <w:p>
      <w:pPr>
        <w:pStyle w:val="Body C"/>
        <w:suppressAutoHyphens w:val="1"/>
      </w:pPr>
      <w:r>
        <w:rPr>
          <w:rtl w:val="0"/>
          <w:lang w:val="en-US"/>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conduce an initial site security assessment to verify the conditions as laid out in the RFP. </w:t>
      </w:r>
    </w:p>
    <w:p>
      <w:pPr>
        <w:pStyle w:val="Heading 2"/>
        <w:suppressAutoHyphens w:val="1"/>
      </w:pPr>
      <w:bookmarkStart w:name="_Toc17" w:id="18"/>
      <w:r>
        <w:rPr>
          <w:rtl w:val="0"/>
          <w:lang w:val="en-US"/>
        </w:rPr>
        <w:t>Site Security</w:t>
      </w:r>
      <w:bookmarkEnd w:id="18"/>
    </w:p>
    <w:p>
      <w:pPr>
        <w:pStyle w:val="Body C"/>
        <w:suppressAutoHyphens w:val="1"/>
        <w:spacing w:line="240" w:lineRule="auto"/>
      </w:pPr>
      <w:r>
        <w:rPr>
          <w:rtl w:val="0"/>
          <w:lang w:val="en-US"/>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C"/>
        <w:suppressAutoHyphens w:val="1"/>
        <w:spacing w:line="240" w:lineRule="auto"/>
      </w:pPr>
      <w:r>
        <w:rPr>
          <w:rStyle w:val="None"/>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0"/>
          <w:lang w:val="en-US"/>
        </w:rPr>
        <w:t xml:space="preserve">’ </w:t>
      </w:r>
      <w:r>
        <w:rPr>
          <w:rStyle w:val="None"/>
          <w:rtl w:val="0"/>
          <w:lang w:val="en-US"/>
        </w:rPr>
        <w:t xml:space="preserve">reporting for duty. Training certificates of completion will be delivered to the COR within five calendar days after completion of training. Contractor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p>
    <w:p>
      <w:pPr>
        <w:pStyle w:val="Body C"/>
        <w:suppressAutoHyphens w:val="1"/>
        <w:spacing w:line="240" w:lineRule="auto"/>
      </w:pPr>
      <w:r>
        <w:rPr>
          <w:rtl w:val="0"/>
          <w:lang w:val="en-US"/>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r>
        <w:rPr>
          <w:rtl w:val="0"/>
          <w:lang w:val="en-US"/>
        </w:rPr>
        <w:t xml:space="preserve"> </w:t>
      </w:r>
      <w:r>
        <w:rPr>
          <w:rtl w:val="0"/>
          <w:lang w:val="en-US"/>
        </w:rPr>
        <w:t xml:space="preserve">All Phase will install temporary protective barriers (Fencing) in accordance with EM 385 -1-1, 04.A.04, Fencing and Warning Signs, and remove them when the GDA permits. For this task order properly placarded chain link fencing with secured gates/orange construction fencing is required as a temporary protective barrier. Unless specified or required otherwise chain link fence will be a minimum of six (6) feet in height. </w:t>
      </w:r>
    </w:p>
    <w:p>
      <w:pPr>
        <w:pStyle w:val="Body C"/>
        <w:suppressAutoHyphens w:val="1"/>
        <w:spacing w:line="240" w:lineRule="auto"/>
      </w:pPr>
      <w:r>
        <w:rPr>
          <w:rtl w:val="0"/>
          <w:lang w:val="en-US"/>
        </w:rPr>
        <w:t xml:space="preserve">Optionally, All Phase will execute </w:t>
      </w:r>
      <w:r>
        <w:rPr>
          <w:rtl w:val="0"/>
          <w:lang w:val="en-US"/>
        </w:rPr>
        <w:t xml:space="preserve">Task 5 </w:t>
      </w:r>
      <w:r>
        <w:rPr>
          <w:rtl w:val="0"/>
          <w:lang w:val="en-US"/>
        </w:rPr>
        <w:t xml:space="preserve">– </w:t>
      </w:r>
      <w:r>
        <w:rPr>
          <w:rtl w:val="0"/>
          <w:lang w:val="en-US"/>
        </w:rPr>
        <w:t xml:space="preserve">Option 1 </w:t>
      </w:r>
      <w:r>
        <w:rPr>
          <w:rtl w:val="0"/>
          <w:lang w:val="en-US"/>
        </w:rPr>
        <w:t xml:space="preserve">– </w:t>
      </w:r>
      <w:r>
        <w:rPr>
          <w:rtl w:val="0"/>
          <w:lang w:val="en-US"/>
        </w:rPr>
        <w:t>and m</w:t>
      </w:r>
      <w:r>
        <w:rPr>
          <w:rtl w:val="0"/>
          <w:lang w:val="en-US"/>
        </w:rPr>
        <w:t xml:space="preserve">aintain 24/7 physical security and perimeter fencing at the site for a period of 30-days. This option may be exercised multiple times, to cover a 30, 60, or possibly 90-day period after completion of demolition. </w:t>
      </w:r>
    </w:p>
    <w:p>
      <w:pPr>
        <w:pStyle w:val="Heading 2"/>
        <w:suppressAutoHyphens w:val="1"/>
      </w:pPr>
      <w:bookmarkStart w:name="_Toc18" w:id="19"/>
      <w:r>
        <w:rPr>
          <w:rtl w:val="0"/>
          <w:lang w:val="en-US"/>
        </w:rPr>
        <w:t>Safety Approach</w:t>
      </w:r>
      <w:bookmarkEnd w:id="19"/>
    </w:p>
    <w:p>
      <w:pPr>
        <w:pStyle w:val="Body C"/>
        <w:suppressAutoHyphens w:val="1"/>
        <w:spacing w:line="240" w:lineRule="auto"/>
      </w:pPr>
      <w:r>
        <w:rPr>
          <w:rtl w:val="0"/>
          <w:lang w:val="en-US"/>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suppressAutoHyphens w:val="1"/>
        <w:spacing w:line="240" w:lineRule="auto"/>
        <w:rPr>
          <w:rStyle w:val="None"/>
          <w:lang w:val="en-US"/>
        </w:rPr>
      </w:pPr>
      <w:r>
        <w:rPr>
          <w:rStyle w:val="None"/>
          <w:i w:val="1"/>
          <w:iCs w:val="1"/>
          <w:rtl w:val="0"/>
          <w:lang w:val="en-US"/>
        </w:rPr>
        <w:t>Accident Prevention Plan and Activity Hazard Analysis</w:t>
      </w:r>
      <w:r>
        <w:rPr>
          <w:rStyle w:val="None"/>
          <w:rtl w:val="0"/>
          <w:lang w:val="en-US"/>
        </w:rPr>
        <w:t xml:space="preserve">: All Phase will develop a site-specific health and safety plan embracing accident prevention and identifying potential job site hazards. At the initial site mobilization and prior to starting any work in a given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 xml:space="preserve">needed to remove vessels, towers, equipment, trusses, or other items that require use of a crane or other lifting device. A specific hazard analysis for each location/type of lift will be provided. A site-specific health and safety plan Accident Prevention Plan (APP) will be developed in accordance with U.S. Army Corps of Engineers Health and Safety Requirements, manual EM 385-1-1. The APP will include a complete site-specific Activity Hazard Analysis (AHA) for each activity of the work. In particular, All Phase will develop as part of the APP, specific requirements for any </w:t>
      </w:r>
      <w:r>
        <w:rPr>
          <w:rStyle w:val="None"/>
          <w:rtl w:val="0"/>
          <w:lang w:val="en-US"/>
        </w:rPr>
        <w:t>“</w:t>
      </w:r>
      <w:r>
        <w:rPr>
          <w:rStyle w:val="None"/>
          <w:rtl w:val="0"/>
          <w:lang w:val="en-US"/>
        </w:rPr>
        <w:t>lift plan(s)</w:t>
      </w:r>
      <w:r>
        <w:rPr>
          <w:rStyle w:val="None"/>
          <w:rtl w:val="0"/>
          <w:lang w:val="en-US"/>
        </w:rPr>
        <w:t xml:space="preserve">” </w:t>
      </w:r>
      <w:r>
        <w:rPr>
          <w:rStyle w:val="None"/>
          <w:rtl w:val="0"/>
          <w:lang w:val="en-US"/>
        </w:rPr>
        <w:t xml:space="preserve">needed to remove vessels, equipment, trusses, or other items that require use of a crane or other lifting device which may cause hazards to personnel or structures. </w:t>
      </w:r>
    </w:p>
    <w:p>
      <w:pPr>
        <w:pStyle w:val="Body C"/>
        <w:suppressAutoHyphens w:val="1"/>
        <w:spacing w:line="240" w:lineRule="auto"/>
        <w:rPr>
          <w:rStyle w:val="None"/>
          <w:lang w:val="en-US"/>
        </w:rPr>
      </w:pPr>
      <w:r>
        <w:rPr>
          <w:rStyle w:val="None"/>
          <w:rtl w:val="0"/>
          <w:lang w:val="en-US"/>
        </w:rPr>
        <w:t xml:space="preserve">A specific hazard analysis for each location/type of lift will be provided. Areas adjacent to the areas of demolition may be occupied. Work is to be conducted in such a manner as to minimize migration of dust and odors from the work area and into adjacent occupied spaces which can cause disruption of normal operations. All Phase will provide protection to ensure safety of passage of people around the demolition area and from occupied portions of adjacent buildings and structures. The Site Safety Health Officer (SSHO) and the Quality Control Manager (QCM) will be present on-site at all time while field activities are occurring. The SSHO will comply with all applicable safety criteria and will use their discretion to determine which activities require the SSHO to be present, and where the SSHO will be for day-to-day operations. Our preliminary activity hazard analysis based on our general methods, procedures, and equipment is presented in the Table </w:t>
      </w:r>
      <w:r>
        <w:rPr>
          <w:rStyle w:val="None"/>
          <w:rtl w:val="0"/>
          <w:lang w:val="en-US"/>
        </w:rPr>
        <w:t>5</w:t>
      </w:r>
      <w:r>
        <w:rPr>
          <w:rStyle w:val="None"/>
          <w:rtl w:val="0"/>
          <w:lang w:val="en-US"/>
        </w:rPr>
        <w:t>.</w:t>
      </w:r>
    </w:p>
    <w:p>
      <w:pPr>
        <w:pStyle w:val="Heading 2"/>
        <w:suppressAutoHyphens w:val="1"/>
      </w:pPr>
      <w:bookmarkStart w:name="_Toc19" w:id="20"/>
      <w:r>
        <w:rPr>
          <w:rStyle w:val="None"/>
          <w:rtl w:val="0"/>
          <w:lang w:val="en-US"/>
        </w:rPr>
        <w:t xml:space="preserve">Table </w:t>
      </w:r>
      <w:r>
        <w:rPr>
          <w:rStyle w:val="None"/>
          <w:rtl w:val="0"/>
          <w:lang w:val="en-US"/>
        </w:rPr>
        <w:t>5</w:t>
      </w:r>
      <w:r>
        <w:rPr>
          <w:rStyle w:val="None"/>
          <w:rtl w:val="0"/>
          <w:lang w:val="en-US"/>
        </w:rPr>
        <w:t>. Preliminary Activity Hazard Analysis</w:t>
      </w:r>
      <w:bookmarkEnd w:id="20"/>
    </w:p>
    <w:tbl>
      <w:tblPr>
        <w:tblW w:w="924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00a2ff"/>
        </w:tblPrEx>
        <w:trPr>
          <w:trHeight w:val="305" w:hRule="atLeast"/>
          <w:tblHeader/>
        </w:trPr>
        <w:tc>
          <w:tcPr>
            <w:tcW w:type="dxa" w:w="9241"/>
            <w:gridSpan w:val="2"/>
            <w:tcBorders>
              <w:top w:val="nil"/>
              <w:left w:val="nil"/>
              <w:bottom w:val="single" w:color="000000" w:sz="4" w:space="0" w:shadow="0" w:frame="0"/>
              <w:right w:val="nil"/>
            </w:tcBorders>
            <w:shd w:val="clear" w:color="auto" w:fill="auto"/>
            <w:tcMar>
              <w:top w:type="dxa" w:w="80"/>
              <w:left w:type="dxa" w:w="80"/>
              <w:bottom w:type="dxa" w:w="80"/>
              <w:right w:type="dxa" w:w="80"/>
            </w:tcMar>
            <w:vAlign w:val="center"/>
          </w:tcPr>
          <w:p/>
        </w:tc>
      </w:tr>
      <w:tr>
        <w:tblPrEx>
          <w:shd w:val="clear" w:color="auto" w:fill="00a2ff"/>
        </w:tblPrEx>
        <w:trPr>
          <w:trHeight w:val="21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will be operated on compacted ground. Crane mats will be used where applicable. Never overload or exceed the capacity of any crane or boom lift. Crane picks will be pre-engineered. Operators will wear seat belts when operating equipment.</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will be identified and tested. Utilities that must remain live during work will be marked and protected as required. Utilities that are to be disconnected will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will be performed prior to any hot work in any area. Charged fire hoses and fire extinguishers will be available at all active work areas. No lines will be torch cut without first cold cutting the end and inspecting it. ABC type fire extinguishers will be readily available. No smoking in work area.</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on a daily basis.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rStyle w:val="None"/>
                <w:sz w:val="18"/>
                <w:szCs w:val="18"/>
                <w:rtl w:val="0"/>
              </w:rPr>
            </w:pPr>
            <w:r>
              <w:rPr>
                <w:rStyle w:val="None"/>
                <w:sz w:val="18"/>
                <w:szCs w:val="18"/>
                <w:rtl w:val="0"/>
                <w:lang w:val="en-US"/>
              </w:rPr>
              <w:t>capable of maintaining personal exposure below 85 dB(A) (ear 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in close proximity to machines or using other equipment that creates a noise hazard.</w:t>
            </w:r>
          </w:p>
        </w:tc>
      </w:tr>
      <w:tr>
        <w:tblPrEx>
          <w:shd w:val="clear" w:color="auto" w:fill="cadfff"/>
        </w:tblPrEx>
        <w:trPr>
          <w:trHeight w:val="8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will be posted at all accesses to job Sites. Good housekeeping and hygiene practices. Medical surveillance. Monitoring of air quality within the project location and personal exposure.</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equipment.All equipment will be equipped with backup alarms. Drivers will keep all workers on foot in sight at all times, if you lose sight of someone, Stop!</w:t>
            </w:r>
          </w:p>
        </w:tc>
      </w:tr>
      <w:tr>
        <w:tblPrEx>
          <w:shd w:val="clear" w:color="auto" w:fill="cadfff"/>
        </w:tblPrEx>
        <w:trPr>
          <w:trHeight w:val="10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will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will be adhered to and work will be continually inspected by the on-site competent person to continually assess the stability of the structure.</w:t>
            </w:r>
          </w:p>
        </w:tc>
      </w:tr>
      <w:tr>
        <w:tblPrEx>
          <w:shd w:val="clear" w:color="auto" w:fill="cadfff"/>
        </w:tblPrEx>
        <w:trPr>
          <w:trHeight w:val="61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Body C"/>
        <w:widowControl w:val="0"/>
        <w:suppressAutoHyphens w:val="1"/>
        <w:spacing w:line="240" w:lineRule="auto"/>
        <w:ind w:left="108" w:hanging="108"/>
      </w:pPr>
    </w:p>
    <w:p>
      <w:pPr>
        <w:pStyle w:val="Body C"/>
        <w:suppressAutoHyphens w:val="1"/>
        <w:spacing w:line="240" w:lineRule="auto"/>
      </w:pPr>
      <w:r>
        <w:rPr>
          <w:rStyle w:val="None"/>
          <w:b w:val="1"/>
          <w:bCs w:val="1"/>
          <w:i w:val="1"/>
          <w:iCs w:val="1"/>
          <w:rtl w:val="0"/>
          <w:lang w:val="en-US"/>
        </w:rPr>
        <w:t>General Site Safety Approach</w:t>
      </w:r>
      <w:r>
        <w:rPr>
          <w:rtl w:val="0"/>
          <w:lang w:val="en-US"/>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Nevada Department of Environmental Protection. We will make sure all abatement workers</w:t>
      </w:r>
      <w:r>
        <w:rPr>
          <w:rStyle w:val="None"/>
          <w:rFonts w:ascii="Arial Unicode MS" w:hAnsi="Arial Unicode MS" w:hint="default"/>
          <w:rtl w:val="0"/>
          <w:lang w:val="en-US"/>
        </w:rPr>
        <w:t xml:space="preserve">’ </w:t>
      </w:r>
      <w:r>
        <w:rPr>
          <w:rtl w:val="0"/>
          <w:lang w:val="en-US"/>
        </w:rPr>
        <w:t>medical records, refresher training, EPA Training certificates, fitness tests, and certificate of worker acknowledgements are up to date.</w:t>
      </w:r>
    </w:p>
    <w:p>
      <w:pPr>
        <w:pStyle w:val="Body C"/>
        <w:suppressAutoHyphens w:val="1"/>
        <w:spacing w:line="240" w:lineRule="auto"/>
      </w:pPr>
      <w:r>
        <w:rPr>
          <w:rStyle w:val="None"/>
          <w:b w:val="1"/>
          <w:bCs w:val="1"/>
          <w:i w:val="1"/>
          <w:iCs w:val="1"/>
          <w:rtl w:val="0"/>
          <w:lang w:val="en-US"/>
        </w:rPr>
        <w:t>Safety Training</w:t>
      </w:r>
      <w:r>
        <w:rPr>
          <w:rStyle w:val="None"/>
          <w:rtl w:val="0"/>
          <w:lang w:val="en-US"/>
        </w:rPr>
        <w:t>: All Phase employees are given an orientation program on Health and Safety Hazards associated with their particular aspect of employment. All employees are also given specific training as to hazardous materials that may be encountered,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w:t>
      </w:r>
    </w:p>
    <w:p>
      <w:pPr>
        <w:pStyle w:val="Body C"/>
        <w:suppressAutoHyphens w:val="1"/>
        <w:spacing w:line="240" w:lineRule="auto"/>
      </w:pPr>
      <w:r>
        <w:rPr>
          <w:rStyle w:val="None"/>
          <w:b w:val="1"/>
          <w:bCs w:val="1"/>
          <w:i w:val="1"/>
          <w:iCs w:val="1"/>
          <w:rtl w:val="0"/>
          <w:lang w:val="en-US"/>
        </w:rPr>
        <w:t>Equipment Safety</w:t>
      </w:r>
      <w:r>
        <w:rPr>
          <w:rStyle w:val="None"/>
          <w:rtl w:val="0"/>
          <w:lang w:val="en-US"/>
        </w:rPr>
        <w:t xml:space="preserve">: We ensure that all operating equipment and tools have guards that meet the requirements stipulated by Army safety regulations. The CQC Officer will designate two individuals to maintain an </w:t>
      </w:r>
      <w:r>
        <w:rPr>
          <w:rStyle w:val="None"/>
          <w:rFonts w:ascii="Arial Unicode MS" w:hAnsi="Arial Unicode MS" w:hint="default"/>
          <w:rtl w:val="1"/>
          <w:lang w:val="ar-SA" w:bidi="ar-SA"/>
        </w:rPr>
        <w:t>“</w:t>
      </w:r>
      <w:r>
        <w:rPr>
          <w:rStyle w:val="None"/>
          <w:rtl w:val="0"/>
          <w:lang w:val="en-US"/>
        </w:rPr>
        <w:t>Inspection and Maintenance Schedule</w:t>
      </w:r>
      <w:r>
        <w:rPr>
          <w:rStyle w:val="None"/>
          <w:rtl w:val="0"/>
          <w:lang w:val="en-US"/>
        </w:rPr>
        <w:t xml:space="preserve">” </w:t>
      </w:r>
      <w:r>
        <w:rPr>
          <w:rStyle w:val="None"/>
          <w:rtl w:val="0"/>
          <w:lang w:val="en-US"/>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suppressAutoHyphens w:val="1"/>
        <w:spacing w:line="240" w:lineRule="auto"/>
      </w:pPr>
      <w:r>
        <w:rPr>
          <w:rStyle w:val="None"/>
          <w:b w:val="1"/>
          <w:bCs w:val="1"/>
          <w:i w:val="1"/>
          <w:iCs w:val="1"/>
          <w:rtl w:val="0"/>
          <w:lang w:val="en-US"/>
        </w:rPr>
        <w:t>Safety Inspections</w:t>
      </w:r>
      <w:r>
        <w:rPr>
          <w:rtl w:val="0"/>
          <w:lang w:val="en-US"/>
        </w:rPr>
        <w:t>: The Job-Site Superintendent will make a daily informal safety inspection of work areas and equipment. Any violations will be corrected immediately, or reported to the Program Manager and COR for necessary action. Compliance in the use of personal protective clothing and equipment is included in the daily inspection.</w:t>
      </w:r>
    </w:p>
    <w:p>
      <w:pPr>
        <w:pStyle w:val="Body C"/>
        <w:suppressAutoHyphens w:val="1"/>
        <w:spacing w:line="240" w:lineRule="auto"/>
      </w:pPr>
      <w:r>
        <w:rPr>
          <w:rtl w:val="0"/>
          <w:lang w:val="en-US"/>
        </w:rPr>
        <w:t>The SSHO will conduct a formal monthly Safety and Health Survey, to include:</w:t>
      </w:r>
      <w:r>
        <w:rPr>
          <w:rtl w:val="0"/>
          <w:lang w:val="en-US"/>
        </w:rPr>
        <w:t xml:space="preserve"> </w:t>
      </w:r>
      <w:r>
        <w:rPr>
          <w:rtl w:val="0"/>
          <w:lang w:val="en-US"/>
        </w:rPr>
        <w:t>Inspecting, locating, and correcting all unsafe conditions</w:t>
      </w:r>
      <w:r>
        <w:rPr>
          <w:rtl w:val="0"/>
          <w:lang w:val="en-US"/>
        </w:rPr>
        <w:t xml:space="preserve">; and, </w:t>
      </w:r>
      <w:r>
        <w:rPr>
          <w:rtl w:val="0"/>
          <w:lang w:val="en-US"/>
        </w:rPr>
        <w:t>Ensuring that all signs, traffic markings, equipment, machinery, are marked and painted to identify use and hazard. Colors and marking will conform to OSHA regulations.</w:t>
      </w:r>
    </w:p>
    <w:p>
      <w:pPr>
        <w:pStyle w:val="Body C"/>
        <w:suppressAutoHyphens w:val="1"/>
        <w:spacing w:line="240" w:lineRule="auto"/>
      </w:pPr>
      <w:r>
        <w:rPr>
          <w:rStyle w:val="None"/>
          <w:b w:val="1"/>
          <w:bCs w:val="1"/>
          <w:i w:val="1"/>
          <w:iCs w:val="1"/>
          <w:rtl w:val="0"/>
          <w:lang w:val="en-US"/>
        </w:rPr>
        <w:t>Monitoring</w:t>
      </w:r>
      <w:r>
        <w:rPr>
          <w:rtl w:val="0"/>
          <w:lang w:val="en-US"/>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C"/>
        <w:suppressAutoHyphens w:val="1"/>
        <w:spacing w:line="240" w:lineRule="auto"/>
      </w:pPr>
      <w:r>
        <w:rPr>
          <w:rStyle w:val="None"/>
          <w:b w:val="1"/>
          <w:bCs w:val="1"/>
          <w:i w:val="1"/>
          <w:iCs w:val="1"/>
          <w:rtl w:val="0"/>
          <w:lang w:val="en-US"/>
        </w:rPr>
        <w:t>Accident Reporting and Record Keeping</w:t>
      </w:r>
      <w:r>
        <w:rPr>
          <w:rtl w:val="0"/>
          <w:lang w:val="en-US"/>
        </w:rPr>
        <w:t>: On the job site, our Job-Site Superintendent will be responsible for recording and reporting all accident exposure and experience, including sub-contractors, incidental to the work. At a minimum, these records will include exposure work-hours and a log of occupational injuries and illnesses in accordance with OSHA and specific agency requirements. All injuries and diagnosed occupational illnesses that result in a lost work 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Heading 1"/>
        <w:suppressAutoHyphens w:val="1"/>
      </w:pPr>
      <w:bookmarkStart w:name="_Toc20" w:id="21"/>
      <w:r>
        <w:rPr>
          <w:rtl w:val="0"/>
          <w:lang w:val="en-US"/>
        </w:rPr>
        <w:t>7. Site Restoration</w:t>
      </w:r>
      <w:bookmarkEnd w:id="21"/>
    </w:p>
    <w:p>
      <w:pPr>
        <w:pStyle w:val="Body C"/>
        <w:suppressAutoHyphens w:val="1"/>
      </w:pPr>
      <w:r>
        <w:rPr>
          <w:rtl w:val="0"/>
          <w:lang w:val="en-US"/>
        </w:rPr>
        <w:t xml:space="preserve">Following the removal of a facility, All Phase will clean and restore the area as indicated. Minimum specifications for backfill and site restoration can be found the Region MATOC Attachment 12 </w:t>
      </w:r>
      <w:r>
        <w:rPr>
          <w:rStyle w:val="None"/>
          <w:rtl w:val="0"/>
          <w:lang w:val="de-DE"/>
        </w:rPr>
        <w:t xml:space="preserve">– </w:t>
      </w:r>
      <w:r>
        <w:rPr>
          <w:rtl w:val="0"/>
          <w:lang w:val="en-US"/>
        </w:rPr>
        <w:t>Specification Guide 02221 - Ex-Back-Site. Compaction will meet the specifications for backfill of soils. All Phase will blend and grade the backfill soils into the surrounding grade to ensure that there is no ponding and to provide positive drainage. All Phase will is responsible for management of all permitted controls until the permits are closed out and the site is accepted by the landholder. Any damage caused by All Phase will such as, but not limited to, roadways, parking areas, mechanical equipment, etc.</w:t>
      </w:r>
      <w:r>
        <w:rPr>
          <w:rtl w:val="0"/>
          <w:lang w:val="en-US"/>
        </w:rPr>
        <w:t xml:space="preserve">, </w:t>
      </w:r>
      <w:r>
        <w:rPr>
          <w:rtl w:val="0"/>
          <w:lang w:val="en-US"/>
        </w:rPr>
        <w:t>will be All Phase will</w:t>
      </w:r>
      <w:r>
        <w:rPr>
          <w:rStyle w:val="None"/>
          <w:rFonts w:ascii="Arial Unicode MS" w:hAnsi="Arial Unicode MS" w:hint="default"/>
          <w:rtl w:val="0"/>
          <w:lang w:val="de-DE"/>
        </w:rPr>
        <w:t>’</w:t>
      </w:r>
      <w:r>
        <w:rPr>
          <w:rtl w:val="0"/>
          <w:lang w:val="en-US"/>
        </w:rPr>
        <w:t xml:space="preserve">s responsibility to repair back to original condition at no cost to the government. Final Site Restoration for these structures will be Grass. It may be possible that Site Restoration requirements may be modified due to future USACE Construction. However, the SWPPP must still be obtained, and subsequently closed for this project, thus some Site Restoration may be required to close the SWPPP. </w:t>
      </w:r>
    </w:p>
    <w:p>
      <w:pPr>
        <w:pStyle w:val="Body C"/>
        <w:suppressAutoHyphens w:val="1"/>
      </w:pPr>
      <w:r>
        <w:rPr>
          <w:rtl w:val="0"/>
          <w:lang w:val="en-US"/>
        </w:rPr>
        <w:t xml:space="preserve">Site restoration for the base bid is scheduled to take place </w:t>
      </w:r>
      <w:r>
        <w:rPr>
          <w:rtl w:val="0"/>
          <w:lang w:val="en-US"/>
        </w:rPr>
        <w:t>at the conclusion of demolition</w:t>
      </w:r>
      <w:r>
        <w:rPr>
          <w:rtl w:val="0"/>
          <w:lang w:val="en-US"/>
        </w:rPr>
        <w:t>. We will coordinate with the government to access fill material needed for this project. Fill and topsoil will be imported from a local vendor. Clean 2</w:t>
      </w:r>
      <w:r>
        <w:rPr>
          <w:rtl w:val="0"/>
          <w:lang w:val="en-US"/>
        </w:rPr>
        <w:t xml:space="preserve">” </w:t>
      </w:r>
      <w:r>
        <w:rPr>
          <w:rtl w:val="0"/>
          <w:lang w:val="en-US"/>
        </w:rPr>
        <w:t>minus concrete will be acceptable as fill.</w:t>
      </w:r>
      <w:r>
        <w:rPr>
          <w:rtl w:val="0"/>
          <w:lang w:val="en-US"/>
        </w:rPr>
        <w:t xml:space="preserve"> </w:t>
      </w:r>
      <w:r>
        <w:rPr>
          <w:rtl w:val="0"/>
          <w:lang w:val="en-US"/>
        </w:rPr>
        <w:t>Soils will be blended and graded to match the surrounding area with positive drainage and no ponding of water. Soil erosion blankets will be used on steep grades to meet government requirements at all times.</w:t>
      </w:r>
    </w:p>
    <w:p>
      <w:pPr>
        <w:pStyle w:val="Heading 1"/>
        <w:suppressAutoHyphens w:val="1"/>
      </w:pPr>
      <w:bookmarkStart w:name="_Toc21" w:id="22"/>
      <w:r>
        <w:rPr>
          <w:rtl w:val="0"/>
          <w:lang w:val="en-US"/>
        </w:rPr>
        <w:t>8. Key Personnel</w:t>
      </w:r>
      <w:bookmarkEnd w:id="22"/>
    </w:p>
    <w:p>
      <w:pPr>
        <w:pStyle w:val="Body C"/>
        <w:suppressAutoHyphens w:val="1"/>
      </w:pPr>
      <w:r>
        <w:rPr>
          <w:rStyle w:val="None"/>
          <w:rtl w:val="0"/>
          <w:lang w:val="en-US"/>
        </w:rPr>
        <w:t xml:space="preserve">Having scoped this project based on our extensive experience with similar efforts, All Phase is assigning the following Key Personnel, shown in Table </w:t>
      </w:r>
      <w:r>
        <w:rPr>
          <w:rStyle w:val="None"/>
          <w:rtl w:val="0"/>
          <w:lang w:val="en-US"/>
        </w:rPr>
        <w:t>6</w:t>
      </w:r>
      <w:r>
        <w:rPr>
          <w:rStyle w:val="None"/>
          <w:rtl w:val="0"/>
          <w:lang w:val="en-US"/>
        </w:rPr>
        <w:t>.</w:t>
      </w:r>
    </w:p>
    <w:tbl>
      <w:tblPr>
        <w:tblW w:w="9080" w:type="dxa"/>
        <w:jc w:val="left"/>
        <w:tblInd w:w="108"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2704"/>
        <w:gridCol w:w="6376"/>
      </w:tblGrid>
      <w:tr>
        <w:tblPrEx>
          <w:shd w:val="clear" w:color="auto" w:fill="auto"/>
        </w:tblPrEx>
        <w:trPr>
          <w:trHeight w:val="275" w:hRule="atLeast"/>
        </w:trPr>
        <w:tc>
          <w:tcPr>
            <w:tcW w:type="dxa" w:w="270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0"/>
              <w:left w:type="dxa" w:w="40"/>
              <w:bottom w:type="dxa" w:w="40"/>
              <w:right w:type="dxa" w:w="40"/>
            </w:tcMar>
            <w:vAlign w:val="bottom"/>
          </w:tcPr>
          <w:p>
            <w:pPr>
              <w:pStyle w:val="Table Style 2"/>
            </w:pPr>
            <w:r>
              <w:rPr>
                <w:rFonts w:ascii="Times New Roman" w:hAnsi="Times New Roman"/>
                <w:b w:val="1"/>
                <w:bCs w:val="1"/>
                <w:rtl w:val="0"/>
              </w:rPr>
              <w:t>Project Manager</w:t>
            </w:r>
          </w:p>
        </w:tc>
        <w:tc>
          <w:tcPr>
            <w:tcW w:type="dxa" w:w="6375"/>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Lind, Eric</w:t>
            </w:r>
          </w:p>
        </w:tc>
      </w:tr>
      <w:tr>
        <w:tblPrEx>
          <w:shd w:val="clear" w:color="auto" w:fill="auto"/>
        </w:tblPrEx>
        <w:trPr>
          <w:trHeight w:val="275" w:hRule="atLeast"/>
        </w:trPr>
        <w:tc>
          <w:tcPr>
            <w:tcW w:type="dxa" w:w="270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0"/>
              <w:left w:type="dxa" w:w="40"/>
              <w:bottom w:type="dxa" w:w="40"/>
              <w:right w:type="dxa" w:w="40"/>
            </w:tcMar>
            <w:vAlign w:val="bottom"/>
          </w:tcPr>
          <w:p>
            <w:pPr>
              <w:pStyle w:val="Table Style 2"/>
            </w:pPr>
            <w:r>
              <w:rPr>
                <w:rFonts w:ascii="Times New Roman" w:hAnsi="Times New Roman"/>
                <w:b w:val="1"/>
                <w:bCs w:val="1"/>
                <w:rtl w:val="0"/>
              </w:rPr>
              <w:t>Program Manager</w:t>
            </w:r>
          </w:p>
        </w:tc>
        <w:tc>
          <w:tcPr>
            <w:tcW w:type="dxa" w:w="6375"/>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Newman, Eric</w:t>
            </w:r>
          </w:p>
        </w:tc>
      </w:tr>
      <w:tr>
        <w:tblPrEx>
          <w:shd w:val="clear" w:color="auto" w:fill="auto"/>
        </w:tblPrEx>
        <w:trPr>
          <w:trHeight w:val="275" w:hRule="atLeast"/>
        </w:trPr>
        <w:tc>
          <w:tcPr>
            <w:tcW w:type="dxa" w:w="270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0"/>
              <w:left w:type="dxa" w:w="40"/>
              <w:bottom w:type="dxa" w:w="40"/>
              <w:right w:type="dxa" w:w="40"/>
            </w:tcMar>
            <w:vAlign w:val="bottom"/>
          </w:tcPr>
          <w:p>
            <w:pPr>
              <w:pStyle w:val="Table Style 2"/>
            </w:pPr>
            <w:r>
              <w:rPr>
                <w:rFonts w:ascii="Times New Roman" w:hAnsi="Times New Roman"/>
                <w:b w:val="1"/>
                <w:bCs w:val="1"/>
                <w:rtl w:val="0"/>
              </w:rPr>
              <w:t>Superintendent</w:t>
            </w:r>
          </w:p>
        </w:tc>
        <w:tc>
          <w:tcPr>
            <w:tcW w:type="dxa" w:w="6375"/>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Luyando, William</w:t>
            </w:r>
          </w:p>
        </w:tc>
      </w:tr>
      <w:tr>
        <w:tblPrEx>
          <w:shd w:val="clear" w:color="auto" w:fill="auto"/>
        </w:tblPrEx>
        <w:trPr>
          <w:trHeight w:val="275" w:hRule="atLeast"/>
        </w:trPr>
        <w:tc>
          <w:tcPr>
            <w:tcW w:type="dxa" w:w="270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0"/>
              <w:left w:type="dxa" w:w="40"/>
              <w:bottom w:type="dxa" w:w="40"/>
              <w:right w:type="dxa" w:w="40"/>
            </w:tcMar>
            <w:vAlign w:val="bottom"/>
          </w:tcPr>
          <w:p>
            <w:pPr>
              <w:pStyle w:val="Table Style 2"/>
            </w:pPr>
            <w:r>
              <w:rPr>
                <w:rFonts w:ascii="Times New Roman" w:hAnsi="Times New Roman"/>
                <w:b w:val="1"/>
                <w:bCs w:val="1"/>
                <w:rtl w:val="0"/>
              </w:rPr>
              <w:t>Quality Control Manager</w:t>
            </w:r>
          </w:p>
        </w:tc>
        <w:tc>
          <w:tcPr>
            <w:tcW w:type="dxa" w:w="6375"/>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lang w:val="it-IT"/>
              </w:rPr>
              <w:t>Soto, Alberto</w:t>
            </w:r>
            <w:r>
              <w:rPr>
                <w:rFonts w:ascii="Times New Roman" w:hAnsi="Times New Roman"/>
                <w:rtl w:val="0"/>
                <w:lang w:val="en-US"/>
              </w:rPr>
              <w:t xml:space="preserve"> </w:t>
            </w:r>
            <w:r>
              <w:rPr>
                <w:rStyle w:val="None"/>
                <w:rFonts w:ascii="Times New Roman" w:hAnsi="Times New Roman"/>
                <w:rtl w:val="0"/>
                <w:lang w:val="en-US"/>
              </w:rPr>
              <w:t>(dual hat)</w:t>
            </w:r>
          </w:p>
        </w:tc>
      </w:tr>
      <w:tr>
        <w:tblPrEx>
          <w:shd w:val="clear" w:color="auto" w:fill="auto"/>
        </w:tblPrEx>
        <w:trPr>
          <w:trHeight w:val="275" w:hRule="atLeast"/>
        </w:trPr>
        <w:tc>
          <w:tcPr>
            <w:tcW w:type="dxa" w:w="270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0"/>
              <w:left w:type="dxa" w:w="40"/>
              <w:bottom w:type="dxa" w:w="40"/>
              <w:right w:type="dxa" w:w="40"/>
            </w:tcMar>
            <w:vAlign w:val="bottom"/>
          </w:tcPr>
          <w:p>
            <w:pPr>
              <w:pStyle w:val="Table Style 2"/>
            </w:pPr>
            <w:r>
              <w:rPr>
                <w:rFonts w:ascii="Times New Roman" w:hAnsi="Times New Roman"/>
                <w:b w:val="1"/>
                <w:bCs w:val="1"/>
                <w:rtl w:val="0"/>
              </w:rPr>
              <w:t>Safety Officer</w:t>
            </w:r>
          </w:p>
        </w:tc>
        <w:tc>
          <w:tcPr>
            <w:tcW w:type="dxa" w:w="6375"/>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lang w:val="it-IT"/>
              </w:rPr>
              <w:t>Soto, Alberto</w:t>
            </w:r>
            <w:r>
              <w:rPr>
                <w:rFonts w:ascii="Times New Roman" w:hAnsi="Times New Roman"/>
                <w:rtl w:val="0"/>
                <w:lang w:val="en-US"/>
              </w:rPr>
              <w:t xml:space="preserve"> </w:t>
            </w:r>
            <w:r>
              <w:rPr>
                <w:rStyle w:val="None"/>
                <w:rFonts w:ascii="Times New Roman" w:hAnsi="Times New Roman"/>
                <w:rtl w:val="0"/>
                <w:lang w:val="en-US"/>
              </w:rPr>
              <w:t>(dual hat)</w:t>
            </w:r>
          </w:p>
        </w:tc>
      </w:tr>
      <w:tr>
        <w:tblPrEx>
          <w:shd w:val="clear" w:color="auto" w:fill="auto"/>
        </w:tblPrEx>
        <w:trPr>
          <w:trHeight w:val="275" w:hRule="atLeast"/>
        </w:trPr>
        <w:tc>
          <w:tcPr>
            <w:tcW w:type="dxa" w:w="2704"/>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auto"/>
            <w:tcMar>
              <w:top w:type="dxa" w:w="0"/>
              <w:left w:type="dxa" w:w="40"/>
              <w:bottom w:type="dxa" w:w="40"/>
              <w:right w:type="dxa" w:w="40"/>
            </w:tcMar>
            <w:vAlign w:val="bottom"/>
          </w:tcPr>
          <w:p>
            <w:pPr>
              <w:pStyle w:val="Table Style 2"/>
            </w:pPr>
            <w:r>
              <w:rPr>
                <w:rFonts w:ascii="Times New Roman" w:hAnsi="Times New Roman"/>
                <w:b w:val="1"/>
                <w:bCs w:val="1"/>
                <w:rtl w:val="0"/>
              </w:rPr>
              <w:t>Clerk</w:t>
            </w:r>
          </w:p>
        </w:tc>
        <w:tc>
          <w:tcPr>
            <w:tcW w:type="dxa" w:w="6375"/>
            <w:tcBorders>
              <w:top w:val="single" w:color="aaaaaa" w:sz="6" w:space="0" w:shadow="0" w:frame="0"/>
              <w:left w:val="single" w:color="aaaaaa" w:sz="6" w:space="0" w:shadow="0" w:frame="0"/>
              <w:bottom w:val="single" w:color="aaaaaa" w:sz="6" w:space="0" w:shadow="0" w:frame="0"/>
              <w:right w:val="single" w:color="aaaaaa" w:sz="6" w:space="0" w:shadow="0" w:frame="0"/>
            </w:tcBorders>
            <w:shd w:val="clear" w:color="auto" w:fill="ffffff"/>
            <w:tcMar>
              <w:top w:type="dxa" w:w="0"/>
              <w:left w:type="dxa" w:w="40"/>
              <w:bottom w:type="dxa" w:w="40"/>
              <w:right w:type="dxa" w:w="40"/>
            </w:tcMar>
            <w:vAlign w:val="bottom"/>
          </w:tcPr>
          <w:p>
            <w:pPr>
              <w:pStyle w:val="Table Style 2"/>
            </w:pPr>
            <w:r>
              <w:rPr>
                <w:rFonts w:ascii="Times New Roman" w:hAnsi="Times New Roman"/>
                <w:rtl w:val="0"/>
              </w:rPr>
              <w:t>Osorio, Clementina D</w:t>
            </w:r>
          </w:p>
        </w:tc>
      </w:tr>
    </w:tbl>
    <w:p>
      <w:pPr>
        <w:pStyle w:val="Heading 2"/>
        <w:keepNext w:val="0"/>
        <w:widowControl w:val="0"/>
        <w:suppressAutoHyphens w:val="1"/>
      </w:pPr>
      <w:bookmarkStart w:name="_Toc22" w:id="23"/>
      <w:r>
        <w:rPr>
          <w:rStyle w:val="None"/>
          <w:rtl w:val="0"/>
          <w:lang w:val="en-US"/>
        </w:rPr>
        <w:t xml:space="preserve">Table </w:t>
      </w:r>
      <w:r>
        <w:rPr>
          <w:rStyle w:val="None"/>
          <w:rtl w:val="0"/>
          <w:lang w:val="en-US"/>
        </w:rPr>
        <w:t>6</w:t>
      </w:r>
      <w:r>
        <w:rPr>
          <w:rStyle w:val="None"/>
          <w:rtl w:val="0"/>
          <w:lang w:val="en-US"/>
        </w:rPr>
        <w:t>. Key Personnel to be Assigned</w:t>
      </w:r>
      <w:bookmarkEnd w:id="23"/>
    </w:p>
    <w:p>
      <w:pPr>
        <w:pStyle w:val="Body C"/>
        <w:suppressAutoHyphens w:val="1"/>
      </w:pPr>
    </w:p>
    <w:p>
      <w:pPr>
        <w:pStyle w:val="Body C"/>
        <w:suppressAutoHyphens w:val="1"/>
      </w:pPr>
      <w:r>
        <w:rPr>
          <w:rtl w:val="0"/>
          <w:lang w:val="en-US"/>
        </w:rPr>
        <w:t xml:space="preserve">The </w:t>
      </w:r>
      <w:r>
        <w:rPr>
          <w:rtl w:val="0"/>
          <w:lang w:val="en-US"/>
        </w:rPr>
        <w:t xml:space="preserve">All Phase PM will be available on a daily (pre-scheduled) basis to meet with USACE and Installation representatives. </w:t>
      </w:r>
      <w:r>
        <w:rPr>
          <w:rtl w:val="0"/>
          <w:lang w:val="en-US"/>
        </w:rPr>
        <w:t>Our</w:t>
      </w:r>
      <w:r>
        <w:rPr>
          <w:rtl w:val="0"/>
          <w:lang w:val="en-US"/>
        </w:rPr>
        <w:t xml:space="preserve"> Site Superintendent will be available to attend the weekly (pre-scheduled) progress meeting with USACE and installation representatives.</w:t>
      </w:r>
      <w:r>
        <w:rPr>
          <w:rtl w:val="0"/>
          <w:lang w:val="en-US"/>
        </w:rPr>
        <w:t xml:space="preserve"> Our </w:t>
      </w:r>
      <w:r>
        <w:rPr>
          <w:rtl w:val="0"/>
          <w:lang w:val="en-US"/>
        </w:rPr>
        <w:t xml:space="preserve">Site Safety and Health Officer will be available to attend the weekly (pre-scheduled) progress meeting with USACE and installation representatives. We will provide additional essential and readily available personnel: Storm Water Pollution Prevention Professional (Qualified Stormwater Designer, or equivalent depending on state or local requirement); Certified Industrial Hygienist (CIH); and, a Waste Manager. </w:t>
      </w:r>
    </w:p>
    <w:p>
      <w:pPr>
        <w:pStyle w:val="Body C"/>
        <w:suppressAutoHyphens w:val="1"/>
      </w:pPr>
      <w:r>
        <w:rPr>
          <w:rtl w:val="0"/>
          <w:lang w:val="en-US"/>
        </w:rPr>
        <w:t>All Phase will comply with all Installation entrance and security requirements. All Phase will be responsible for assuring that all employees meet the access requirements of the Installation prior to the execution of work action on the Installation. All Phase will adhere to the installation operations security (OPSEC) requirements in accordance with Antiterrorism/Operations Security Review PAT/OPSEC Requirements.</w:t>
      </w:r>
    </w:p>
    <w:p>
      <w:pPr>
        <w:pStyle w:val="Body C"/>
        <w:suppressAutoHyphens w:val="1"/>
      </w:pPr>
    </w:p>
    <w:p>
      <w:pPr>
        <w:pStyle w:val="Heading 1"/>
        <w:suppressAutoHyphens w:val="1"/>
      </w:pPr>
      <w:bookmarkStart w:name="_Toc23" w:id="24"/>
      <w:r>
        <w:rPr>
          <w:rtl w:val="0"/>
          <w:lang w:val="en-US"/>
        </w:rPr>
        <w:t xml:space="preserve">Options </w:t>
      </w:r>
      <w:r>
        <w:br w:type="textWrapping"/>
      </w:r>
      <w:bookmarkEnd w:id="24"/>
      <w:commentRangeStart w:id="25"/>
    </w:p>
    <w:p>
      <w:pPr>
        <w:pStyle w:val="Body C"/>
        <w:suppressAutoHyphens w:val="1"/>
      </w:pPr>
      <w:r>
        <w:rPr>
          <w:rtl w:val="0"/>
          <w:lang w:val="en-US"/>
        </w:rPr>
        <w:t xml:space="preserve">a. Option #1 </w:t>
      </w:r>
      <w:r>
        <w:rPr>
          <w:rtl w:val="0"/>
          <w:lang w:val="en-US"/>
        </w:rPr>
        <w:t xml:space="preserve">– </w:t>
      </w:r>
      <w:r>
        <w:rPr>
          <w:rtl w:val="0"/>
          <w:lang w:val="en-US"/>
        </w:rPr>
        <w:t xml:space="preserve">Security for Base Facilities </w:t>
      </w:r>
    </w:p>
    <w:p>
      <w:pPr>
        <w:pStyle w:val="Body C"/>
        <w:suppressAutoHyphens w:val="1"/>
      </w:pPr>
      <w:r>
        <w:rPr>
          <w:rtl w:val="0"/>
          <w:lang w:val="en-US"/>
        </w:rPr>
        <w:t xml:space="preserve">b. Option #3 </w:t>
      </w:r>
      <w:r>
        <w:rPr>
          <w:rtl w:val="0"/>
          <w:lang w:val="en-US"/>
        </w:rPr>
        <w:t xml:space="preserve">– </w:t>
      </w:r>
      <w:r>
        <w:rPr>
          <w:rtl w:val="0"/>
          <w:lang w:val="en-US"/>
        </w:rPr>
        <w:t xml:space="preserve">Security for Option #2 Facilities </w:t>
      </w:r>
    </w:p>
    <w:p>
      <w:pPr>
        <w:pStyle w:val="Body C"/>
        <w:suppressAutoHyphens w:val="1"/>
      </w:pPr>
      <w:r>
        <w:rPr>
          <w:rtl w:val="0"/>
          <w:lang w:val="en-US"/>
        </w:rPr>
        <w:t xml:space="preserve">c. Option #5 </w:t>
      </w:r>
      <w:r>
        <w:rPr>
          <w:rtl w:val="0"/>
          <w:lang w:val="en-US"/>
        </w:rPr>
        <w:t xml:space="preserve">– </w:t>
      </w:r>
      <w:r>
        <w:rPr>
          <w:rtl w:val="0"/>
          <w:lang w:val="en-US"/>
        </w:rPr>
        <w:t xml:space="preserve">Security for Option #4 Facilities </w:t>
        <w:br w:type="textWrapping"/>
      </w:r>
      <w:commentRangeEnd w:id="25"/>
      <w:r>
        <w:commentReference w:id="25"/>
      </w:r>
    </w:p>
    <w:p>
      <w:pPr>
        <w:pStyle w:val="Body C"/>
        <w:suppressAutoHyphens w:val="1"/>
      </w:pPr>
    </w:p>
    <w:p>
      <w:pPr>
        <w:pStyle w:val="Body C"/>
        <w:suppressAutoHyphens w:val="1"/>
        <w:rPr>
          <w:i w:val="1"/>
          <w:iCs w:val="1"/>
          <w:color w:val="bf4c85"/>
        </w:rPr>
      </w:pPr>
      <w:r>
        <w:rPr>
          <w:i w:val="1"/>
          <w:iCs w:val="1"/>
          <w:color w:val="bf4c85"/>
          <w:rtl w:val="0"/>
          <w:lang w:val="en-US"/>
        </w:rPr>
        <w:t xml:space="preserve">Task 5 </w:t>
      </w:r>
      <w:r>
        <w:rPr>
          <w:i w:val="1"/>
          <w:iCs w:val="1"/>
          <w:color w:val="bf4c85"/>
          <w:rtl w:val="0"/>
          <w:lang w:val="en-US"/>
        </w:rPr>
        <w:t xml:space="preserve">– </w:t>
      </w:r>
      <w:r>
        <w:rPr>
          <w:i w:val="1"/>
          <w:iCs w:val="1"/>
          <w:color w:val="bf4c85"/>
          <w:rtl w:val="0"/>
          <w:lang w:val="en-US"/>
        </w:rPr>
        <w:t xml:space="preserve">Option 1 </w:t>
      </w:r>
      <w:r>
        <w:rPr>
          <w:i w:val="1"/>
          <w:iCs w:val="1"/>
          <w:color w:val="bf4c85"/>
          <w:rtl w:val="0"/>
          <w:lang w:val="en-US"/>
        </w:rPr>
        <w:t xml:space="preserve">– </w:t>
      </w:r>
      <w:r>
        <w:rPr>
          <w:i w:val="1"/>
          <w:iCs w:val="1"/>
          <w:color w:val="bf4c85"/>
          <w:rtl w:val="0"/>
          <w:lang w:val="en-US"/>
        </w:rPr>
        <w:t xml:space="preserve">Maintain 24/7 physical security and perimeter fencing at the site for a period of 30-days. This option may be exercised multiple times, to cover a 30, 60, or possibly 90-day period after completion of demolition. </w:t>
      </w:r>
      <w:r>
        <w:rPr>
          <w:i w:val="1"/>
          <w:iCs w:val="1"/>
          <w:color w:val="bf4c85"/>
        </w:rPr>
        <w:drawing>
          <wp:anchor distT="152400" distB="152400" distL="152400" distR="152400" simplePos="0" relativeHeight="251664384" behindDoc="0" locked="0" layoutInCell="1" allowOverlap="1">
            <wp:simplePos x="0" y="0"/>
            <wp:positionH relativeFrom="margin">
              <wp:posOffset>-6349</wp:posOffset>
            </wp:positionH>
            <wp:positionV relativeFrom="line">
              <wp:posOffset>450381</wp:posOffset>
            </wp:positionV>
            <wp:extent cx="5943600" cy="3242829"/>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1">
                      <a:extLst/>
                    </a:blip>
                    <a:stretch>
                      <a:fillRect/>
                    </a:stretch>
                  </pic:blipFill>
                  <pic:spPr>
                    <a:xfrm>
                      <a:off x="0" y="0"/>
                      <a:ext cx="5943600" cy="3242829"/>
                    </a:xfrm>
                    <a:prstGeom prst="rect">
                      <a:avLst/>
                    </a:prstGeom>
                    <a:ln w="12700" cap="flat">
                      <a:noFill/>
                      <a:miter lim="400000"/>
                    </a:ln>
                    <a:effectLst/>
                  </pic:spPr>
                </pic:pic>
              </a:graphicData>
            </a:graphic>
          </wp:anchor>
        </w:drawing>
      </w:r>
    </w:p>
    <w:p>
      <w:pPr>
        <w:pStyle w:val="Heading 1"/>
        <w:pageBreakBefore w:val="1"/>
        <w:suppressAutoHyphens w:val="1"/>
      </w:pPr>
      <w:bookmarkStart w:name="_Toc24" w:id="26"/>
      <w:r>
        <w:rPr>
          <w:rtl w:val="0"/>
          <w:lang w:val="en-US"/>
        </w:rPr>
        <w:t xml:space="preserve">Appendix - Preliminary Project Schedule </w:t>
      </w:r>
      <w:r>
        <w:rPr>
          <w:rtl w:val="0"/>
          <w:lang w:val="en-US"/>
        </w:rPr>
        <w:t xml:space="preserve">– </w:t>
      </w:r>
      <w:r>
        <w:rPr>
          <w:rtl w:val="0"/>
          <w:lang w:val="en-US"/>
        </w:rPr>
        <w:t xml:space="preserve">Base Bid </w:t>
      </w:r>
      <w:bookmarkEnd w:id="26"/>
    </w:p>
    <w:p>
      <w:pPr>
        <w:pStyle w:val="Body C"/>
        <w:suppressAutoHyphens w:val="1"/>
      </w:pPr>
    </w:p>
    <w:p>
      <w:pPr>
        <w:pStyle w:val="Body C"/>
        <w:suppressAutoHyphens w:val="1"/>
      </w:pPr>
    </w:p>
    <w:p>
      <w:pPr>
        <w:pStyle w:val="Body A"/>
      </w:pPr>
    </w:p>
    <w:p>
      <w:pPr>
        <w:pStyle w:val="Body A"/>
      </w:pPr>
    </w:p>
    <w:p>
      <w:pPr>
        <w:pStyle w:val="Body A"/>
      </w:pPr>
      <w:r/>
    </w:p>
    <w:sectPr>
      <w:headerReference w:type="default" r:id="rId12"/>
      <w:footerReference w:type="default" r:id="rId13"/>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3" w:author="Tom Termini" w:date="2022-09-02T17:31:47Z">
    <w:p w14:paraId="1111FFFF">
      <w:pPr>
        <w:pStyle w:val="Default"/>
      </w:pPr>
    </w:p>
    <w:p w14:paraId="11120000">
      <w:pPr>
        <w:pStyle w:val="Default"/>
      </w:pPr>
      <w:r>
        <w:rPr>
          <w:rtl w:val="0"/>
        </w:rPr>
        <w:t>Awaiting data from Pilar</w:t>
      </w:r>
    </w:p>
  </w:comment>
  <w:comment w:id="25" w:author="Tom Termini" w:date="2022-09-02T17:48:40Z">
    <w:p w14:paraId="11120001">
      <w:pPr>
        <w:pStyle w:val="Default"/>
      </w:pPr>
    </w:p>
    <w:p w14:paraId="11120002">
      <w:pPr>
        <w:pStyle w:val="Default"/>
      </w:pPr>
      <w:r>
        <w:rPr>
          <w:rtl w:val="0"/>
        </w:rPr>
        <w:t>This should be addressed</w:t>
      </w:r>
      <w:r>
        <w:rPr>
          <w:rtl w:val="0"/>
        </w:rPr>
        <w: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u w:color="000000"/>
        <w:rtl w:val="0"/>
        <w:lang w:val="en-US"/>
      </w:rPr>
      <w:t>PANHES-22-P-0000 003887</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u w:color="000000"/>
        <w:rtl w:val="0"/>
        <w:lang w:val="en-US"/>
      </w:rPr>
      <w:t>PANHES-22-P-0000 003887</w:t>
      <w:tab/>
      <w:tab/>
      <w:tab/>
      <w:t>All Phase Services, Inc.</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paragraph" w:styleId="TOC 1">
    <w:name w:val="TOC 1"/>
    <w:next w:val="TOC 1"/>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1">
    <w:name w:val="Heading 1"/>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480" w:after="120" w:line="240"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lang w:val="en-US"/>
    </w:rPr>
  </w:style>
  <w:style w:type="paragraph" w:styleId="Body C">
    <w:name w:val="Body C"/>
    <w:next w:val="Body C"/>
    <w:pPr>
      <w:keepNext w:val="0"/>
      <w:keepLines w:val="0"/>
      <w:pageBreakBefore w:val="0"/>
      <w:widowControl w:val="1"/>
      <w:shd w:val="clear" w:color="auto" w:fill="auto"/>
      <w:suppressAutoHyphens w:val="0"/>
      <w:bidi w:val="0"/>
      <w:spacing w:before="0" w:after="18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Requirements">
    <w:name w:val="Body Requirements"/>
    <w:next w:val="Body Requirements"/>
    <w:pPr>
      <w:keepNext w:val="0"/>
      <w:keepLines w:val="0"/>
      <w:pageBreakBefore w:val="0"/>
      <w:widowControl w:val="1"/>
      <w:shd w:val="clear" w:color="auto" w:fill="auto"/>
      <w:suppressAutoHyphens w:val="0"/>
      <w:bidi w:val="0"/>
      <w:spacing w:before="0" w:after="180" w:line="264" w:lineRule="auto"/>
      <w:ind w:left="0" w:right="0" w:firstLine="0"/>
      <w:jc w:val="left"/>
      <w:outlineLvl w:val="9"/>
    </w:pPr>
    <w:rPr>
      <w:rFonts w:ascii="Times New Roman" w:cs="Times New Roman" w:hAnsi="Times New Roman" w:eastAsia="Times New Roman"/>
      <w:b w:val="0"/>
      <w:bCs w:val="0"/>
      <w:i w:val="1"/>
      <w:iCs w:val="1"/>
      <w:caps w:val="0"/>
      <w:smallCaps w:val="0"/>
      <w:strike w:val="0"/>
      <w:dstrike w:val="0"/>
      <w:outline w:val="0"/>
      <w:color w:val="bf4c85"/>
      <w:spacing w:val="0"/>
      <w:kern w:val="0"/>
      <w:position w:val="0"/>
      <w:sz w:val="20"/>
      <w:szCs w:val="20"/>
      <w:u w:val="none" w:color="000000"/>
      <w:vertAlign w:val="baseline"/>
      <w:lang w:val="de-DE"/>
    </w:rPr>
  </w:style>
  <w:style w:type="numbering" w:styleId="Bullets">
    <w:name w:val="Bullets"/>
    <w:pPr>
      <w:numPr>
        <w:numId w:val="1"/>
      </w:numPr>
    </w:pPr>
  </w:style>
  <w:style w:type="numbering" w:styleId="Bullets.0">
    <w:name w:val="Bullets.0"/>
    <w:pPr>
      <w:numPr>
        <w:numId w:val="3"/>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