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004070 - Southeastern Region MATOC, </w:t>
      </w:r>
      <w:r>
        <w:rPr>
          <w:b w:val="1"/>
          <w:bCs w:val="1"/>
          <w:sz w:val="28"/>
          <w:szCs w:val="28"/>
        </w:rPr>
        <w:br w:type="textWrapping"/>
      </w:r>
      <w:r>
        <w:rPr>
          <w:b w:val="1"/>
          <w:bCs w:val="1"/>
          <w:sz w:val="28"/>
          <w:szCs w:val="28"/>
          <w:rtl w:val="0"/>
          <w:lang w:val="en-US"/>
        </w:rPr>
        <w:t>for Abatement and Demolition Services at</w:t>
      </w:r>
      <w:r>
        <w:rPr>
          <w:b w:val="1"/>
          <w:bCs w:val="1"/>
          <w:sz w:val="28"/>
          <w:szCs w:val="28"/>
        </w:rPr>
        <w:br w:type="textWrapping"/>
      </w:r>
      <w:r>
        <w:rPr>
          <w:b w:val="1"/>
          <w:bCs w:val="1"/>
          <w:sz w:val="28"/>
          <w:szCs w:val="28"/>
          <w:rtl w:val="0"/>
          <w:lang w:val="en-US"/>
        </w:rPr>
        <w:t xml:space="preserve">Former Martin Community Hospital (MACH) </w:t>
      </w:r>
      <w:r>
        <w:rPr>
          <w:b w:val="1"/>
          <w:bCs w:val="1"/>
          <w:sz w:val="28"/>
          <w:szCs w:val="28"/>
        </w:rPr>
        <w:br w:type="textWrapping"/>
      </w:r>
      <w:r>
        <w:rPr>
          <w:b w:val="1"/>
          <w:bCs w:val="1"/>
          <w:sz w:val="28"/>
          <w:szCs w:val="28"/>
          <w:rtl w:val="0"/>
          <w:lang w:val="en-US"/>
        </w:rPr>
        <w:t>Fort Benning, GA</w:t>
      </w:r>
    </w:p>
    <w:p>
      <w:pPr>
        <w:pStyle w:val="Body A"/>
        <w:jc w:val="center"/>
      </w:pPr>
      <w:r>
        <w:rPr>
          <w:rtl w:val="0"/>
          <w:lang w:val="en-US"/>
        </w:rPr>
        <w:t>Submitted on: 31-August-2022 12:00 local time</w:t>
      </w:r>
    </w:p>
    <w:p>
      <w:pPr>
        <w:pStyle w:val="Body A"/>
        <w:jc w:val="center"/>
      </w:pPr>
      <w:r>
        <w:rPr>
          <w:rtl w:val="0"/>
          <w:lang w:val="en-US"/>
        </w:rPr>
        <w:t xml:space="preserve">Submitted to: U.S. </w:t>
      </w:r>
      <w:r>
        <w:drawing>
          <wp:anchor distT="12700" distB="12700" distL="12700" distR="12700" simplePos="0" relativeHeight="251661312" behindDoc="0" locked="0" layoutInCell="1" allowOverlap="1">
            <wp:simplePos x="0" y="0"/>
            <wp:positionH relativeFrom="page">
              <wp:posOffset>2984818</wp:posOffset>
            </wp:positionH>
            <wp:positionV relativeFrom="page">
              <wp:posOffset>2926416</wp:posOffset>
            </wp:positionV>
            <wp:extent cx="1802764" cy="1692765"/>
            <wp:effectExtent l="0" t="0" r="0" b="0"/>
            <wp:wrapTopAndBottom distT="12700" distB="127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4">
                      <a:extLst/>
                    </a:blip>
                    <a:stretch>
                      <a:fillRect/>
                    </a:stretch>
                  </pic:blipFill>
                  <pic:spPr>
                    <a:xfrm>
                      <a:off x="0" y="0"/>
                      <a:ext cx="1802764" cy="1692765"/>
                    </a:xfrm>
                    <a:prstGeom prst="rect">
                      <a:avLst/>
                    </a:prstGeom>
                    <a:ln w="12700" cap="flat">
                      <a:noFill/>
                      <a:miter lim="400000"/>
                    </a:ln>
                    <a:effectLst/>
                  </pic:spPr>
                </pic:pic>
              </a:graphicData>
            </a:graphic>
          </wp:anchor>
        </w:drawing>
      </w:r>
      <w:r>
        <w:rPr>
          <w:rtl w:val="0"/>
          <w:lang w:val="en-US"/>
        </w:rPr>
        <w:t xml:space="preserve">Army Corps of Engineers </w:t>
      </w:r>
    </w:p>
    <w:p>
      <w:pPr>
        <w:pStyle w:val="Body A"/>
      </w:pPr>
    </w:p>
    <w:p>
      <w:pPr>
        <w:pStyle w:val="Body A"/>
        <w:jc w:val="center"/>
      </w:pPr>
      <w:r>
        <w:rPr>
          <w:rtl w:val="0"/>
          <w:lang w:val="en-US"/>
        </w:rPr>
        <w:t>Submitted by:</w:t>
      </w:r>
    </w:p>
    <w:p>
      <w:pPr>
        <w:pStyle w:val="Body A"/>
        <w:jc w:val="center"/>
      </w:pPr>
      <w:r>
        <w:rPr>
          <w:rtl w:val="0"/>
          <w:lang w:val="en-US"/>
        </w:rPr>
        <w:t xml:space="preserve"> </w:t>
      </w:r>
      <w:r>
        <w:rPr>
          <w:b w:val="1"/>
          <w:bCs w:val="1"/>
          <w:sz w:val="28"/>
          <w:szCs w:val="28"/>
          <w:rtl w:val="0"/>
          <w:lang w:val="en-US"/>
        </w:rPr>
        <w:t>All Phase Services, Inc.</w:t>
      </w:r>
      <w:r>
        <w:rPr>
          <w:b w:val="1"/>
          <w:bCs w:val="1"/>
          <w:sz w:val="28"/>
          <w:szCs w:val="28"/>
        </w:rPr>
        <w:br w:type="textWrapping"/>
      </w:r>
      <w:r>
        <w:rPr>
          <w:b w:val="1"/>
          <w:bCs w:val="1"/>
          <w:rtl w:val="0"/>
          <w:lang w:val="en-US"/>
        </w:rPr>
        <w:t>POC Name: Carlos Martins / President</w:t>
      </w:r>
      <w:r>
        <w:rPr>
          <w:b w:val="1"/>
          <w:bCs w:val="1"/>
        </w:rPr>
        <w:br w:type="textWrapping"/>
      </w:r>
      <w:r>
        <w:rPr>
          <w:b w:val="1"/>
          <w:bCs w:val="1"/>
          <w:rtl w:val="0"/>
          <w:lang w:val="en-US"/>
        </w:rPr>
        <w:t>Email: carlos@allphase.org</w:t>
      </w:r>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 Fax: 866-260-2024 | Web: www.allphase</w:t>
      </w:r>
      <w:r>
        <w:rPr>
          <w:b w:val="1"/>
          <w:bCs w:val="1"/>
        </w:rPr>
        <w:drawing>
          <wp:anchor distT="0" distB="0" distL="0" distR="0" simplePos="0" relativeHeight="251660288" behindDoc="0" locked="0" layoutInCell="1" allowOverlap="1">
            <wp:simplePos x="0" y="0"/>
            <wp:positionH relativeFrom="page">
              <wp:posOffset>2637470</wp:posOffset>
            </wp:positionH>
            <wp:positionV relativeFrom="line">
              <wp:posOffset>202842</wp:posOffset>
            </wp:positionV>
            <wp:extent cx="2314575" cy="1228725"/>
            <wp:effectExtent l="0" t="0" r="0" b="0"/>
            <wp:wrapTopAndBottom distT="0" distB="0"/>
            <wp:docPr id="1073741826"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6" name="New logo - APS" descr="New logo - APS"/>
                    <pic:cNvPicPr>
                      <a:picLocks noChangeAspect="1"/>
                    </pic:cNvPicPr>
                  </pic:nvPicPr>
                  <pic:blipFill>
                    <a:blip r:embed="rId5">
                      <a:extLst/>
                    </a:blip>
                    <a:stretch>
                      <a:fillRect/>
                    </a:stretch>
                  </pic:blipFill>
                  <pic:spPr>
                    <a:xfrm>
                      <a:off x="0" y="0"/>
                      <a:ext cx="2314575" cy="1228725"/>
                    </a:xfrm>
                    <a:prstGeom prst="rect">
                      <a:avLst/>
                    </a:prstGeom>
                    <a:ln w="12700" cap="flat">
                      <a:noFill/>
                      <a:miter lim="400000"/>
                    </a:ln>
                    <a:effectLst/>
                  </pic:spPr>
                </pic:pic>
              </a:graphicData>
            </a:graphic>
          </wp:anchor>
        </w:drawing>
      </w:r>
      <w:r>
        <w:rPr>
          <w:b w:val="1"/>
          <w:bCs w:val="1"/>
        </w:rPr>
        <mc:AlternateContent>
          <mc:Choice Requires="wps">
            <w:drawing>
              <wp:anchor distT="152400" distB="152400" distL="152400" distR="152400" simplePos="0" relativeHeight="251659264" behindDoc="0" locked="0" layoutInCell="1" allowOverlap="1">
                <wp:simplePos x="0" y="0"/>
                <wp:positionH relativeFrom="page">
                  <wp:posOffset>914400</wp:posOffset>
                </wp:positionH>
                <wp:positionV relativeFrom="line">
                  <wp:posOffset>1437423</wp:posOffset>
                </wp:positionV>
                <wp:extent cx="5943600" cy="1410100"/>
                <wp:effectExtent l="0" t="0" r="0" b="0"/>
                <wp:wrapTopAndBottom distT="152400" distB="152400"/>
                <wp:docPr id="1073741827"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72.0pt;margin-top:113.2pt;width:468.0pt;height:111.0pt;z-index:251659264;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v:textbox>
                <w10:wrap type="topAndBottom" side="bothSides" anchorx="page"/>
              </v:shape>
            </w:pict>
          </mc:Fallback>
        </mc:AlternateContent>
      </w:r>
      <w:r>
        <w:rPr>
          <w:b w:val="1"/>
          <w:bCs w:val="1"/>
          <w:rtl w:val="0"/>
          <w:lang w:val="en-US"/>
        </w:rPr>
        <w:t>env.com</w:t>
      </w:r>
    </w:p>
    <w:p>
      <w:pPr>
        <w:pStyle w:val="Body A"/>
        <w:pageBreakBefore w:val="1"/>
        <w:jc w:val="right"/>
        <w:rPr>
          <w:b w:val="1"/>
          <w:bCs w:val="1"/>
        </w:rPr>
      </w:pPr>
      <w:r>
        <w:rPr>
          <w:b w:val="1"/>
          <w:bCs w:val="1"/>
          <w:rtl w:val="0"/>
          <w:lang w:val="en-US"/>
        </w:rPr>
        <w:t>29-August-2022</w:t>
      </w:r>
    </w:p>
    <w:p>
      <w:pPr>
        <w:pStyle w:val="Body A"/>
      </w:pPr>
      <w:r>
        <w:rPr>
          <w:rtl w:val="0"/>
        </w:rPr>
        <w:t>To:</w:t>
      </w:r>
      <w:r>
        <w:br w:type="textWrapping"/>
      </w:r>
      <w:r>
        <w:rPr>
          <w:rtl w:val="0"/>
        </w:rPr>
        <w:t xml:space="preserve">US Army Corps of Engineers, Engineering and Support Center, </w:t>
      </w:r>
      <w:r>
        <w:br w:type="textWrapping"/>
      </w:r>
      <w:r>
        <w:rPr>
          <w:rtl w:val="0"/>
        </w:rPr>
        <w:t>Huntsville</w:t>
      </w:r>
    </w:p>
    <w:p>
      <w:pPr>
        <w:pStyle w:val="Body A"/>
        <w:jc w:val="right"/>
      </w:pPr>
      <w:r>
        <w:rPr>
          <w:rtl w:val="0"/>
          <w:lang w:val="en-US"/>
        </w:rPr>
        <w:t xml:space="preserve">re: Southeast Region U.S. Facilities Reduction Program (FRP) </w:t>
      </w:r>
      <w:r>
        <w:br w:type="textWrapping"/>
      </w:r>
      <w:r>
        <w:rPr>
          <w:rtl w:val="0"/>
          <w:lang w:val="en-US"/>
        </w:rPr>
        <w:t>Multiple Award Task Order Contract (MATOC)</w:t>
      </w:r>
    </w:p>
    <w:p>
      <w:pPr>
        <w:pStyle w:val="Body A"/>
      </w:pPr>
      <w:r>
        <w:rPr>
          <w:rtl w:val="0"/>
        </w:rPr>
        <w:t>Dear Sir/Madam:</w:t>
      </w:r>
    </w:p>
    <w:p>
      <w:pPr>
        <w:pStyle w:val="Body A"/>
        <w:jc w:val="both"/>
      </w:pPr>
      <w:r>
        <w:rPr>
          <w:rtl w:val="0"/>
          <w:lang w:val="en-US"/>
        </w:rPr>
        <w:t>All Phase Services, Inc. is pleased to submit this proposal in response to the RFP for PANHES-22-P-0000 004070 - Southeastern Region MATOC, for Abatement and Demolition Services at Former Martin Community Hospital (MACH) Fort Benning, GA. Our proposal conforms to the instructions and requirements of the solicitation and addresses the Task Order PWS. We acknowledge receipt of associated maps and Site Survey Report, and Q&amp;As, as well as the RFP, including all amendments up to 26-August-2022. All Phase takes no exceptions to the terms, conditions, and provisions contained therein. Furthermore, we make no assumptions within this proposal that are intended to offset any risk onto the Government.</w:t>
      </w:r>
      <w:r>
        <w:br w:type="textWrapping"/>
      </w:r>
      <w:commentRangeStart w:id="0"/>
    </w:p>
    <w:p>
      <w:pPr>
        <w:pStyle w:val="Body A"/>
        <w:jc w:val="both"/>
      </w:pPr>
      <w:r>
        <w:rPr>
          <w:rtl w:val="0"/>
          <w:lang w:val="en-US"/>
        </w:rPr>
        <w:t xml:space="preserve">Our proposed contract value for the base bid is $___________; we show price breakouts for both demolition and abatement in our cost summary sheets. A cost summary sheet is also included for Options ($_________). We will meet the minimum ___% landfill diversion goal for this task order. </w:t>
      </w:r>
      <w:r>
        <w:br w:type="textWrapping"/>
      </w:r>
      <w:commentRangeEnd w:id="0"/>
      <w:r>
        <w:commentReference w:id="0"/>
      </w:r>
    </w:p>
    <w:p>
      <w:pPr>
        <w:pStyle w:val="Body A"/>
        <w:jc w:val="both"/>
      </w:pPr>
      <w:r>
        <w:rPr>
          <w:rtl w:val="0"/>
          <w:lang w:val="en-US"/>
        </w:rPr>
        <w:t>Carlos Martins, President of All Phase Services, Inc., will be the primary POC. Eric Newman, Pre-Construction Manager of All Phase Services, Inc. will be the alternate point of contact. The POCs for this proposal have full authority to negotiate and sign the contract resulting from this procurement on All Phase</w:t>
      </w:r>
      <w:r>
        <w:rPr>
          <w:rtl w:val="0"/>
          <w:lang w:val="en-US"/>
        </w:rPr>
        <w:t>’</w:t>
      </w:r>
      <w:r>
        <w:rPr>
          <w:rtl w:val="0"/>
          <w:lang w:val="en-US"/>
        </w:rPr>
        <w:t xml:space="preserve">s behalf, with contact information provided, below. </w:t>
      </w:r>
    </w:p>
    <w:p>
      <w:pPr>
        <w:pStyle w:val="Body A"/>
        <w:keepNext w:val="1"/>
      </w:pPr>
      <w:r>
        <w:rPr>
          <w:rtl w:val="0"/>
          <w:lang w:val="en-US"/>
        </w:rPr>
        <w:t>Respectfully,</w:t>
      </w:r>
    </w:p>
    <w:p>
      <w:pPr>
        <w:pStyle w:val="Body A"/>
      </w:pPr>
      <w:r>
        <w:rPr>
          <w:rtl w:val="0"/>
        </w:rPr>
        <w:t>/S/</w:t>
      </w:r>
    </w:p>
    <w:p>
      <w:pPr>
        <w:pStyle w:val="Body A"/>
      </w:pPr>
    </w:p>
    <w:p>
      <w:pPr>
        <w:pStyle w:val="Body A"/>
        <w:spacing w:line="240" w:lineRule="auto"/>
      </w:pPr>
      <w:r>
        <w:rPr>
          <w:rtl w:val="0"/>
          <w:lang w:val="en-US"/>
        </w:rPr>
        <w:t xml:space="preserve">Carlos Martins, President </w:t>
      </w:r>
      <w:r>
        <w:rPr>
          <w:rtl w:val="0"/>
          <w:lang w:val="en-US"/>
        </w:rPr>
        <w:t xml:space="preserve">– </w:t>
      </w:r>
      <w:r>
        <w:rPr>
          <w:rtl w:val="0"/>
          <w:lang w:val="en-US"/>
        </w:rPr>
        <w:t>Primary POC</w:t>
      </w:r>
      <w:r>
        <w:br w:type="textWrapping"/>
      </w:r>
      <w:r>
        <w:rPr>
          <w:rtl w:val="0"/>
          <w:lang w:val="en-US"/>
        </w:rPr>
        <w:t>All Phase Services, Inc.</w:t>
      </w:r>
      <w:r>
        <w:br w:type="textWrapping"/>
      </w:r>
      <w:r>
        <w:rPr>
          <w:rtl w:val="0"/>
          <w:lang w:val="en-US"/>
        </w:rPr>
        <w:t>34 SW 5th Avenue</w:t>
      </w:r>
      <w:r>
        <w:br w:type="textWrapping"/>
      </w:r>
      <w:r>
        <w:rPr>
          <w:rtl w:val="0"/>
          <w:lang w:val="en-US"/>
        </w:rPr>
        <w:t>Delray Beach, FL 33444</w:t>
      </w:r>
      <w:r>
        <w:br w:type="textWrapping"/>
      </w:r>
      <w:r>
        <w:rPr>
          <w:rtl w:val="0"/>
          <w:lang w:val="en-US"/>
        </w:rPr>
        <w:t>561-620-8222 | Fax 866-260-2024</w:t>
      </w:r>
      <w:r>
        <w:br w:type="textWrapping"/>
      </w:r>
      <w:r>
        <w:rPr>
          <w:rtl w:val="0"/>
          <w:lang w:val="en-US"/>
        </w:rPr>
        <w:t xml:space="preserve">Email: </w:t>
      </w:r>
      <w:r>
        <w:rPr>
          <w:rStyle w:val="Hyperlink.0"/>
        </w:rPr>
        <w:fldChar w:fldCharType="begin" w:fldLock="0"/>
      </w:r>
      <w:r>
        <w:rPr>
          <w:rStyle w:val="Hyperlink.0"/>
        </w:rPr>
        <w:instrText xml:space="preserve"> HYPERLINK "mailto:carlos@allphase.org"</w:instrText>
      </w:r>
      <w:r>
        <w:rPr>
          <w:rStyle w:val="Hyperlink.0"/>
        </w:rPr>
        <w:fldChar w:fldCharType="separate" w:fldLock="0"/>
      </w:r>
      <w:r>
        <w:rPr>
          <w:rStyle w:val="Hyperlink.0"/>
          <w:rtl w:val="0"/>
          <w:lang w:val="en-US"/>
        </w:rPr>
        <w:t>carlos@allphase.org</w:t>
      </w:r>
      <w:r>
        <w:rPr/>
        <w:fldChar w:fldCharType="end" w:fldLock="0"/>
      </w:r>
    </w:p>
    <w:p>
      <w:pPr>
        <w:pStyle w:val="Body A"/>
        <w:spacing w:line="240" w:lineRule="auto"/>
      </w:pPr>
      <w:r>
        <w:rPr>
          <w:rtl w:val="0"/>
          <w:lang w:val="en-US"/>
        </w:rPr>
        <w:t xml:space="preserve">Eric Newman, Pre-Construction Manager </w:t>
      </w:r>
      <w:r>
        <w:rPr>
          <w:rtl w:val="0"/>
          <w:lang w:val="en-US"/>
        </w:rPr>
        <w:t xml:space="preserve">– </w:t>
      </w:r>
      <w:r>
        <w:rPr>
          <w:rtl w:val="0"/>
          <w:lang w:val="en-US"/>
        </w:rPr>
        <w:t>Alternate POC</w:t>
      </w:r>
      <w:r>
        <w:br w:type="textWrapping"/>
      </w:r>
      <w:r>
        <w:rPr>
          <w:rtl w:val="0"/>
          <w:lang w:val="en-US"/>
        </w:rPr>
        <w:t>O: 561.272.0944 | C: 941.302.6562</w:t>
      </w:r>
      <w:r>
        <w:br w:type="textWrapping"/>
      </w:r>
      <w:r>
        <w:rPr>
          <w:rtl w:val="0"/>
          <w:lang w:val="en-US"/>
        </w:rPr>
        <w:t>Email: Eric.newman@allphase.org</w:t>
      </w:r>
    </w:p>
    <w:p>
      <w:pPr>
        <w:pStyle w:val="Body A"/>
        <w:spacing w:line="240" w:lineRule="auto"/>
      </w:pPr>
    </w:p>
    <w:p>
      <w:pPr>
        <w:pStyle w:val="Body A"/>
        <w:spacing w:after="120" w:line="240" w:lineRule="auto"/>
        <w:rPr>
          <w:sz w:val="20"/>
          <w:szCs w:val="20"/>
        </w:rPr>
      </w:pPr>
      <w:r>
        <w:rPr>
          <w:i w:val="1"/>
          <w:iCs w:val="1"/>
          <w:sz w:val="20"/>
          <w:szCs w:val="20"/>
          <w:rtl w:val="0"/>
          <w:lang w:val="en-US"/>
        </w:rPr>
        <w:t>Required Clause Regarding Site Investigation and Conditions Affecting the Work</w:t>
      </w:r>
      <w:r>
        <w:rPr>
          <w:sz w:val="20"/>
          <w:szCs w:val="20"/>
          <w:rtl w:val="0"/>
          <w:lang w:val="en-US"/>
        </w:rPr>
        <w:t>:</w:t>
      </w:r>
    </w:p>
    <w:p>
      <w:pPr>
        <w:pStyle w:val="Body A"/>
        <w:spacing w:after="120" w:line="240" w:lineRule="auto"/>
        <w:ind w:left="720" w:firstLine="0"/>
        <w:rPr>
          <w:sz w:val="20"/>
          <w:szCs w:val="20"/>
        </w:rPr>
      </w:pPr>
      <w:r>
        <w:rPr>
          <w:sz w:val="20"/>
          <w:szCs w:val="20"/>
          <w:rtl w:val="0"/>
          <w:lang w:val="en-US"/>
        </w:rPr>
        <w:t>All Phase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sz w:val="20"/>
          <w:szCs w:val="20"/>
        </w:rPr>
      </w:pPr>
      <w:r>
        <w:rPr>
          <w:sz w:val="20"/>
          <w:szCs w:val="20"/>
          <w:rtl w:val="0"/>
          <w:lang w:val="en-US"/>
        </w:rPr>
        <w:t>(1) Conditions bearing upon transportation, disposal, handling, and storage of materials;</w:t>
      </w:r>
    </w:p>
    <w:p>
      <w:pPr>
        <w:pStyle w:val="Body A"/>
        <w:spacing w:after="120" w:line="240" w:lineRule="auto"/>
        <w:ind w:left="720" w:firstLine="0"/>
        <w:rPr>
          <w:sz w:val="20"/>
          <w:szCs w:val="20"/>
        </w:rPr>
      </w:pPr>
      <w:r>
        <w:rPr>
          <w:sz w:val="20"/>
          <w:szCs w:val="20"/>
          <w:rtl w:val="0"/>
          <w:lang w:val="en-US"/>
        </w:rPr>
        <w:t>(2) The availability of labor, water, electric power, and roads;</w:t>
      </w:r>
    </w:p>
    <w:p>
      <w:pPr>
        <w:pStyle w:val="Body A"/>
        <w:spacing w:after="120" w:line="240" w:lineRule="auto"/>
        <w:ind w:left="720" w:firstLine="0"/>
        <w:rPr>
          <w:sz w:val="20"/>
          <w:szCs w:val="20"/>
        </w:rPr>
      </w:pPr>
      <w:r>
        <w:rPr>
          <w:sz w:val="20"/>
          <w:szCs w:val="20"/>
          <w:rtl w:val="0"/>
          <w:lang w:val="en-US"/>
        </w:rPr>
        <w:t>(3) Uncertainties of weather, river stages, tides, or similar physical conditions at the site;</w:t>
      </w:r>
    </w:p>
    <w:p>
      <w:pPr>
        <w:pStyle w:val="Body A"/>
        <w:spacing w:after="120" w:line="240" w:lineRule="auto"/>
        <w:ind w:left="720" w:firstLine="0"/>
        <w:rPr>
          <w:sz w:val="20"/>
          <w:szCs w:val="20"/>
        </w:rPr>
      </w:pPr>
      <w:r>
        <w:rPr>
          <w:sz w:val="20"/>
          <w:szCs w:val="20"/>
          <w:rtl w:val="0"/>
          <w:lang w:val="en-US"/>
        </w:rPr>
        <w:t>(4) The conformation and conditions of the ground; and</w:t>
      </w:r>
    </w:p>
    <w:p>
      <w:pPr>
        <w:pStyle w:val="Body A"/>
        <w:spacing w:after="120" w:line="240" w:lineRule="auto"/>
        <w:ind w:left="720" w:firstLine="0"/>
        <w:rPr>
          <w:sz w:val="20"/>
          <w:szCs w:val="20"/>
        </w:rPr>
      </w:pPr>
      <w:r>
        <w:rPr>
          <w:sz w:val="20"/>
          <w:szCs w:val="20"/>
          <w:rtl w:val="0"/>
          <w:lang w:val="en-US"/>
        </w:rPr>
        <w:t>(5) The character of equipment and facilities needed preliminary to and during work performance.</w:t>
      </w:r>
    </w:p>
    <w:p>
      <w:pPr>
        <w:pStyle w:val="Body A"/>
        <w:spacing w:after="120" w:line="240" w:lineRule="auto"/>
        <w:ind w:left="720" w:firstLine="0"/>
        <w:rPr>
          <w:sz w:val="20"/>
          <w:szCs w:val="20"/>
        </w:rPr>
      </w:pPr>
      <w:r>
        <w:rPr>
          <w:sz w:val="20"/>
          <w:szCs w:val="20"/>
          <w:rtl w:val="0"/>
          <w:lang w:val="en-US"/>
        </w:rPr>
        <w:t>(a) All Phase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the All Phase to take the actions described and acknowledged in this paragraph will not relieve the All Phase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sz w:val="20"/>
          <w:szCs w:val="20"/>
        </w:rPr>
      </w:pPr>
      <w:r>
        <w:rPr>
          <w:sz w:val="20"/>
          <w:szCs w:val="20"/>
          <w:rtl w:val="0"/>
          <w:lang w:val="en-US"/>
        </w:rPr>
        <w:t>(b) The Government assumes no responsibility for any conclusions or interpretations made by the All Phase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b w:val="1"/>
          <w:bCs w:val="1"/>
        </w:rPr>
      </w:pPr>
      <w:r>
        <w:rPr>
          <w:b w:val="1"/>
          <w:bCs w:val="1"/>
          <w:rtl w:val="0"/>
          <w:lang w:val="en-US"/>
        </w:rPr>
        <w:t>Contents</w:t>
      </w:r>
    </w:p>
    <w:p>
      <w:pPr>
        <w:pStyle w:val="Body"/>
      </w:pPr>
      <w:r>
        <w:rPr>
          <w:b w:val="1"/>
          <w:bCs w:val="1"/>
        </w:rPr>
        <w:fldChar w:fldCharType="begin" w:fldLock="0"/>
      </w:r>
      <w:r>
        <w:rPr>
          <w:b w:val="1"/>
          <w:bCs w:val="1"/>
        </w:rPr>
        <w:instrText xml:space="preserve"> TOC \o 2-2 \t "Heading, 3"</w:instrText>
      </w:r>
      <w:r>
        <w:rPr>
          <w:b w:val="1"/>
          <w:bCs w:val="1"/>
        </w:rPr>
        <w:fldChar w:fldCharType="separate" w:fldLock="0"/>
      </w:r>
    </w:p>
    <w:p>
      <w:pPr>
        <w:pStyle w:val="TOC 3"/>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Table 1. Hazardous material abatement projected difficulty per location</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Table 2. Hazardous material abatement manpower projection </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Table 3. Subcontractors, consultants, vendors, and waste handlers to assist</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1. Project Planning</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Abatement and Disposal of Asbestos Containing Material</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3. Project Execution</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Reporting</w:t>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Schedule Adjustment for Optional Tasks</w:t>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Change Orders</w:t>
        <w:tab/>
      </w:r>
      <w:r>
        <w:rPr/>
        <w:fldChar w:fldCharType="begin" w:fldLock="0"/>
      </w:r>
      <w:r>
        <w:instrText xml:space="preserve"> PAGEREF _Toc10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4. Demolition Approach</w:t>
        <w:tab/>
      </w:r>
      <w:r>
        <w:rPr/>
        <w:fldChar w:fldCharType="begin" w:fldLock="0"/>
      </w:r>
      <w:r>
        <w:instrText xml:space="preserve"> PAGEREF _Toc11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Task Order-Specific Approach</w:t>
        <w:tab/>
      </w:r>
      <w:r>
        <w:rPr/>
        <w:fldChar w:fldCharType="begin" w:fldLock="0"/>
      </w:r>
      <w:r>
        <w:instrText xml:space="preserve"> PAGEREF _Toc12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Table 4. Demolition Structure Types and Projected Difficulty Per Location</w:t>
        <w:tab/>
      </w:r>
      <w:r>
        <w:rPr/>
        <w:fldChar w:fldCharType="begin" w:fldLock="0"/>
      </w:r>
      <w:r>
        <w:instrText xml:space="preserve"> PAGEREF _Toc13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 xml:space="preserve">Table 5. Manpower and Major Equipment Needed </w:t>
        <w:tab/>
      </w:r>
      <w:r>
        <w:rPr/>
        <w:fldChar w:fldCharType="begin" w:fldLock="0"/>
      </w:r>
      <w:r>
        <w:instrText xml:space="preserve"> PAGEREF _Toc14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5. Debris Handling, Waste Diversion, Recycling</w:t>
        <w:tab/>
      </w:r>
      <w:r>
        <w:rPr/>
        <w:fldChar w:fldCharType="begin" w:fldLock="0"/>
      </w:r>
      <w:r>
        <w:instrText xml:space="preserve"> PAGEREF _Toc15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Table 6: Asbestos Abatement - Labor Distribution</w:t>
        <w:tab/>
      </w:r>
      <w:r>
        <w:rPr/>
        <w:fldChar w:fldCharType="begin" w:fldLock="0"/>
      </w:r>
      <w:r>
        <w:instrText xml:space="preserve"> PAGEREF _Toc16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Waste Diversion and Recycling</w:t>
        <w:tab/>
      </w:r>
      <w:r>
        <w:rPr/>
        <w:fldChar w:fldCharType="begin" w:fldLock="0"/>
      </w:r>
      <w:r>
        <w:instrText xml:space="preserve"> PAGEREF _Toc17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Table 7. Expected materials for diversion / rates and materials to be disposed at landfill</w:t>
        <w:tab/>
      </w:r>
      <w:r>
        <w:rPr/>
        <w:fldChar w:fldCharType="begin" w:fldLock="0"/>
      </w:r>
      <w:r>
        <w:instrText xml:space="preserve"> PAGEREF _Toc18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6. Site Security and Safety Approach</w:t>
        <w:tab/>
      </w:r>
      <w:r>
        <w:rPr/>
        <w:fldChar w:fldCharType="begin" w:fldLock="0"/>
      </w:r>
      <w:r>
        <w:instrText xml:space="preserve"> PAGEREF _Toc19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Site Security</w:t>
        <w:tab/>
      </w:r>
      <w:r>
        <w:rPr/>
        <w:fldChar w:fldCharType="begin" w:fldLock="0"/>
      </w:r>
      <w:r>
        <w:instrText xml:space="preserve"> PAGEREF _Toc20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Safety Approach</w:t>
        <w:tab/>
      </w:r>
      <w:r>
        <w:rPr/>
        <w:fldChar w:fldCharType="begin" w:fldLock="0"/>
      </w:r>
      <w:r>
        <w:instrText xml:space="preserve"> PAGEREF _Toc21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7. Site Restoration</w:t>
        <w:tab/>
      </w:r>
      <w:r>
        <w:rPr/>
        <w:fldChar w:fldCharType="begin" w:fldLock="0"/>
      </w:r>
      <w:r>
        <w:instrText xml:space="preserve"> PAGEREF _Toc22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rPr>
        <w:t xml:space="preserve">Exhibit: Recycling/Waste Management Vendors </w:t>
        <w:tab/>
      </w:r>
      <w:r>
        <w:rPr/>
        <w:fldChar w:fldCharType="begin" w:fldLock="0"/>
      </w:r>
      <w:r>
        <w:instrText xml:space="preserve"> PAGEREF _Toc23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rtl w:val="0"/>
        </w:rPr>
        <w:t>8. Key Personnel</w:t>
        <w:tab/>
      </w:r>
      <w:r>
        <w:rPr/>
        <w:fldChar w:fldCharType="begin" w:fldLock="0"/>
      </w:r>
      <w:r>
        <w:instrText xml:space="preserve"> PAGEREF _Toc24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9. Site Specific Issues</w:t>
        <w:tab/>
      </w:r>
      <w:r>
        <w:rPr/>
        <w:fldChar w:fldCharType="begin" w:fldLock="0"/>
      </w:r>
      <w:r>
        <w:instrText xml:space="preserve"> PAGEREF _Toc25 \h </w:instrText>
      </w:r>
      <w:r>
        <w:rPr/>
        <w:fldChar w:fldCharType="separate" w:fldLock="0"/>
      </w:r>
      <w:r>
        <w:rPr>
          <w:rFonts w:cs="Arial Unicode MS" w:eastAsia="Arial Unicode MS"/>
          <w:rtl w:val="0"/>
        </w:rPr>
        <w:t>22</w:t>
      </w:r>
      <w:r>
        <w:rPr/>
        <w:fldChar w:fldCharType="end" w:fldLock="0"/>
      </w:r>
    </w:p>
    <w:p>
      <w:pPr>
        <w:pStyle w:val="TOC 2"/>
      </w:pPr>
      <w:r>
        <w:rPr>
          <w:rFonts w:cs="Arial Unicode MS" w:eastAsia="Arial Unicode MS"/>
          <w:rtl w:val="0"/>
        </w:rPr>
        <w:t xml:space="preserve">Special Cultural Resource Protection Requirements </w:t>
        <w:tab/>
      </w:r>
      <w:r>
        <w:rPr/>
        <w:fldChar w:fldCharType="begin" w:fldLock="0"/>
      </w:r>
      <w:r>
        <w:instrText xml:space="preserve"> PAGEREF _Toc26 \h </w:instrText>
      </w:r>
      <w:r>
        <w:rPr/>
        <w:fldChar w:fldCharType="separate" w:fldLock="0"/>
      </w:r>
      <w:r>
        <w:rPr>
          <w:rFonts w:cs="Arial Unicode MS" w:eastAsia="Arial Unicode MS"/>
          <w:rtl w:val="0"/>
        </w:rPr>
        <w:t>23</w:t>
      </w:r>
      <w:r>
        <w:rPr/>
        <w:fldChar w:fldCharType="end" w:fldLock="0"/>
      </w:r>
    </w:p>
    <w:p>
      <w:pPr>
        <w:pStyle w:val="TOC 3"/>
      </w:pPr>
      <w:r>
        <w:rPr>
          <w:rFonts w:cs="Arial Unicode MS" w:eastAsia="Arial Unicode MS" w:hint="default"/>
          <w:rtl w:val="0"/>
        </w:rPr>
        <w:t xml:space="preserve">Appendix - Preliminary Project Schedule – Base Bid </w:t>
        <w:tab/>
      </w:r>
      <w:r>
        <w:rPr/>
        <w:fldChar w:fldCharType="begin" w:fldLock="0"/>
      </w:r>
      <w:r>
        <w:instrText xml:space="preserve"> PAGEREF _Toc27 \h </w:instrText>
      </w:r>
      <w:r>
        <w:rPr/>
        <w:fldChar w:fldCharType="separate" w:fldLock="0"/>
      </w:r>
      <w:r>
        <w:rPr>
          <w:rFonts w:cs="Arial Unicode MS" w:eastAsia="Arial Unicode MS"/>
          <w:rtl w:val="0"/>
        </w:rPr>
        <w:t>25</w:t>
      </w:r>
      <w:r>
        <w:rPr/>
        <w:fldChar w:fldCharType="end" w:fldLock="0"/>
      </w:r>
    </w:p>
    <w:p>
      <w:pPr>
        <w:pStyle w:val="Body"/>
      </w:pPr>
      <w:r>
        <w:rPr>
          <w:b w:val="1"/>
          <w:bCs w:val="1"/>
        </w:rPr>
        <w:fldChar w:fldCharType="end" w:fldLock="0"/>
      </w:r>
    </w:p>
    <w:p>
      <w:pPr>
        <w:pStyle w:val="Body A"/>
        <w:spacing w:after="0"/>
        <w:rPr>
          <w:b w:val="1"/>
          <w:bCs w:val="1"/>
        </w:rPr>
      </w:pPr>
      <w:r>
        <w:rPr>
          <w:b w:val="1"/>
          <w:bCs w:val="1"/>
          <w:rtl w:val="0"/>
          <w:lang w:val="en-US"/>
        </w:rPr>
        <w:t>Tables</w:t>
      </w:r>
    </w:p>
    <w:p>
      <w:pPr>
        <w:pStyle w:val="Body A"/>
        <w:spacing w:after="0" w:line="240" w:lineRule="auto"/>
      </w:pPr>
      <w:r>
        <w:rPr>
          <w:rtl w:val="0"/>
          <w:lang w:val="en-US"/>
        </w:rPr>
        <w:t>Table 1. Hazardous Material Abatement Projected Difficulty Per Location</w:t>
      </w:r>
    </w:p>
    <w:p>
      <w:pPr>
        <w:pStyle w:val="Body A"/>
        <w:spacing w:after="0" w:line="240" w:lineRule="auto"/>
      </w:pPr>
      <w:r>
        <w:rPr>
          <w:rtl w:val="0"/>
          <w:lang w:val="en-US"/>
        </w:rPr>
        <w:t>Table 2. Hazardous Material Abatement Manpower Projection</w:t>
      </w:r>
    </w:p>
    <w:p>
      <w:pPr>
        <w:pStyle w:val="Body A"/>
        <w:spacing w:after="0" w:line="240" w:lineRule="auto"/>
      </w:pPr>
      <w:r>
        <w:rPr>
          <w:rtl w:val="0"/>
          <w:lang w:val="en-US"/>
        </w:rPr>
        <w:t>Table 3. Subcontractors, Consultants, Vendors, and Waste Handlers To Assist</w:t>
      </w:r>
    </w:p>
    <w:p>
      <w:pPr>
        <w:pStyle w:val="Body A"/>
        <w:spacing w:after="0" w:line="240" w:lineRule="auto"/>
      </w:pPr>
      <w:r>
        <w:rPr>
          <w:rtl w:val="0"/>
          <w:lang w:val="en-US"/>
        </w:rPr>
        <w:t>Table 4. Demolition Structure Types and Projected Difficulty Per Location</w:t>
      </w:r>
    </w:p>
    <w:p>
      <w:pPr>
        <w:pStyle w:val="Body A"/>
        <w:spacing w:after="0" w:line="240" w:lineRule="auto"/>
      </w:pPr>
      <w:r>
        <w:rPr>
          <w:rtl w:val="0"/>
          <w:lang w:val="en-US"/>
        </w:rPr>
        <w:t>Table 5. Manpower and Major Equipment Needed</w:t>
      </w:r>
    </w:p>
    <w:p>
      <w:pPr>
        <w:pStyle w:val="Body A"/>
        <w:spacing w:after="0" w:line="240" w:lineRule="auto"/>
      </w:pPr>
      <w:r>
        <w:rPr>
          <w:rtl w:val="0"/>
          <w:lang w:val="en-US"/>
        </w:rPr>
        <w:t>Table 6. Demolition Waste Recycling and Salvage Worksheet</w:t>
      </w:r>
    </w:p>
    <w:p>
      <w:pPr>
        <w:pStyle w:val="Body A"/>
        <w:spacing w:after="0" w:line="240" w:lineRule="auto"/>
      </w:pPr>
      <w:r>
        <w:rPr>
          <w:rtl w:val="0"/>
          <w:lang w:val="en-US"/>
        </w:rPr>
        <w:t>Table 7. Preliminary Activity Hazard Analysis</w:t>
      </w:r>
    </w:p>
    <w:p>
      <w:pPr>
        <w:pStyle w:val="Body A"/>
        <w:spacing w:after="0" w:line="240" w:lineRule="auto"/>
        <w:sectPr>
          <w:headerReference w:type="default" r:id="rId6"/>
          <w:footerReference w:type="default" r:id="rId7"/>
          <w:pgSz w:w="12240" w:h="15840" w:orient="portrait"/>
          <w:pgMar w:top="1440" w:right="1440" w:bottom="1440" w:left="1440" w:header="720" w:footer="864"/>
          <w:bidi w:val="0"/>
        </w:sectPr>
      </w:pPr>
      <w:r>
        <w:rPr>
          <w:rtl w:val="0"/>
          <w:lang w:val="en-US"/>
        </w:rPr>
        <w:t>Table 8. Key Personnel To Be Assigned</w:t>
      </w:r>
    </w:p>
    <w:p>
      <w:pPr>
        <w:pStyle w:val="Heading"/>
        <w:suppressAutoHyphens w:val="1"/>
      </w:pPr>
      <w:bookmarkStart w:name="_Toc" w:id="1"/>
      <w:r>
        <w:rPr>
          <w:rtl w:val="0"/>
          <w:lang w:val="en-US"/>
        </w:rPr>
        <w:t>Technical Approach</w:t>
      </w:r>
      <w:bookmarkEnd w:id="1"/>
    </w:p>
    <w:p>
      <w:pPr>
        <w:pStyle w:val="Body C"/>
      </w:pPr>
      <w:r>
        <w:rPr>
          <w:rtl w:val="0"/>
          <w:lang w:val="en-US"/>
        </w:rPr>
        <w:t>This project involves All Phase Services, Inc. (</w:t>
      </w:r>
      <w:r>
        <w:rPr>
          <w:rFonts w:ascii="Arial Unicode MS" w:hAnsi="Arial Unicode MS" w:hint="default"/>
          <w:rtl w:val="1"/>
          <w:lang w:val="ar-SA" w:bidi="ar-SA"/>
        </w:rPr>
        <w:t>“</w:t>
      </w:r>
      <w:r>
        <w:rPr>
          <w:rtl w:val="0"/>
          <w:lang w:val="en-US"/>
        </w:rPr>
        <w:t>All Phase</w:t>
      </w:r>
      <w:r>
        <w:rPr>
          <w:rtl w:val="0"/>
          <w:lang w:val="en-US"/>
        </w:rPr>
        <w:t>”</w:t>
      </w:r>
      <w:r>
        <w:rPr>
          <w:rtl w:val="0"/>
          <w:lang w:val="en-US"/>
        </w:rPr>
        <w:t xml:space="preserve">) coordinating personnel, equipment, and other resources to get this demolition process completed. In our experience, this results in inevitable complexities throughout the project, so we know it is crucial to have a well-orchestrated plan in place to coordinate the different aspects. Our project planning approach is based on a traditional </w:t>
      </w:r>
      <w:r>
        <w:rPr>
          <w:rFonts w:ascii="Arial Unicode MS" w:hAnsi="Arial Unicode MS" w:hint="default"/>
          <w:rtl w:val="1"/>
          <w:lang w:val="ar-SA" w:bidi="ar-SA"/>
        </w:rPr>
        <w:t>“</w:t>
      </w:r>
      <w:r>
        <w:rPr>
          <w:rtl w:val="0"/>
          <w:lang w:val="en-US"/>
        </w:rPr>
        <w:t>waterfall</w:t>
      </w:r>
      <w:r>
        <w:rPr>
          <w:rtl w:val="0"/>
          <w:lang w:val="en-US"/>
        </w:rPr>
        <w:t xml:space="preserve">” </w:t>
      </w:r>
      <w:r>
        <w:rPr>
          <w:rtl w:val="0"/>
          <w:lang w:val="en-US"/>
        </w:rPr>
        <w:t xml:space="preserve">approach: we set clear milestones between each task, with set due dates, deliverables, and client expectations organized on a clear timeline, as shown in the GANTT provided as an appendix. All Phase will provide at Martin Army Community Hospital, at Fort Benning, Georgia, a range of demolition services and is issued under the existing Southeast Region U.S. Facilities Reduction Program (FRP) Multiple Award Task Order Contract (MATOC); here after referred to as </w:t>
      </w:r>
      <w:r>
        <w:rPr>
          <w:rtl w:val="0"/>
          <w:lang w:val="en-US"/>
        </w:rPr>
        <w:t>“</w:t>
      </w:r>
      <w:r>
        <w:rPr>
          <w:rtl w:val="0"/>
          <w:lang w:val="en-US"/>
        </w:rPr>
        <w:t>Region MATOC</w:t>
      </w:r>
      <w:r>
        <w:rPr>
          <w:rtl w:val="0"/>
          <w:lang w:val="en-US"/>
        </w:rPr>
        <w:t>”</w:t>
      </w:r>
      <w:r>
        <w:rPr>
          <w:rtl w:val="0"/>
          <w:lang w:val="en-US"/>
        </w:rPr>
        <w:t xml:space="preserve">. All Region MATOC terms, conditions, specifications, requirements, and guidance apply to this task order. This task order will be awarded to one of the Region MATOC All Phases on a competitive basis. The purpose of this task order is to support a facilities removal project. All Phase will comply with all Installation entrance and security requirements. All Phase will be responsible for assuring that all employees meet the access requirements of the Installation prior to the execution of work action on the Installation. To that end, All Phase will adhere to the Installation operations security (OPSEC) requirements in accordance with the Antiterrorism/Operations Security Review Package. </w:t>
      </w:r>
    </w:p>
    <w:p>
      <w:pPr>
        <w:pStyle w:val="Body C"/>
      </w:pPr>
      <w:r>
        <w:rPr>
          <w:rtl w:val="0"/>
        </w:rPr>
        <w:t xml:space="preserve">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w:t>
      </w:r>
    </w:p>
    <w:p>
      <w:pPr>
        <w:pStyle w:val="Body C"/>
      </w:pPr>
      <w:r>
        <w:rPr>
          <w:rtl w:val="0"/>
        </w:rPr>
        <w:t>All Phase will provide Archaeological Monitoring services during the demolition of Martin Army Community Hospital (MACH) and any associated buildings and structures, including parking lots. This effort will consist of observing excavation activities, reporting results, and halting work in areas as needed. Because of the size and scope of this demolition, two archaeologists will need to be present to adequately monitor demolition activities. The archaeologists will be present on the project site during all construction activities until the project is completed. Fort Benning Directorate of Public Works (DPW) Cultural Resources Staff will conduct weekly site visits of the project area to assess work progress and coordinate with the project contractor</w:t>
      </w:r>
      <w:r>
        <w:rPr>
          <w:rtl w:val="0"/>
        </w:rPr>
        <w:t>’</w:t>
      </w:r>
      <w:r>
        <w:rPr>
          <w:rtl w:val="0"/>
        </w:rPr>
        <w:t>s archaeologists.</w:t>
      </w:r>
    </w:p>
    <w:p>
      <w:pPr>
        <w:pStyle w:val="Body C"/>
        <w:widowControl w:val="0"/>
      </w:pPr>
      <w:r>
        <w:rPr>
          <w:rtl w:val="0"/>
          <w:lang w:val="en-US"/>
        </w:rPr>
        <w:t>Monitoring, evaluation, recording, analysis, and reporting are to meet professional standards and be conducted by Secretary of Interior qualified archaeologists. The monitoring company</w:t>
      </w:r>
      <w:r>
        <w:rPr>
          <w:rtl w:val="0"/>
          <w:lang w:val="en-US"/>
        </w:rPr>
        <w:t>’</w:t>
      </w:r>
      <w:r>
        <w:rPr>
          <w:rtl w:val="0"/>
          <w:lang w:val="en-US"/>
        </w:rPr>
        <w:t>s staff will include a professional osteoarcheologist / physical anthropologist that the field archaeologists can consult with in case potentially human remains are encountered. Archaeological monitors will observe all ground disturbance. Archaeological monitors will have full authority to pause or stop work at any time. The demolition pace will not exceed the monitors</w:t>
      </w:r>
      <w:r>
        <w:rPr>
          <w:rtl w:val="0"/>
          <w:lang w:val="en-US"/>
        </w:rPr>
        <w:t xml:space="preserve">’ </w:t>
      </w:r>
      <w:r>
        <w:rPr>
          <w:rtl w:val="0"/>
          <w:lang w:val="en-US"/>
        </w:rPr>
        <w:t>ability to inspect and assess the work being done.</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aca"/>
        <w:tblLayout w:type="fixed"/>
      </w:tblPr>
      <w:tblGrid>
        <w:gridCol w:w="2335"/>
        <w:gridCol w:w="2335"/>
        <w:gridCol w:w="2335"/>
        <w:gridCol w:w="2335"/>
      </w:tblGrid>
      <w:tr>
        <w:tblPrEx>
          <w:shd w:val="clear" w:color="auto" w:fill="cacaca"/>
        </w:tblPrEx>
        <w:trPr>
          <w:trHeight w:val="232"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Building #</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Name</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SF</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Site Resortation</w:t>
            </w:r>
          </w:p>
        </w:tc>
      </w:tr>
      <w:tr>
        <w:tblPrEx>
          <w:shd w:val="clear" w:color="auto" w:fill="cacaca"/>
        </w:tblPrEx>
        <w:trPr>
          <w:trHeight w:val="232"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9200</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Main Hospital Building</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393,077</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Fill/Grass</w:t>
            </w:r>
          </w:p>
        </w:tc>
      </w:tr>
      <w:tr>
        <w:tblPrEx>
          <w:shd w:val="clear" w:color="auto" w:fill="cacaca"/>
        </w:tblPrEx>
        <w:trPr>
          <w:trHeight w:val="232"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9201</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Chiller Building</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1,721</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Fill/Grass</w:t>
            </w:r>
          </w:p>
        </w:tc>
      </w:tr>
      <w:tr>
        <w:tblPrEx>
          <w:shd w:val="clear" w:color="auto" w:fill="cacaca"/>
        </w:tblPrEx>
        <w:trPr>
          <w:trHeight w:val="232"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9202</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Boiler Building</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6,5590</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Fill/Grass</w:t>
            </w:r>
          </w:p>
        </w:tc>
      </w:tr>
      <w:tr>
        <w:tblPrEx>
          <w:shd w:val="clear" w:color="auto" w:fill="cacaca"/>
        </w:tblPrEx>
        <w:trPr>
          <w:trHeight w:val="232"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9208</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Admin Building</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2,442</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Fill/Grass</w:t>
            </w:r>
          </w:p>
        </w:tc>
      </w:tr>
      <w:tr>
        <w:tblPrEx>
          <w:shd w:val="clear" w:color="auto" w:fill="cacaca"/>
        </w:tblPrEx>
        <w:trPr>
          <w:trHeight w:val="232"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9211</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Office Trailers</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8,856</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Fill/Grass</w:t>
            </w:r>
          </w:p>
        </w:tc>
      </w:tr>
    </w:tbl>
    <w:p>
      <w:pPr>
        <w:pStyle w:val="Body C"/>
        <w:widowControl w:val="0"/>
      </w:pPr>
      <w:r>
        <w:rPr>
          <w:rtl w:val="0"/>
          <w:lang w:val="en-US"/>
        </w:rPr>
        <w:t xml:space="preserve"> </w:t>
      </w:r>
    </w:p>
    <w:p>
      <w:pPr>
        <w:pStyle w:val="Body C"/>
      </w:pPr>
      <w:r>
        <w:rPr>
          <w:rtl w:val="0"/>
        </w:rPr>
        <w:t>All Phase has carefully considered the requirements of the PWS and all other work scope documents, and understand the abatement task in terms of hazardous material sources and difficulty per location (Table 1). From site visit and Pre-Demolition Survey Reports, we expect to encounter asbestos containing material ACM in several of the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w:t>
      </w:r>
    </w:p>
    <w:p>
      <w:pPr>
        <w:pStyle w:val="Heading 2"/>
        <w:suppressAutoHyphens w:val="1"/>
      </w:pPr>
      <w:bookmarkStart w:name="_Toc1" w:id="2"/>
      <w:r>
        <w:rPr>
          <w:rtl w:val="0"/>
          <w:lang w:val="en-US"/>
        </w:rPr>
        <w:t>Table 1. Hazardous material abatement projected difficulty per location</w:t>
      </w:r>
      <w:bookmarkEnd w:id="2"/>
    </w:p>
    <w:p>
      <w:pPr>
        <w:pStyle w:val="Body A"/>
      </w:pPr>
    </w:p>
    <w:p>
      <w:pPr>
        <w:pStyle w:val="Body A"/>
      </w:pPr>
    </w:p>
    <w:p>
      <w:pPr>
        <w:pStyle w:val="Body C"/>
      </w:pPr>
      <w:r>
        <w:rPr>
          <w:rtl w:val="0"/>
        </w:rPr>
        <w:t>Manpower and PCM sampling needs are estimated in Table 2; this table only lists structures shown to contain ACM in the pre-demolition reports. The abatement team will consist of 1 supervisor and 7 trained abatement workers. This team will systematically move from structure to structure removing hazardous materials and enabling subsequent site preparation and demolition. ORM labor is included in Table 5 (demolition section).</w:t>
      </w:r>
    </w:p>
    <w:p>
      <w:pPr>
        <w:pStyle w:val="Heading 2"/>
        <w:suppressAutoHyphens w:val="1"/>
      </w:pPr>
      <w:bookmarkStart w:name="_Toc2" w:id="3"/>
      <w:r>
        <w:rPr>
          <w:rtl w:val="0"/>
          <w:lang w:val="en-US"/>
        </w:rPr>
        <w:t xml:space="preserve">Table 2. Hazardous material abatement manpower projection </w:t>
      </w:r>
      <w:bookmarkEnd w:id="3"/>
    </w:p>
    <w:p>
      <w:pPr>
        <w:pStyle w:val="Body A"/>
      </w:pPr>
    </w:p>
    <w:p>
      <w:pPr>
        <w:pStyle w:val="Body A"/>
      </w:pPr>
    </w:p>
    <w:p>
      <w:pPr>
        <w:pStyle w:val="Body C"/>
      </w:pPr>
      <w:r>
        <w:rPr>
          <w:rtl w:val="0"/>
        </w:rPr>
        <w:t>All Phase will self-perform all work associated with this task order. We will also call upon specialty consultants, vendors, and waste handlers to assist as needed. These entities are summarized in Table 3.</w:t>
      </w:r>
    </w:p>
    <w:p>
      <w:pPr>
        <w:pStyle w:val="Heading 2"/>
        <w:suppressAutoHyphens w:val="1"/>
      </w:pPr>
      <w:bookmarkStart w:name="_Toc3" w:id="4"/>
      <w:r>
        <w:rPr>
          <w:rtl w:val="0"/>
        </w:rPr>
        <w:t xml:space="preserve">Table 3. </w:t>
      </w:r>
      <w:commentRangeStart w:id="5"/>
      <w:r>
        <w:rPr>
          <w:rtl w:val="0"/>
          <w:lang w:val="en-US"/>
        </w:rPr>
        <w:t>Subcontractors</w:t>
      </w:r>
      <w:commentRangeEnd w:id="5"/>
      <w:r>
        <w:commentReference w:id="5"/>
      </w:r>
      <w:r>
        <w:rPr>
          <w:rtl w:val="0"/>
          <w:lang w:val="en-US"/>
        </w:rPr>
        <w:t>, consultants, vendors, and waste handlers to assist</w:t>
      </w:r>
      <w:bookmarkEnd w:id="4"/>
    </w:p>
    <w:tbl>
      <w:tblPr>
        <w:tblW w:w="934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0"/>
        <w:gridCol w:w="3348"/>
        <w:gridCol w:w="2872"/>
      </w:tblGrid>
      <w:tr>
        <w:tblPrEx>
          <w:shd w:val="clear" w:color="auto" w:fill="cadfff"/>
        </w:tblPrEx>
        <w:trPr>
          <w:trHeight w:val="232" w:hRule="atLeast"/>
        </w:trPr>
        <w:tc>
          <w:tcPr>
            <w:tcW w:type="dxa" w:w="3120"/>
            <w:tcBorders>
              <w:top w:val="single" w:color="525252" w:sz="6" w:space="0" w:shadow="0" w:frame="0"/>
              <w:left w:val="single" w:color="525252" w:sz="6" w:space="0" w:shadow="0" w:frame="0"/>
              <w:bottom w:val="single" w:color="525252" w:sz="8" w:space="0" w:shadow="0" w:frame="0"/>
              <w:right w:val="single" w:color="525252"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b w:val="1"/>
                <w:bCs w:val="1"/>
                <w:sz w:val="18"/>
                <w:szCs w:val="18"/>
                <w:u w:color="ffffff"/>
                <w:rtl w:val="0"/>
                <w:lang w:val="en-US"/>
              </w:rPr>
              <w:t>Expertise</w:t>
            </w:r>
          </w:p>
        </w:tc>
        <w:tc>
          <w:tcPr>
            <w:tcW w:type="dxa" w:w="3348"/>
            <w:tcBorders>
              <w:top w:val="single" w:color="525252" w:sz="6" w:space="0" w:shadow="0" w:frame="0"/>
              <w:left w:val="single" w:color="525252" w:sz="8" w:space="0" w:shadow="0" w:frame="0"/>
              <w:bottom w:val="single" w:color="525252" w:sz="8" w:space="0" w:shadow="0" w:frame="0"/>
              <w:right w:val="single" w:color="525252"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b w:val="1"/>
                <w:bCs w:val="1"/>
                <w:sz w:val="18"/>
                <w:szCs w:val="18"/>
                <w:u w:color="ffffff"/>
                <w:rtl w:val="0"/>
                <w:lang w:val="en-US"/>
              </w:rPr>
              <w:t>Company</w:t>
            </w:r>
          </w:p>
        </w:tc>
        <w:tc>
          <w:tcPr>
            <w:tcW w:type="dxa" w:w="2872"/>
            <w:tcBorders>
              <w:top w:val="single" w:color="525252" w:sz="6" w:space="0" w:shadow="0" w:frame="0"/>
              <w:left w:val="single" w:color="525252" w:sz="8" w:space="0" w:shadow="0" w:frame="0"/>
              <w:bottom w:val="single" w:color="525252" w:sz="8" w:space="0" w:shadow="0" w:frame="0"/>
              <w:right w:val="single" w:color="525252" w:sz="6"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b w:val="1"/>
                <w:bCs w:val="1"/>
                <w:sz w:val="18"/>
                <w:szCs w:val="18"/>
                <w:u w:color="ffffff"/>
                <w:rtl w:val="0"/>
                <w:lang w:val="en-US"/>
              </w:rPr>
              <w:t>Location</w:t>
            </w:r>
          </w:p>
        </w:tc>
      </w:tr>
      <w:tr>
        <w:tblPrEx>
          <w:shd w:val="clear" w:color="auto" w:fill="cadfff"/>
        </w:tblPrEx>
        <w:trPr>
          <w:trHeight w:val="330" w:hRule="atLeast"/>
        </w:trPr>
        <w:tc>
          <w:tcPr>
            <w:tcW w:type="dxa" w:w="3120"/>
            <w:tcBorders>
              <w:top w:val="single" w:color="525252" w:sz="8" w:space="0" w:shadow="0" w:frame="0"/>
              <w:left w:val="single" w:color="525252" w:sz="6" w:space="0" w:shadow="0" w:frame="0"/>
              <w:bottom w:val="single" w:color="525252" w:sz="8" w:space="0" w:shadow="0" w:frame="0"/>
              <w:right w:val="single" w:color="525252" w:sz="6"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Demolition</w:t>
            </w:r>
          </w:p>
        </w:tc>
        <w:tc>
          <w:tcPr>
            <w:tcW w:type="dxa" w:w="3348"/>
            <w:tcBorders>
              <w:top w:val="single" w:color="525252" w:sz="8" w:space="0" w:shadow="0" w:frame="0"/>
              <w:left w:val="single" w:color="525252" w:sz="6" w:space="0" w:shadow="0" w:frame="0"/>
              <w:bottom w:val="single" w:color="525252" w:sz="8" w:space="0" w:shadow="0" w:frame="0"/>
              <w:right w:val="single" w:color="525252" w:sz="6"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ff644e"/>
                <w:spacing w:val="0"/>
                <w:kern w:val="0"/>
                <w:position w:val="0"/>
                <w:sz w:val="20"/>
                <w:szCs w:val="20"/>
                <w:u w:val="none" w:color="000000"/>
                <w:vertAlign w:val="baseline"/>
                <w:rtl w:val="0"/>
              </w:rPr>
              <w:t>[insert]</w:t>
            </w:r>
          </w:p>
        </w:tc>
        <w:tc>
          <w:tcPr>
            <w:tcW w:type="dxa" w:w="2872"/>
            <w:tcBorders>
              <w:top w:val="single" w:color="525252" w:sz="8" w:space="0" w:shadow="0" w:frame="0"/>
              <w:left w:val="single" w:color="525252" w:sz="6"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ff644e"/>
                <w:spacing w:val="0"/>
                <w:kern w:val="0"/>
                <w:position w:val="0"/>
                <w:sz w:val="20"/>
                <w:szCs w:val="20"/>
                <w:u w:val="none" w:color="000000"/>
                <w:vertAlign w:val="baseline"/>
                <w:rtl w:val="0"/>
              </w:rPr>
              <w:t>[insert]</w:t>
            </w:r>
          </w:p>
        </w:tc>
      </w:tr>
      <w:tr>
        <w:tblPrEx>
          <w:shd w:val="clear" w:color="auto" w:fill="cadfff"/>
        </w:tblPrEx>
        <w:trPr>
          <w:trHeight w:val="412" w:hRule="atLeast"/>
        </w:trPr>
        <w:tc>
          <w:tcPr>
            <w:tcW w:type="dxa" w:w="3120"/>
            <w:tcBorders>
              <w:top w:val="single" w:color="525252" w:sz="8" w:space="0" w:shadow="0" w:frame="0"/>
              <w:left w:val="single" w:color="525252" w:sz="6"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 xml:space="preserve">CA State SWPPP </w:t>
            </w:r>
            <w:r>
              <w:rPr>
                <w:b w:val="1"/>
                <w:bCs w:val="1"/>
                <w:sz w:val="18"/>
                <w:szCs w:val="18"/>
                <w:rtl w:val="0"/>
                <w:lang w:val="en-US"/>
              </w:rPr>
              <w:t xml:space="preserve">– </w:t>
            </w:r>
            <w:r>
              <w:rPr>
                <w:b w:val="1"/>
                <w:bCs w:val="1"/>
                <w:sz w:val="18"/>
                <w:szCs w:val="18"/>
                <w:rtl w:val="0"/>
                <w:lang w:val="en-US"/>
              </w:rPr>
              <w:t>Qualified Stormwater Designer</w:t>
            </w:r>
          </w:p>
        </w:tc>
        <w:tc>
          <w:tcPr>
            <w:tcW w:type="dxa" w:w="3348"/>
            <w:tcBorders>
              <w:top w:val="single" w:color="525252" w:sz="8" w:space="0" w:shadow="0" w:frame="0"/>
              <w:left w:val="single" w:color="525252" w:sz="8"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H2E Consulting</w:t>
            </w:r>
          </w:p>
        </w:tc>
        <w:tc>
          <w:tcPr>
            <w:tcW w:type="dxa" w:w="2872"/>
            <w:tcBorders>
              <w:top w:val="single" w:color="525252" w:sz="8" w:space="0" w:shadow="0" w:frame="0"/>
              <w:left w:val="single" w:color="525252" w:sz="8" w:space="0" w:shadow="0" w:frame="0"/>
              <w:bottom w:val="single" w:color="525252" w:sz="8" w:space="0" w:shadow="0" w:frame="0"/>
              <w:right w:val="single" w:color="525252" w:sz="6"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San Francisco, CA</w:t>
            </w:r>
          </w:p>
        </w:tc>
      </w:tr>
      <w:tr>
        <w:tblPrEx>
          <w:shd w:val="clear" w:color="auto" w:fill="cadfff"/>
        </w:tblPrEx>
        <w:trPr>
          <w:trHeight w:val="212" w:hRule="atLeast"/>
        </w:trPr>
        <w:tc>
          <w:tcPr>
            <w:tcW w:type="dxa" w:w="3120"/>
            <w:tcBorders>
              <w:top w:val="single" w:color="525252" w:sz="8" w:space="0" w:shadow="0" w:frame="0"/>
              <w:left w:val="single" w:color="525252" w:sz="6"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State of California Certified Biologist</w:t>
            </w:r>
          </w:p>
        </w:tc>
        <w:tc>
          <w:tcPr>
            <w:tcW w:type="dxa" w:w="3348"/>
            <w:tcBorders>
              <w:top w:val="single" w:color="525252" w:sz="8" w:space="0" w:shadow="0" w:frame="0"/>
              <w:left w:val="single" w:color="525252" w:sz="8"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Jacobs Engineering Group, Inc.</w:t>
            </w:r>
          </w:p>
        </w:tc>
        <w:tc>
          <w:tcPr>
            <w:tcW w:type="dxa" w:w="2872"/>
            <w:tcBorders>
              <w:top w:val="single" w:color="525252" w:sz="8" w:space="0" w:shadow="0" w:frame="0"/>
              <w:left w:val="single" w:color="525252" w:sz="8" w:space="0" w:shadow="0" w:frame="0"/>
              <w:bottom w:val="single" w:color="525252" w:sz="8" w:space="0" w:shadow="0" w:frame="0"/>
              <w:right w:val="single" w:color="525252" w:sz="6"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Pasadena, CA</w:t>
            </w:r>
          </w:p>
        </w:tc>
      </w:tr>
      <w:tr>
        <w:tblPrEx>
          <w:shd w:val="clear" w:color="auto" w:fill="cadfff"/>
        </w:tblPrEx>
        <w:trPr>
          <w:trHeight w:val="310" w:hRule="atLeast"/>
        </w:trPr>
        <w:tc>
          <w:tcPr>
            <w:tcW w:type="dxa" w:w="3120"/>
            <w:tcBorders>
              <w:top w:val="single" w:color="525252" w:sz="8" w:space="0" w:shadow="0" w:frame="0"/>
              <w:left w:val="single" w:color="525252" w:sz="6"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CIH</w:t>
            </w:r>
          </w:p>
        </w:tc>
        <w:tc>
          <w:tcPr>
            <w:tcW w:type="dxa" w:w="3348"/>
            <w:tcBorders>
              <w:top w:val="single" w:color="525252" w:sz="8" w:space="0" w:shadow="0" w:frame="0"/>
              <w:left w:val="single" w:color="525252" w:sz="8"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ff644e"/>
                <w:spacing w:val="0"/>
                <w:kern w:val="0"/>
                <w:position w:val="0"/>
                <w:sz w:val="20"/>
                <w:szCs w:val="20"/>
                <w:u w:val="none" w:color="000000"/>
                <w:vertAlign w:val="baseline"/>
                <w:rtl w:val="0"/>
              </w:rPr>
              <w:t>[insert]</w:t>
            </w:r>
          </w:p>
        </w:tc>
        <w:tc>
          <w:tcPr>
            <w:tcW w:type="dxa" w:w="2872"/>
            <w:tcBorders>
              <w:top w:val="single" w:color="525252" w:sz="8" w:space="0" w:shadow="0" w:frame="0"/>
              <w:left w:val="single" w:color="525252" w:sz="8" w:space="0" w:shadow="0" w:frame="0"/>
              <w:bottom w:val="single" w:color="525252" w:sz="8" w:space="0" w:shadow="0" w:frame="0"/>
              <w:right w:val="single" w:color="525252" w:sz="6"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ff644e"/>
                <w:spacing w:val="0"/>
                <w:kern w:val="0"/>
                <w:position w:val="0"/>
                <w:sz w:val="20"/>
                <w:szCs w:val="20"/>
                <w:u w:val="none" w:color="000000"/>
                <w:vertAlign w:val="baseline"/>
                <w:rtl w:val="0"/>
              </w:rPr>
              <w:t>[insert]</w:t>
            </w:r>
          </w:p>
        </w:tc>
      </w:tr>
      <w:tr>
        <w:tblPrEx>
          <w:shd w:val="clear" w:color="auto" w:fill="cadfff"/>
        </w:tblPrEx>
        <w:trPr>
          <w:trHeight w:val="212" w:hRule="atLeast"/>
        </w:trPr>
        <w:tc>
          <w:tcPr>
            <w:tcW w:type="dxa" w:w="3120"/>
            <w:tcBorders>
              <w:top w:val="single" w:color="525252" w:sz="8" w:space="0" w:shadow="0" w:frame="0"/>
              <w:left w:val="single" w:color="525252" w:sz="6"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Safety equipment</w:t>
            </w:r>
          </w:p>
        </w:tc>
        <w:tc>
          <w:tcPr>
            <w:tcW w:type="dxa" w:w="3348"/>
            <w:tcBorders>
              <w:top w:val="single" w:color="525252" w:sz="8" w:space="0" w:shadow="0" w:frame="0"/>
              <w:left w:val="single" w:color="525252" w:sz="8"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Needham</w:t>
            </w:r>
          </w:p>
        </w:tc>
        <w:tc>
          <w:tcPr>
            <w:tcW w:type="dxa" w:w="2872"/>
            <w:tcBorders>
              <w:top w:val="single" w:color="525252" w:sz="8" w:space="0" w:shadow="0" w:frame="0"/>
              <w:left w:val="single" w:color="525252" w:sz="8" w:space="0" w:shadow="0" w:frame="0"/>
              <w:bottom w:val="single" w:color="525252" w:sz="8" w:space="0" w:shadow="0" w:frame="0"/>
              <w:right w:val="single" w:color="525252" w:sz="6"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Framingham, MA</w:t>
            </w:r>
          </w:p>
        </w:tc>
      </w:tr>
      <w:tr>
        <w:tblPrEx>
          <w:shd w:val="clear" w:color="auto" w:fill="cadfff"/>
        </w:tblPrEx>
        <w:trPr>
          <w:trHeight w:val="212" w:hRule="atLeast"/>
        </w:trPr>
        <w:tc>
          <w:tcPr>
            <w:tcW w:type="dxa" w:w="3120"/>
            <w:tcBorders>
              <w:top w:val="single" w:color="525252" w:sz="8" w:space="0" w:shadow="0" w:frame="0"/>
              <w:left w:val="single" w:color="525252" w:sz="6"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Refrigerant recovery</w:t>
            </w:r>
          </w:p>
        </w:tc>
        <w:tc>
          <w:tcPr>
            <w:tcW w:type="dxa" w:w="3348"/>
            <w:tcBorders>
              <w:top w:val="single" w:color="525252" w:sz="8" w:space="0" w:shadow="0" w:frame="0"/>
              <w:left w:val="single" w:color="525252" w:sz="8"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Rapid Recovery</w:t>
            </w:r>
          </w:p>
        </w:tc>
        <w:tc>
          <w:tcPr>
            <w:tcW w:type="dxa" w:w="2872"/>
            <w:tcBorders>
              <w:top w:val="single" w:color="525252" w:sz="8" w:space="0" w:shadow="0" w:frame="0"/>
              <w:left w:val="single" w:color="525252" w:sz="8" w:space="0" w:shadow="0" w:frame="0"/>
              <w:bottom w:val="single" w:color="525252" w:sz="8" w:space="0" w:shadow="0" w:frame="0"/>
              <w:right w:val="single" w:color="525252" w:sz="6"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Nationwide</w:t>
            </w:r>
          </w:p>
        </w:tc>
      </w:tr>
      <w:tr>
        <w:tblPrEx>
          <w:shd w:val="clear" w:color="auto" w:fill="cadfff"/>
        </w:tblPrEx>
        <w:trPr>
          <w:trHeight w:val="452" w:hRule="atLeast"/>
        </w:trPr>
        <w:tc>
          <w:tcPr>
            <w:tcW w:type="dxa" w:w="3120"/>
            <w:tcBorders>
              <w:top w:val="single" w:color="525252" w:sz="8" w:space="0" w:shadow="0" w:frame="0"/>
              <w:left w:val="single" w:color="525252" w:sz="6"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rPr>
                <w:sz w:val="18"/>
                <w:szCs w:val="18"/>
              </w:rPr>
            </w:pPr>
            <w:r>
              <w:rPr>
                <w:b w:val="1"/>
                <w:bCs w:val="1"/>
                <w:sz w:val="18"/>
                <w:szCs w:val="18"/>
                <w:rtl w:val="0"/>
                <w:lang w:val="en-US"/>
              </w:rPr>
              <w:t>Landfill</w:t>
            </w:r>
          </w:p>
          <w:p>
            <w:pPr>
              <w:pStyle w:val="Body C"/>
              <w:bidi w:val="0"/>
              <w:spacing w:after="0" w:line="240" w:lineRule="auto"/>
              <w:ind w:left="0" w:right="0" w:firstLine="0"/>
              <w:jc w:val="center"/>
              <w:outlineLvl w:val="0"/>
              <w:rPr>
                <w:rtl w:val="0"/>
              </w:rPr>
            </w:pPr>
            <w:r>
              <w:rPr>
                <w:sz w:val="18"/>
                <w:szCs w:val="18"/>
                <w:rtl w:val="0"/>
                <w:lang w:val="en-US"/>
              </w:rPr>
              <w:t>C&amp;D</w:t>
            </w:r>
          </w:p>
        </w:tc>
        <w:tc>
          <w:tcPr>
            <w:tcW w:type="dxa" w:w="3348"/>
            <w:tcBorders>
              <w:top w:val="single" w:color="525252" w:sz="8" w:space="0" w:shadow="0" w:frame="0"/>
              <w:left w:val="single" w:color="525252" w:sz="8"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Pine Grove Municipal Solid Waste Landfill</w:t>
            </w:r>
          </w:p>
        </w:tc>
        <w:tc>
          <w:tcPr>
            <w:tcW w:type="dxa" w:w="2872"/>
            <w:tcBorders>
              <w:top w:val="single" w:color="525252" w:sz="8" w:space="0" w:shadow="0" w:frame="0"/>
              <w:left w:val="single" w:color="525252" w:sz="8" w:space="0" w:shadow="0" w:frame="0"/>
              <w:bottom w:val="single" w:color="000000" w:sz="8" w:space="0" w:shadow="0" w:frame="0"/>
              <w:right w:val="single" w:color="525252" w:sz="6"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Columbus, GA</w:t>
            </w:r>
          </w:p>
        </w:tc>
      </w:tr>
      <w:tr>
        <w:tblPrEx>
          <w:shd w:val="clear" w:color="auto" w:fill="cadfff"/>
        </w:tblPrEx>
        <w:trPr>
          <w:trHeight w:val="452" w:hRule="atLeast"/>
        </w:trPr>
        <w:tc>
          <w:tcPr>
            <w:tcW w:type="dxa" w:w="3120"/>
            <w:tcBorders>
              <w:top w:val="single" w:color="000000" w:sz="8" w:space="0" w:shadow="0" w:frame="0"/>
              <w:left w:val="single" w:color="525252" w:sz="6"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rPr>
                <w:sz w:val="18"/>
                <w:szCs w:val="18"/>
              </w:rPr>
            </w:pPr>
            <w:r>
              <w:rPr>
                <w:b w:val="1"/>
                <w:bCs w:val="1"/>
                <w:sz w:val="18"/>
                <w:szCs w:val="18"/>
                <w:rtl w:val="0"/>
                <w:lang w:val="en-US"/>
              </w:rPr>
              <w:t>Landfill</w:t>
            </w:r>
          </w:p>
          <w:p>
            <w:pPr>
              <w:pStyle w:val="Body C"/>
              <w:bidi w:val="0"/>
              <w:spacing w:after="0" w:line="240" w:lineRule="auto"/>
              <w:ind w:left="0" w:right="0" w:firstLine="0"/>
              <w:jc w:val="center"/>
              <w:outlineLvl w:val="0"/>
              <w:rPr>
                <w:rtl w:val="0"/>
              </w:rPr>
            </w:pPr>
            <w:r>
              <w:rPr>
                <w:sz w:val="18"/>
                <w:szCs w:val="18"/>
                <w:rtl w:val="0"/>
                <w:lang w:val="en-US"/>
              </w:rPr>
              <w:t>friable + non-friable asbestos</w:t>
            </w:r>
          </w:p>
        </w:tc>
        <w:tc>
          <w:tcPr>
            <w:tcW w:type="dxa" w:w="3348"/>
            <w:tcBorders>
              <w:top w:val="single" w:color="000000" w:sz="8" w:space="0" w:shadow="0" w:frame="0"/>
              <w:left w:val="single" w:color="525252" w:sz="8"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Pine Grove Municipal Solid Waste Landfill</w:t>
            </w:r>
          </w:p>
        </w:tc>
        <w:tc>
          <w:tcPr>
            <w:tcW w:type="dxa" w:w="2872"/>
            <w:tcBorders>
              <w:top w:val="single" w:color="000000" w:sz="8" w:space="0" w:shadow="0" w:frame="0"/>
              <w:left w:val="single" w:color="525252" w:sz="8" w:space="0" w:shadow="0" w:frame="0"/>
              <w:bottom w:val="single" w:color="000000" w:sz="8" w:space="0" w:shadow="0" w:frame="0"/>
              <w:right w:val="single" w:color="525252" w:sz="6"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Columbus, GA</w:t>
            </w:r>
          </w:p>
        </w:tc>
      </w:tr>
      <w:tr>
        <w:tblPrEx>
          <w:shd w:val="clear" w:color="auto" w:fill="cadfff"/>
        </w:tblPrEx>
        <w:trPr>
          <w:trHeight w:val="310" w:hRule="atLeast"/>
        </w:trPr>
        <w:tc>
          <w:tcPr>
            <w:tcW w:type="dxa" w:w="3120"/>
            <w:tcBorders>
              <w:top w:val="single" w:color="000000" w:sz="8" w:space="0" w:shadow="0" w:frame="0"/>
              <w:left w:val="single" w:color="525252" w:sz="6"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Concrete and Asphalt Recycling</w:t>
            </w:r>
          </w:p>
        </w:tc>
        <w:tc>
          <w:tcPr>
            <w:tcW w:type="dxa" w:w="3348"/>
            <w:tcBorders>
              <w:top w:val="single" w:color="000000" w:sz="8" w:space="0" w:shadow="0" w:frame="0"/>
              <w:left w:val="single" w:color="525252" w:sz="8"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Pine Hollow Landfill</w:t>
            </w:r>
          </w:p>
        </w:tc>
        <w:tc>
          <w:tcPr>
            <w:tcW w:type="dxa" w:w="2872"/>
            <w:tcBorders>
              <w:top w:val="single" w:color="000000" w:sz="8" w:space="0" w:shadow="0" w:frame="0"/>
              <w:left w:val="single" w:color="525252" w:sz="8" w:space="0" w:shadow="0" w:frame="0"/>
              <w:bottom w:val="single" w:color="000000" w:sz="8" w:space="0" w:shadow="0" w:frame="0"/>
              <w:right w:val="single" w:color="525252" w:sz="6"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Phoenix City, AL </w:t>
            </w:r>
          </w:p>
        </w:tc>
      </w:tr>
      <w:tr>
        <w:tblPrEx>
          <w:shd w:val="clear" w:color="auto" w:fill="cadfff"/>
        </w:tblPrEx>
        <w:trPr>
          <w:trHeight w:val="232" w:hRule="atLeast"/>
        </w:trPr>
        <w:tc>
          <w:tcPr>
            <w:tcW w:type="dxa" w:w="3120"/>
            <w:tcBorders>
              <w:top w:val="single" w:color="000000" w:sz="8" w:space="0" w:shadow="0" w:frame="0"/>
              <w:left w:val="single" w:color="525252" w:sz="6"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Universal Wastes</w:t>
            </w:r>
          </w:p>
        </w:tc>
        <w:tc>
          <w:tcPr>
            <w:tcW w:type="dxa" w:w="3348"/>
            <w:tcBorders>
              <w:top w:val="single" w:color="000000" w:sz="8" w:space="0" w:shadow="0" w:frame="0"/>
              <w:left w:val="single" w:color="525252" w:sz="8"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20"/>
                <w:szCs w:val="20"/>
                <w:rtl w:val="0"/>
                <w:lang w:val="en-US"/>
              </w:rPr>
              <w:t>Veolia ES Technical Solutions</w:t>
            </w:r>
          </w:p>
        </w:tc>
        <w:tc>
          <w:tcPr>
            <w:tcW w:type="dxa" w:w="2872"/>
            <w:tcBorders>
              <w:top w:val="single" w:color="000000" w:sz="8" w:space="0" w:shadow="0" w:frame="0"/>
              <w:left w:val="single" w:color="525252" w:sz="8" w:space="0" w:shadow="0" w:frame="0"/>
              <w:bottom w:val="single" w:color="000000" w:sz="8" w:space="0" w:shadow="0" w:frame="0"/>
              <w:right w:val="single" w:color="525252" w:sz="6"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20"/>
                <w:szCs w:val="20"/>
                <w:rtl w:val="0"/>
                <w:lang w:val="en-US"/>
              </w:rPr>
              <w:t>Nationwide</w:t>
            </w:r>
          </w:p>
        </w:tc>
      </w:tr>
      <w:tr>
        <w:tblPrEx>
          <w:shd w:val="clear" w:color="auto" w:fill="cadfff"/>
        </w:tblPrEx>
        <w:trPr>
          <w:trHeight w:val="232" w:hRule="atLeast"/>
        </w:trPr>
        <w:tc>
          <w:tcPr>
            <w:tcW w:type="dxa" w:w="3120"/>
            <w:tcBorders>
              <w:top w:val="single" w:color="000000" w:sz="8" w:space="0" w:shadow="0" w:frame="0"/>
              <w:left w:val="single" w:color="525252" w:sz="6"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Metals Salvage</w:t>
            </w:r>
          </w:p>
        </w:tc>
        <w:tc>
          <w:tcPr>
            <w:tcW w:type="dxa" w:w="3348"/>
            <w:tcBorders>
              <w:top w:val="single" w:color="000000" w:sz="8" w:space="0" w:shadow="0" w:frame="0"/>
              <w:left w:val="single" w:color="525252" w:sz="8"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Schnitzer Steel</w:t>
            </w:r>
          </w:p>
        </w:tc>
        <w:tc>
          <w:tcPr>
            <w:tcW w:type="dxa" w:w="2872"/>
            <w:tcBorders>
              <w:top w:val="single" w:color="000000" w:sz="8" w:space="0" w:shadow="0" w:frame="0"/>
              <w:left w:val="single" w:color="525252" w:sz="8" w:space="0" w:shadow="0" w:frame="0"/>
              <w:bottom w:val="single" w:color="000000" w:sz="8" w:space="0" w:shadow="0" w:frame="0"/>
              <w:right w:val="single" w:color="525252" w:sz="6"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Columbus, GA</w:t>
            </w:r>
          </w:p>
        </w:tc>
      </w:tr>
      <w:tr>
        <w:tblPrEx>
          <w:shd w:val="clear" w:color="auto" w:fill="cadfff"/>
        </w:tblPrEx>
        <w:trPr>
          <w:trHeight w:val="310" w:hRule="atLeast"/>
        </w:trPr>
        <w:tc>
          <w:tcPr>
            <w:tcW w:type="dxa" w:w="3120"/>
            <w:tcBorders>
              <w:top w:val="single" w:color="000000" w:sz="8" w:space="0" w:shadow="0" w:frame="0"/>
              <w:left w:val="single" w:color="525252" w:sz="6" w:space="0" w:shadow="0" w:frame="0"/>
              <w:bottom w:val="single" w:color="525252" w:sz="6"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Topsoil / Backfill</w:t>
            </w:r>
          </w:p>
        </w:tc>
        <w:tc>
          <w:tcPr>
            <w:tcW w:type="dxa" w:w="3348"/>
            <w:tcBorders>
              <w:top w:val="single" w:color="000000" w:sz="8" w:space="0" w:shadow="0" w:frame="0"/>
              <w:left w:val="single" w:color="525252" w:sz="8" w:space="0" w:shadow="0" w:frame="0"/>
              <w:bottom w:val="single" w:color="525252" w:sz="6" w:space="0" w:shadow="0" w:frame="0"/>
              <w:right w:val="single" w:color="525252"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American Sand &amp; Gravel</w:t>
            </w:r>
          </w:p>
        </w:tc>
        <w:tc>
          <w:tcPr>
            <w:tcW w:type="dxa" w:w="2872"/>
            <w:tcBorders>
              <w:top w:val="single" w:color="000000" w:sz="8" w:space="0" w:shadow="0" w:frame="0"/>
              <w:left w:val="single" w:color="525252" w:sz="8" w:space="0" w:shadow="0" w:frame="0"/>
              <w:bottom w:val="single" w:color="525252" w:sz="6" w:space="0" w:shadow="0" w:frame="0"/>
              <w:right w:val="single" w:color="525252" w:sz="6"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Cataula, GA</w:t>
            </w:r>
          </w:p>
        </w:tc>
      </w:tr>
    </w:tbl>
    <w:p>
      <w:pPr>
        <w:pStyle w:val="Heading 2"/>
        <w:widowControl w:val="0"/>
        <w:suppressAutoHyphens w:val="1"/>
        <w:ind w:left="2" w:hanging="2"/>
      </w:pPr>
    </w:p>
    <w:p>
      <w:pPr>
        <w:pStyle w:val="Body C"/>
      </w:pPr>
    </w:p>
    <w:p>
      <w:pPr>
        <w:pStyle w:val="Heading"/>
        <w:suppressAutoHyphens w:val="1"/>
      </w:pPr>
      <w:bookmarkStart w:name="_Toc4" w:id="6"/>
      <w:r>
        <w:rPr>
          <w:rtl w:val="0"/>
          <w:lang w:val="en-US"/>
        </w:rPr>
        <w:t>1. Project Planning</w:t>
      </w:r>
      <w:bookmarkEnd w:id="6"/>
    </w:p>
    <w:p>
      <w:pPr>
        <w:pStyle w:val="Body C"/>
      </w:pPr>
      <w:r>
        <w:rPr>
          <w:rtl w:val="0"/>
        </w:rPr>
        <w:t>All Phase creates a customized project plan, which is why the first step we conduct is a thorough site assessment. This includes a survey of the structures, as well as the surrounding area and anything that could be affected during demolition. Knowing what materials were used in the building of the structure and how it was built is important, as both will have an impact on the demolition strategy. It</w:t>
      </w:r>
      <w:r>
        <w:rPr>
          <w:rtl w:val="0"/>
        </w:rPr>
        <w:t>’</w:t>
      </w:r>
      <w:r>
        <w:rPr>
          <w:rtl w:val="0"/>
        </w:rPr>
        <w:t xml:space="preserve">s also crucial to learn about potential hazardous materials that could be onsite, including anything flammable or explosive </w:t>
      </w:r>
      <w:r>
        <w:rPr>
          <w:rtl w:val="0"/>
        </w:rPr>
        <w:t xml:space="preserve">— </w:t>
      </w:r>
      <w:r>
        <w:rPr>
          <w:rtl w:val="0"/>
        </w:rPr>
        <w:t>and obtaining all of the necessary permits.</w:t>
      </w:r>
    </w:p>
    <w:p>
      <w:pPr>
        <w:pStyle w:val="Body C"/>
      </w:pPr>
      <w:r>
        <w:rPr>
          <w:rtl w:val="0"/>
        </w:rPr>
        <w:t xml:space="preserve">Upon award of this task order, the All Phase will prepare and submit for acceptance a set of Work Plans and related documents, within the allotted time, incorporating the findings of any Pre-Demolition Assessment performed. The Work Plan will identify available markets and landfill resources in the general area in order to develop the Diversion/Re-cycle Plan to obtain the maximum cost effective re-use/disposal of this facility. These plans and documents will be prepared in accordance with all applicable Federal, State, and Local regulations, the instructions and guidance in the basic MATOC, and this task order PWS. All Phase will incorporate information and data from the pre-proposal site visit, official responses to submitted questions (via ProjNet), and other documents as available. </w:t>
      </w:r>
    </w:p>
    <w:p>
      <w:pPr>
        <w:pStyle w:val="Body C"/>
      </w:pPr>
      <w:r>
        <w:rPr>
          <w:rtl w:val="0"/>
          <w:lang w:val="en-US"/>
        </w:rPr>
        <w:t>All Phase</w:t>
      </w:r>
      <w:r>
        <w:rPr>
          <w:rFonts w:ascii="Arial Unicode MS" w:hAnsi="Arial Unicode MS" w:hint="default"/>
          <w:rtl w:val="1"/>
          <w:lang w:val="ar-SA" w:bidi="ar-SA"/>
        </w:rPr>
        <w:t>’</w:t>
      </w:r>
      <w:r>
        <w:rPr>
          <w:rtl w:val="0"/>
          <w:lang w:val="en-US"/>
        </w:rPr>
        <w:t xml:space="preserve">s performance with respect to Work Plans will be rated in the Quality Assurance process. Work Plans are to address the specific needs of the task order. The inclusion of standardized processes in the technical descriptions is acceptable. Generic documents that do not address the site specific needs are unacceptable. All Phase will highlight all revisions within the Work Plan subsequent to the initial submittal. A </w:t>
      </w:r>
      <w:r>
        <w:rPr>
          <w:rFonts w:ascii="Arial Unicode MS" w:hAnsi="Arial Unicode MS" w:hint="default"/>
          <w:rtl w:val="1"/>
          <w:lang w:val="ar-SA" w:bidi="ar-SA"/>
        </w:rPr>
        <w:t>“</w:t>
      </w:r>
      <w:r>
        <w:rPr>
          <w:rtl w:val="0"/>
          <w:lang w:val="de-DE"/>
        </w:rPr>
        <w:t>Changes List</w:t>
      </w:r>
      <w:r>
        <w:rPr>
          <w:rtl w:val="0"/>
          <w:lang w:val="de-DE"/>
        </w:rPr>
        <w:t xml:space="preserve">” </w:t>
      </w:r>
      <w:r>
        <w:rPr>
          <w:rtl w:val="0"/>
          <w:lang w:val="en-US"/>
        </w:rPr>
        <w:t xml:space="preserve">that states the required change and the page on which it is located will be placed at the front of the document for each re-submittal of the Work Plan. </w:t>
      </w:r>
    </w:p>
    <w:p>
      <w:pPr>
        <w:pStyle w:val="Body C"/>
      </w:pPr>
      <w:r>
        <w:rPr>
          <w:rtl w:val="0"/>
        </w:rPr>
        <w:t>For the Site Specific Work Plan, it will be submitted in accordance with the requirements of DID FRP-11-001 and the specific requirements of the government</w:t>
      </w:r>
      <w:r>
        <w:rPr>
          <w:rtl w:val="0"/>
        </w:rPr>
        <w:t>’</w:t>
      </w:r>
      <w:r>
        <w:rPr>
          <w:rtl w:val="0"/>
        </w:rPr>
        <w:t xml:space="preserve">s PWS. The Work Plan will include the various sub-plans necessary to support/prosecute the work, e.g., Pre-Demolition Assessment Plan, Asbestos Abatement Plan, Site Specific Demolition Plan, Diversion/Re-Use Plan, etc., as well as the plans listed below. A detailed project schedule providing abatement and demolition timelines by building or groups of buildings, restoration of sites by individual site or groups of sites, and a projected completion date will be included in the Work Plan. </w:t>
      </w:r>
    </w:p>
    <w:p>
      <w:pPr>
        <w:pStyle w:val="Body C"/>
      </w:pPr>
      <w:r>
        <w:rPr>
          <w:rtl w:val="0"/>
          <w:lang w:val="en-US"/>
        </w:rPr>
        <w:t xml:space="preserve">All Phase will provide a site-specific Accident Prevention Plan (APP), in accordance with U.S. Army Corps of Engineers Health and Safety Requirements, manual EM 385-1- 1. The APP will include a complete site-specific Activity Hazard Analysis (AHA) for each activity of the work. Refer to FRP Region MATOC Sections 1.11 and 5.6, as well as Technical Exhibit 3 (Particularly APPENDIX I of DID FRP-11-001) and Technical Exhibit 4 (DID MFRP002) for requirements and instructions. In particular, the All Phase will develop as part of the APP, specific requirements for any </w:t>
      </w:r>
      <w:r>
        <w:rPr>
          <w:rFonts w:ascii="Arial Unicode MS" w:hAnsi="Arial Unicode MS" w:hint="default"/>
          <w:rtl w:val="1"/>
          <w:lang w:val="ar-SA" w:bidi="ar-SA"/>
        </w:rPr>
        <w:t>“</w:t>
      </w:r>
      <w:r>
        <w:rPr>
          <w:rtl w:val="0"/>
          <w:lang w:val="en-US"/>
        </w:rPr>
        <w:t>lift plan(s)</w:t>
      </w:r>
      <w:r>
        <w:rPr>
          <w:rtl w:val="0"/>
          <w:lang w:val="de-DE"/>
        </w:rPr>
        <w:t xml:space="preserve">” </w:t>
      </w:r>
      <w:r>
        <w:rPr>
          <w:rtl w:val="0"/>
          <w:lang w:val="en-US"/>
        </w:rPr>
        <w:t xml:space="preserve">needed to remove vessels, equipment, trusses, or other items that require use of a crane or other lifting device which may cause hazards to personnel or structures. A specific hazard analysis for each location/type of lift will be provided. Areas adjacent to the areas of demolition may be occupied. Work is to be conducted in such a manner as to minimize migration of dust and odors from the work area and into adjacent occupied spaces which can cause disruption of normal operations. All Phase will provide protection to ensure safety of passage of people around the demolition area and from occupied portions of adjacent buildings and structures. The Site-Safety Health Officer and the Quality Control Manager will be present on-site at all time while field activities are occurring per the Installation Preventive Medicine Industrial Hygienist. </w:t>
      </w:r>
    </w:p>
    <w:p>
      <w:pPr>
        <w:pStyle w:val="Body C"/>
      </w:pPr>
      <w:r>
        <w:rPr>
          <w:rtl w:val="0"/>
        </w:rPr>
        <w:t xml:space="preserve">All Phase will prepare a Quality Control Plan (QCP) per requirements and guidance in FRP Region MATOC. The QCP pecial attention should be given to Sections 1.9 and 5.7 of the Region MATOC, as well as Technical Exhibit 3 (Particularly APPENDIX C of DID FRP-11-001). In addition, All Phase will produce a Storm Water Pollution Prevention Plan (SWPPP) and obtain the necessary permits. All Phase will submit for acceptance, a SWPPP in accordance with Federal, State, and Local requirements. The SWPPP permit meeting all Federal, State, and Local requirements will be presented for the record. All Phase will research, prepare and submit all permits and notifications as required by Federal, State, local, and installation regulations and requirements. </w:t>
      </w:r>
    </w:p>
    <w:p>
      <w:pPr>
        <w:pStyle w:val="Body C"/>
      </w:pPr>
      <w:r>
        <w:rPr>
          <w:rtl w:val="0"/>
        </w:rPr>
        <w:t xml:space="preserve">Following acceptance of the Work Plans and related documents, the All Phase will be directed to execute the contract in accordance with the PWS after issuance of a Notice to Proceed (NTP). All Phase can then proceed to to Mobilization/Demobilization and Site Setup. We will transport labor, equipment, and materials to work site, in-processing, and site orientation. We will then proceed with installation of storm water protection system, installation of temporary safety fencing, and any other features required by permit. All Phase will be responsible for all utility disconnections in accordance with utility Owner requirements. All Phase will notify the appropriate installation POC and the utility Owner 10-days prior to severing each utility. All Phase will be responsible for obtaining any permits, filing and paying fees, and disconnection charges. Utility disconnections will be performed to the standards and requirements of the Installation and the utility Owner. These milestones will be documented within the Work Plan schedule and will be validated with the Installation/Garrison at the time of the Kick-Off Meeting for Field Activities. Prior to execution, the All Phase will obtain consensus from all stakeholders and provide a utility Cut &amp; Cap Plan to the Installation, Utility Owners, and Permitting Agencies. Any issues in obtaining stakeholder consensus will be coordinated with the Installation/Garrison POC. </w:t>
      </w:r>
    </w:p>
    <w:p>
      <w:pPr>
        <w:pStyle w:val="Heading"/>
        <w:suppressAutoHyphens w:val="1"/>
      </w:pPr>
      <w:bookmarkStart w:name="_Toc5" w:id="7"/>
      <w:r>
        <w:rPr>
          <w:rtl w:val="0"/>
          <w:lang w:val="en-US"/>
        </w:rPr>
        <w:t>2. Abatement Approach and Disposal</w:t>
      </w:r>
      <w:bookmarkEnd w:id="7"/>
    </w:p>
    <w:p>
      <w:pPr>
        <w:pStyle w:val="Body C"/>
      </w:pPr>
      <w:r>
        <w:rPr>
          <w:rtl w:val="0"/>
        </w:rPr>
        <w:t xml:space="preserve">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 ACM Abatement and ORM Removal and Disposal includes the following: All Phase will abate, remove, and dispose of ACM and ORM in accordance with Federal, State, and Local regulations. All Phase will comply with the Installation environmental requirements for manifesting, transportation, and disposal of ACM and ORM. </w:t>
      </w:r>
    </w:p>
    <w:p>
      <w:pPr>
        <w:pStyle w:val="Body C"/>
      </w:pPr>
      <w:r>
        <w:rPr>
          <w:rtl w:val="0"/>
          <w:lang w:val="en-US"/>
        </w:rPr>
        <w:t xml:space="preserve">ACM waste generated by this task order will be transported and legally disposed of at a U.S. EPA-approved asbestos waste disposal facility. All Phase will submit waste manifests for Government's record within 45 days documenting compliance with the requirements of this Section. The removal and disposal of ORM, which are, at a minimum, PCB-containing light ballasts, mercury-containing light tubes, mercury-containing thermostats and self-actuated fire alarms, will be performed prior to demolition. ORM waste generated by this task order will be transported and legally disposed of at an acceptable </w:t>
      </w:r>
      <w:r>
        <w:rPr>
          <w:rtl w:val="0"/>
          <w:lang w:val="de-DE"/>
        </w:rPr>
        <w:t>and</w:t>
      </w:r>
      <w:r>
        <w:rPr>
          <w:rtl w:val="0"/>
          <w:lang w:val="en-US"/>
        </w:rPr>
        <w:t xml:space="preserve"> appropriate waste disposal facility. All Phase will submit waste manifests for Government's record within 45 days documenting compliance with the requirements of the PWS. </w:t>
      </w:r>
    </w:p>
    <w:p>
      <w:pPr>
        <w:pStyle w:val="Body C"/>
      </w:pPr>
      <w:r>
        <w:rPr>
          <w:rtl w:val="0"/>
        </w:rPr>
        <w:t>The steps to safe polychlorinated biphenyls (PCBs) abatement activities apply when air and/or building materials have been tested and PCBs</w:t>
      </w:r>
      <w:r>
        <w:rPr>
          <w:rtl w:val="0"/>
        </w:rPr>
        <w:t> </w:t>
      </w:r>
      <w:r>
        <w:rPr>
          <w:rtl w:val="0"/>
        </w:rPr>
        <w:t>have been found present, or when a contractor undertakes a PCB-abatement activity.</w:t>
      </w:r>
      <w:r>
        <w:rPr>
          <w:rtl w:val="0"/>
        </w:rPr>
        <w:t xml:space="preserve">  </w:t>
      </w:r>
      <w:r>
        <w:rPr>
          <w:rtl w:val="0"/>
        </w:rPr>
        <w:t>If our abatement plan details how to dispose of the PCB caulk and any contaminated building materials together, we may dispose of all the materials as a PCB bulk product waste</w:t>
      </w:r>
      <w:r>
        <w:rPr>
          <w:rtl w:val="0"/>
        </w:rPr>
        <w:t> </w:t>
      </w:r>
      <w:r>
        <w:rPr>
          <w:rtl w:val="0"/>
        </w:rPr>
        <w:t>even if the PCB caulk becomes separated from the adjacent contaminated building materials during remediation. As we have learned in the past, All Phase realizes that PCB caulk may need to be separated during removal from adjacent contaminated building materials due to the presence of other hazardous materials or may accidentally be separated during the removal process.</w:t>
      </w:r>
    </w:p>
    <w:p>
      <w:pPr>
        <w:pStyle w:val="Body C"/>
      </w:pPr>
      <w:r>
        <w:rPr>
          <w:rtl w:val="0"/>
        </w:rPr>
        <w:t>Materials with the highest PCB concentrations should receive a high priority, as they pose the greatest potential for direct exposure and release of PCBs to indoor air. Caulk with lower concentrations that is not intact and is peeling, brittle, cracking or visibly deteriorating also has a high potential for release of PCBs and also poses a potential to contaminate sand or soil or to be ingested. Materials contaminated with PCBs that are easily accessible by building occupants should receive a higher priority when evaluating the need for removal because of the potential for direct exposure. Note that, in addition to the accessibility of the contaminated material to the abatement workers, the accessibility rating should take into account the potential for building occupants to contact PCB-containing building material directly (dermal or ingestion) or indirectly via the air handling system (inhalation).</w:t>
      </w:r>
    </w:p>
    <w:p>
      <w:pPr>
        <w:pStyle w:val="Heading 2"/>
        <w:suppressAutoHyphens w:val="1"/>
      </w:pPr>
      <w:bookmarkStart w:name="_Toc6" w:id="8"/>
      <w:r>
        <w:rPr>
          <w:rtl w:val="0"/>
          <w:lang w:val="en-US"/>
        </w:rPr>
        <w:t>Abatement and Disposal of Asbestos Containing Material</w:t>
      </w:r>
      <w:bookmarkEnd w:id="8"/>
    </w:p>
    <w:p>
      <w:pPr>
        <w:pStyle w:val="Body C"/>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pPr>
      <w:r>
        <w:rPr>
          <w:rtl w:val="0"/>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w:t>
      </w:r>
    </w:p>
    <w:p>
      <w:pPr>
        <w:pStyle w:val="Body C"/>
      </w:pPr>
      <w:r>
        <w:rPr>
          <w:i w:val="1"/>
          <w:iCs w:val="1"/>
          <w:rtl w:val="0"/>
          <w:lang w:val="en-US"/>
        </w:rPr>
        <w:t>Full enclosure method for friable materials</w:t>
      </w:r>
      <w:r>
        <w:rPr>
          <w:rtl w:val="0"/>
        </w:rPr>
        <w:t xml:space="preserve"> (e.g., pipe insulation, floor tile, and mastic, joint compound, tank insulation, boiler and duct insulation): These materials will be removed as OSHA Class I. All critical openings such as windows, doors, vents, etc. will be sealed with two layers of 6-mil poly and duct tape. All walls floors and ceilings will be sealed with two layers of 6-mil plastic to create a full containment, only exposing the materials scheduled for abatement. </w:t>
      </w:r>
    </w:p>
    <w:p>
      <w:pPr>
        <w:pStyle w:val="Body C"/>
      </w:pPr>
      <w:r>
        <w:rPr>
          <w:rtl w:val="0"/>
        </w:rPr>
        <w:t xml:space="preserve">Glove bag method for friable materials: Materials such as pipe insulation and pipe fittings will also be removed as OSHA Class I in areas with less than 260 linear feet of ACM. </w:t>
      </w:r>
    </w:p>
    <w:p>
      <w:pPr>
        <w:pStyle w:val="Body C"/>
      </w:pPr>
      <w:r>
        <w:rPr>
          <w:i w:val="1"/>
          <w:iCs w:val="1"/>
          <w:rtl w:val="0"/>
          <w:lang w:val="en-US"/>
        </w:rPr>
        <w:t>Method for Category II non-friable materials</w:t>
      </w:r>
      <w:r>
        <w:rPr>
          <w:rtl w:val="0"/>
        </w:rPr>
        <w:t xml:space="preserve"> (e.g., window glazing, door caulking, gaskets, expansion joint caulking): These materials will be removed as OSHA Class II. A 20-ft Control Area extending around work (where feasible) will be barricaded-off and signs will be posted in all areas that can be visible or have possible access. </w:t>
      </w:r>
    </w:p>
    <w:p>
      <w:pPr>
        <w:pStyle w:val="Body C"/>
      </w:pPr>
      <w:r>
        <w:rPr>
          <w:rtl w:val="0"/>
        </w:rPr>
        <w:t xml:space="preserve">Materials will be wrapped or bagged and then sealed within the work area, then carried, labeled and placed in the appropriate ACM waste container. 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w:t>
      </w:r>
    </w:p>
    <w:p>
      <w:pPr>
        <w:pStyle w:val="Body C"/>
      </w:pPr>
      <w:r>
        <w:rPr>
          <w:i w:val="1"/>
          <w:iCs w:val="1"/>
          <w:rtl w:val="0"/>
          <w:lang w:val="en-US"/>
        </w:rPr>
        <w:t>Decontamination Unit</w:t>
      </w:r>
      <w:r>
        <w:rPr>
          <w:rtl w:val="0"/>
        </w:rPr>
        <w:t>: The decontamination station is designed to allow passage to and from the work area during removal operations with no leakage of asbestos fibers outside the contained work area. The airlocks are formed by overlapping three sheets of polyethylene at the exit of each room, and three sheets at the entrance to the next room with 2-3 feet of space between barriers. Workers use this area to suit up, store street clothes, and put on respiratory protection before they enter the work area, and to dress in clean clothes after washing.</w:t>
      </w:r>
    </w:p>
    <w:p>
      <w:pPr>
        <w:pStyle w:val="Body C"/>
      </w:pPr>
      <w:r>
        <w:rPr>
          <w:i w:val="1"/>
          <w:iCs w:val="1"/>
          <w:rtl w:val="0"/>
          <w:lang w:val="en-US"/>
        </w:rPr>
        <w:t>Shower Room</w:t>
      </w:r>
      <w:r>
        <w:rPr>
          <w:rtl w:val="0"/>
        </w:rPr>
        <w:t xml:space="preserve">: Workers pass through the shower room on their way to the removal area, and use the shower area on their way out after leaving their contaminated clothing in the equipment room. Workers place disposable clothing such as coveralls, boots, and hoods in bins before leaving this area for the wash room. </w:t>
      </w:r>
    </w:p>
    <w:p>
      <w:pPr>
        <w:pStyle w:val="Body C"/>
      </w:pPr>
      <w:r>
        <w:rPr>
          <w:i w:val="1"/>
          <w:iCs w:val="1"/>
          <w:rtl w:val="0"/>
          <w:lang w:val="en-US"/>
        </w:rPr>
        <w:t>Description of Protective Equipment</w:t>
      </w:r>
      <w:r>
        <w:rPr>
          <w:rtl w:val="0"/>
        </w:rPr>
        <w: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w:t>
      </w:r>
    </w:p>
    <w:p>
      <w:pPr>
        <w:pStyle w:val="Body C"/>
      </w:pPr>
      <w:r>
        <w:rPr>
          <w:i w:val="1"/>
          <w:iCs w:val="1"/>
          <w:rtl w:val="0"/>
          <w:lang w:val="en-US"/>
        </w:rPr>
        <w:t>Initial Exposure Assessment</w:t>
      </w:r>
      <w:r>
        <w:rPr>
          <w:rtl w:val="0"/>
        </w:rPr>
        <w: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pPr>
      <w:r>
        <w:rPr>
          <w:i w:val="1"/>
          <w:iCs w:val="1"/>
          <w:rtl w:val="0"/>
          <w:lang w:val="en-US"/>
        </w:rPr>
        <w:t>Basis of Initial Exposure Assessment</w:t>
      </w:r>
      <w:r>
        <w:rPr>
          <w:rtl w:val="0"/>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 The material is to be collected from the floor with squeegees, plastic shovels, or other appropriate tools and placed in 6 mil labeled bags for disposal.</w:t>
      </w:r>
    </w:p>
    <w:p>
      <w:pPr>
        <w:pStyle w:val="Body C"/>
      </w:pPr>
      <w:r>
        <w:rPr>
          <w:i w:val="1"/>
          <w:iCs w:val="1"/>
          <w:rtl w:val="0"/>
          <w:lang w:val="en-US"/>
        </w:rPr>
        <w:t>Perform Final Wipe Down of Equipment</w:t>
      </w:r>
      <w:r>
        <w:rPr>
          <w:rtl w:val="0"/>
        </w:rPr>
        <w:t xml:space="preserve">: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w:t>
      </w:r>
    </w:p>
    <w:p>
      <w:pPr>
        <w:pStyle w:val="Body C"/>
      </w:pPr>
      <w:r>
        <w:rPr>
          <w:i w:val="1"/>
          <w:iCs w:val="1"/>
          <w:rtl w:val="0"/>
          <w:lang w:val="en-US"/>
        </w:rPr>
        <w:t>Visual Inspection of all Surface Areas</w:t>
      </w:r>
      <w:r>
        <w:rPr>
          <w:rtl w:val="0"/>
        </w:rPr>
        <w:t xml:space="preserve">: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 All workers performing encapsulation will wear disposable protective clothing and respirators for asbestos because the area is treated as contaminated. </w:t>
      </w:r>
    </w:p>
    <w:p>
      <w:pPr>
        <w:pStyle w:val="Body C"/>
      </w:pPr>
      <w:r>
        <w:rPr>
          <w:i w:val="1"/>
          <w:iCs w:val="1"/>
          <w:rtl w:val="0"/>
          <w:lang w:val="en-US"/>
        </w:rPr>
        <w:t>Training &amp; Medical Surveillance</w:t>
      </w:r>
      <w:r>
        <w:rPr>
          <w:rtl w:val="0"/>
        </w:rPr>
        <w:t xml:space="preserve">: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ACM waste will be placed in approved, marked containers (e.g., smaller amounts in special sealable plastic bags; large amounts sealed inside plastic 55-gallon drums made for this purpose or other approved containers). </w:t>
      </w:r>
    </w:p>
    <w:p>
      <w:pPr>
        <w:pStyle w:val="Heading"/>
        <w:suppressAutoHyphens w:val="1"/>
      </w:pPr>
      <w:bookmarkStart w:name="_Toc7" w:id="9"/>
      <w:r>
        <w:rPr>
          <w:rtl w:val="0"/>
          <w:lang w:val="en-US"/>
        </w:rPr>
        <w:t>3. Project Execution</w:t>
      </w:r>
      <w:bookmarkEnd w:id="9"/>
    </w:p>
    <w:p>
      <w:pPr>
        <w:pStyle w:val="Body C"/>
      </w:pPr>
      <w:r>
        <w:rPr>
          <w:rtl w:val="0"/>
          <w:lang w:val="en-US"/>
        </w:rPr>
        <w:t>At All Phase, we recognize that on-site management requires a chain of different tasks and responsibilities which are followed with great precision in order for the demolition project to be delivered according to the PMP. This on-site PM expands, updates, and modifies the PMP in conjunction with the All Phase team as necessary to reflect further information, the government</w:t>
      </w:r>
      <w:r>
        <w:rPr>
          <w:rFonts w:ascii="Arial Unicode MS" w:hAnsi="Arial Unicode MS" w:hint="default"/>
          <w:rtl w:val="1"/>
          <w:lang w:val="ar-SA" w:bidi="ar-SA"/>
        </w:rPr>
        <w:t>’</w:t>
      </w:r>
      <w:r>
        <w:rPr>
          <w:rtl w:val="0"/>
          <w:lang w:val="en-US"/>
        </w:rPr>
        <w:t xml:space="preserve">s detailed specifications or changed circumstances. When appropriate, the PM will make proposals for the acceleration of all or part of any demolition work package or task elements to achieve the target dates of the project. All Phase will obtain an Excavation Permit through the Operating All Phase prior to any land disturbance. Permit copies must be available for review at the job site. Excavated soils will comply with installation excavation permit. In the event soil or groundwater is encountered that exhibits discoloration or unusual odors the All Phase will immediately cease work and remove personnel from the area in which the suspect soil or groundwater was encountered and immediately notify the COR for further direction. All Phase will obtain a Hot Work permit for any activity such as maintenance, repairs, alterations, construction, demolition, or other activity that is capable of initiating fires or explosions. </w:t>
      </w:r>
    </w:p>
    <w:p>
      <w:pPr>
        <w:pStyle w:val="Body C"/>
      </w:pPr>
      <w:r>
        <w:rPr>
          <w:rtl w:val="0"/>
        </w:rPr>
        <w:t xml:space="preserve">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generally co-ordinate any further setting out carried out by the workforce. If needed, All Phase will submit a Notice of Intent (NOI) to the proper authority for a Construction Storm Water Permit and comply with all applicable requirements. If necessary, we will engage a Qualified Stormwater Designer (see Table 3) to ensure that all SWPPP and National Pollutant Discharge Elimination System (NPDES) permit requirements are in compliance. In accord with generally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in order to address the specific needs of this task order. All Phase project personnel will attend an on-board review on site, if needed, and be prepared to address, resolve, and incorporate all comments at this meeting. </w:t>
      </w:r>
    </w:p>
    <w:p>
      <w:pPr>
        <w:pStyle w:val="Body C"/>
      </w:pPr>
      <w:r>
        <w:rPr>
          <w:b w:val="1"/>
          <w:bCs w:val="1"/>
          <w:i w:val="1"/>
          <w:iCs w:val="1"/>
          <w:rtl w:val="0"/>
          <w:lang w:val="nl-NL"/>
        </w:rPr>
        <w:t>Coordination</w:t>
      </w:r>
      <w:r>
        <w:rPr>
          <w:rtl w:val="0"/>
          <w:lang w:val="en-US"/>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Fonts w:ascii="Arial Unicode MS" w:hAnsi="Arial Unicode MS" w:hint="default"/>
          <w:rtl w:val="1"/>
          <w:lang w:val="ar-SA" w:bidi="ar-SA"/>
        </w:rPr>
        <w:t>’</w:t>
      </w:r>
      <w:r>
        <w:rPr>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pPr>
      <w:r>
        <w:rPr>
          <w:b w:val="1"/>
          <w:bCs w:val="1"/>
          <w:i w:val="1"/>
          <w:iCs w:val="1"/>
          <w:rtl w:val="0"/>
          <w:lang w:val="en-US"/>
        </w:rPr>
        <w:t>Traffic and Work Hours</w:t>
      </w:r>
      <w:r>
        <w:rPr>
          <w:rtl w:val="0"/>
        </w:rPr>
        <w:t>: Haul routes will be identified/approved after award but prior to mobilization.</w:t>
      </w:r>
    </w:p>
    <w:p>
      <w:pPr>
        <w:pStyle w:val="Body C"/>
      </w:pPr>
      <w:r>
        <w:rPr>
          <w:b w:val="1"/>
          <w:bCs w:val="1"/>
          <w:i w:val="1"/>
          <w:iCs w:val="1"/>
          <w:rtl w:val="0"/>
          <w:lang w:val="en-US"/>
        </w:rPr>
        <w:t>Staging</w:t>
      </w:r>
      <w:r>
        <w:rPr>
          <w:rtl w:val="0"/>
        </w:rPr>
        <w:t>: We will confirm the precise locations for staging with the CO/COR.</w:t>
      </w:r>
    </w:p>
    <w:p>
      <w:pPr>
        <w:pStyle w:val="Body C"/>
      </w:pPr>
      <w:r>
        <w:rPr>
          <w:b w:val="1"/>
          <w:bCs w:val="1"/>
          <w:i w:val="1"/>
          <w:iCs w:val="1"/>
          <w:rtl w:val="0"/>
          <w:lang w:val="en-US"/>
        </w:rPr>
        <w:t>Utilities</w:t>
      </w:r>
      <w:r>
        <w:rPr>
          <w:rtl w:val="0"/>
        </w:rPr>
        <w:t xml:space="preserve">: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government site manager at the project Kick-Off Meeting. If a non-pole mounted transformer (i.e., pad mounted transformer) is a part of the ancillary portion of this task order, then the utility owner must certify that it does not contain PCB. If it does contain PCB, the utility owner will be responsible for sampling and draining/closeout of the transformer prior to removal by the All Phase. Any above ground transformers and light poles not removed by the privatized utility as part of retirement will be the responsibility of the All Phase to remove and properly dispose. </w:t>
      </w:r>
    </w:p>
    <w:p>
      <w:pPr>
        <w:pStyle w:val="Body C"/>
      </w:pPr>
      <w:r>
        <w:rPr>
          <w:b w:val="1"/>
          <w:bCs w:val="1"/>
          <w:i w:val="1"/>
          <w:iCs w:val="1"/>
          <w:rtl w:val="0"/>
          <w:lang w:val="en-US"/>
        </w:rPr>
        <w:t>Execution</w:t>
      </w:r>
      <w:r>
        <w:rPr>
          <w:rtl w:val="0"/>
        </w:rPr>
        <w:t xml:space="preserve">: Upon award, All Phase will immediately start coordinating all submittals and arranging storage areas on base for abatement equipment &amp; materials, fuel tank(s) with a spill pan, equipment lay down areas, and asbestos container locations. </w:t>
      </w:r>
    </w:p>
    <w:p>
      <w:pPr>
        <w:pStyle w:val="Body C"/>
      </w:pPr>
      <w:r>
        <w:rPr>
          <w:rtl w:val="0"/>
        </w:rPr>
        <w:t>Our Quality Control Manager (QCM) will perform a walk 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Heading 2"/>
        <w:suppressAutoHyphens w:val="1"/>
      </w:pPr>
      <w:bookmarkStart w:name="_Toc8" w:id="10"/>
      <w:r>
        <w:rPr>
          <w:rtl w:val="0"/>
          <w:lang w:val="en-US"/>
        </w:rPr>
        <w:t>Reporting</w:t>
      </w:r>
      <w:bookmarkEnd w:id="10"/>
    </w:p>
    <w:p>
      <w:pPr>
        <w:pStyle w:val="Body C"/>
      </w:pPr>
      <w:r>
        <w:rPr>
          <w:rtl w:val="0"/>
        </w:rPr>
        <w:t xml:space="preserve">All Phase will submit a status report via e-mail every week to the Government Project Manager by close of business on the first working day of each week. We will submit a monthly Progress Report not later than the tenth day of the month. All Phase will submit monthly to the Fort Benning Solid Waste Manager, the weight, quantity, and diversion cost of: 1) Municipal Solid Waste; and 2) Construction &amp; Demolition debris diverted (used as daily cover, reused, or recycled): compost, mulch, recycle, reuse, and donation. </w:t>
      </w:r>
    </w:p>
    <w:p>
      <w:pPr>
        <w:pStyle w:val="Body C"/>
      </w:pPr>
      <w:r>
        <w:rPr>
          <w:rtl w:val="0"/>
        </w:rPr>
        <w:t>All Phase will submit a weekly status report via RMS and email a copy to the Government Team by close of business on the first working day of each week. All Phase will submit a monthly Progress Report via RMS by close of business on the eighth day of the month. All Phase will submit a monthly summary report of accident experience, exposure, Restricted Duty (RD), and Lost Workdays (LWD). via RMS by close of business on the seventh day of the month. All Phase will submit all the information required for Manpower Reporting in the format specified at the following web address: https://www.beta.sam.gov All Phase will provide a final report in accordance with Attachment 10, Demolition and Recycling Final Report. The summary detail will include the quantity and type of debris materials recycled, salvaged, reused, and disposed of and will be presented in chart form showing: original material quantity estimated, quantity recycled, percentage recycled, and approximate cost or cost savings versus a commercial landfill/disposal facility alternative. Within five working days after date of meeting, All Phase will prepare meeting notes in typed form and furnish it to the Government PM for concurrence and distribution to all attendees. A short statement reflecting archeological site protection as provided by the Archeological Resource Protection Act of 1979 (ARPA) will be prominently displayed on the front cover of all reports. Preliminary Schedule</w:t>
      </w:r>
      <w:r>
        <w:br w:type="textWrapping"/>
      </w:r>
      <w:commentRangeStart w:id="11"/>
    </w:p>
    <w:p>
      <w:pPr>
        <w:pStyle w:val="Body C"/>
      </w:pPr>
      <w:r>
        <w:rPr>
          <w:rtl w:val="0"/>
        </w:rPr>
        <w:t xml:space="preserve">In the attached appendix, we attach our work schedule in the form of a Gantt Chart. The schedule is broken down into four main work phases: (1) Start-up + Mobilization; (2) Hazmat Abatement + Salvage + Demolition, (3) Site Restoration + Demobilization; and (4) Project Close-out. The schedule assumes an award date of ________. The timeline terminates at _______, a period of _____ work days </w:t>
      </w:r>
      <w:r>
        <w:rPr>
          <w:rtl w:val="0"/>
        </w:rPr>
        <w:t xml:space="preserve">— </w:t>
      </w:r>
      <w:r>
        <w:rPr>
          <w:rtl w:val="0"/>
        </w:rPr>
        <w:t>a full five (5) days fewer than the maximum allowed.</w:t>
      </w:r>
    </w:p>
    <w:p>
      <w:pPr>
        <w:pStyle w:val="Body C"/>
      </w:pPr>
      <w:r>
        <w:rPr>
          <w:rtl w:val="0"/>
        </w:rPr>
        <w:t>As described previously, All Phase will execute the project using an abatement crew consisting of a Supervisor overseeing laborers. The demolition crew will consist of a Supervisor plus operators and laborers. There is no stated order of priority in the PWS. Following the project startup phase, the base bid structures targeted will be systematically abated and demolished in the order shown in the schedule, beginning on ______. The total Abatement / Demo work phase will consume ____ work days. Site restoration will commence after all buildings have been demolished starting on , with ___ work days allocated. Demobilization will begin on ____ and the final report will be delivered to the government by ______. After review and re-submittal, the project will close-out on _______.</w:t>
      </w:r>
    </w:p>
    <w:p>
      <w:pPr>
        <w:pStyle w:val="Heading 2"/>
        <w:suppressAutoHyphens w:val="1"/>
      </w:pPr>
      <w:bookmarkStart w:name="_Toc9" w:id="12"/>
      <w:r>
        <w:rPr>
          <w:rtl w:val="0"/>
          <w:lang w:val="en-US"/>
        </w:rPr>
        <w:t>Schedule Adjustment for Optional Tasks</w:t>
      </w:r>
      <w:bookmarkEnd w:id="12"/>
    </w:p>
    <w:p>
      <w:pPr>
        <w:pStyle w:val="Body C"/>
      </w:pPr>
      <w:r>
        <w:rPr>
          <w:rtl w:val="0"/>
        </w:rPr>
        <w:t>Scheduling requirements for Option 1 (DESCRIPTION) and Option 2 (DESCRIPTION) require additional work days of ______ and ______, respectively (for Abatement/Demo and Site Restoration work phases). We therefore estimate that the overall time needed for project completion including Options 1 and 2 will increase by ____ days, for a final close-out date of _____. We show our Base Bid + Options schedule in the appendix to this proposal.</w:t>
      </w:r>
      <w:r>
        <w:br w:type="textWrapping"/>
      </w:r>
      <w:commentRangeEnd w:id="11"/>
      <w:r>
        <w:commentReference w:id="11"/>
      </w:r>
    </w:p>
    <w:p>
      <w:pPr>
        <w:pStyle w:val="Heading 2"/>
        <w:suppressAutoHyphens w:val="1"/>
      </w:pPr>
      <w:bookmarkStart w:name="_Toc10" w:id="13"/>
      <w:r>
        <w:rPr>
          <w:rtl w:val="0"/>
          <w:lang w:val="en-US"/>
        </w:rPr>
        <w:t>Change Orders</w:t>
      </w:r>
      <w:bookmarkEnd w:id="13"/>
    </w:p>
    <w:p>
      <w:pPr>
        <w:pStyle w:val="Body C"/>
      </w:pPr>
      <w:r>
        <w:rPr>
          <w:rtl w:val="0"/>
        </w:rPr>
        <w:t>By closely reviewing the master schedule on a weekly basis, All Phase will anticipate impacts caused by owner changes, unforeseen site conditions, weather, etc. We have the ability to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pPr>
      <w:r>
        <w:rPr>
          <w:b w:val="1"/>
          <w:bCs w:val="1"/>
          <w:i w:val="1"/>
          <w:iCs w:val="1"/>
          <w:rtl w:val="0"/>
          <w:lang w:val="en-US"/>
        </w:rPr>
        <w:t>Unforeseen Conditions and Change Orders</w:t>
      </w:r>
      <w:r>
        <w:rPr>
          <w:rtl w:val="0"/>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(see Table 3).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w:t>
      </w:r>
    </w:p>
    <w:p>
      <w:pPr>
        <w:pStyle w:val="Body C"/>
      </w:pPr>
      <w:r>
        <w:rPr>
          <w:rtl w:val="0"/>
          <w:lang w:val="en-US"/>
        </w:rPr>
        <w:t>If our senior management team has agreed that a Change Order is appropriate, the Project Manager will manage the information needed for submitting a change order request. President Carlos Martins will be involved in the process to ensure the company</w:t>
      </w:r>
      <w:r>
        <w:rPr>
          <w:rFonts w:ascii="Arial Unicode MS" w:hAnsi="Arial Unicode MS" w:hint="default"/>
          <w:rtl w:val="1"/>
          <w:lang w:val="ar-SA" w:bidi="ar-SA"/>
        </w:rPr>
        <w:t>’</w:t>
      </w:r>
      <w:r>
        <w:rPr>
          <w:rtl w:val="0"/>
          <w:lang w:val="en-US"/>
        </w:rPr>
        <w:t>s most accurate price estimate for the Change Order.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w:suppressAutoHyphens w:val="1"/>
      </w:pPr>
      <w:bookmarkStart w:name="_Toc11" w:id="14"/>
      <w:r>
        <w:rPr>
          <w:rtl w:val="0"/>
          <w:lang w:val="en-US"/>
        </w:rPr>
        <w:t>4. Demolition Approach</w:t>
      </w:r>
      <w:bookmarkEnd w:id="14"/>
    </w:p>
    <w:p>
      <w:pPr>
        <w:pStyle w:val="Body C"/>
      </w:pPr>
      <w:r>
        <w:rPr>
          <w:rtl w:val="0"/>
          <w:lang w:val="en-US"/>
        </w:rPr>
        <w:t>In order for the demolition of the buildings go smoothly, we will draft a Project Management Plan (PMP) for the government</w:t>
      </w:r>
      <w:r>
        <w:rPr>
          <w:rFonts w:ascii="Arial Unicode MS" w:hAnsi="Arial Unicode MS" w:hint="default"/>
          <w:rtl w:val="1"/>
          <w:lang w:val="ar-SA" w:bidi="ar-SA"/>
        </w:rPr>
        <w:t>’</w:t>
      </w:r>
      <w:r>
        <w:rPr>
          <w:rtl w:val="0"/>
          <w:lang w:val="en-US"/>
        </w:rPr>
        <w:t xml:space="preserve">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 We will ensure interior equipment and machinery whether attached to the structure or free-standing is removed. Exterior pole-mounted lights (those light poles not removed by the privatized utility) and other equipment within the facilities demolition polygon, as designated, and/or any pole or other item that hinders the facility removal process or contributes a safety hazard. </w:t>
      </w:r>
    </w:p>
    <w:p>
      <w:pPr>
        <w:pStyle w:val="Body C"/>
      </w:pPr>
      <w:r>
        <w:rPr>
          <w:rtl w:val="0"/>
        </w:rPr>
        <w:t xml:space="preserve">Except where specified or reserved by the Government, all items and objects, materials, and equipment, that are on, in, or within the facilities demolition polygon at the time of mobilization are the property of the All Phase and will be removed. All foundations and other underground features will be removed in their entirety. Exceptions may be allowed at the discretion of and with written acceptance from the contracting officer for deep foundations such as piles or piers. </w:t>
      </w:r>
    </w:p>
    <w:p>
      <w:pPr>
        <w:pStyle w:val="Body C"/>
      </w:pPr>
      <w:r>
        <w:rPr>
          <w:rtl w:val="0"/>
        </w:rPr>
        <w:t xml:space="preserve">All Phase will demolish and remove all ancillary items associated with each facility within the facilities limits of demolition or as otherwise indicated in the PWS. Items may include overhead conveyance systems, unused utilities, walkways and sidewalks, utility poles, fencing, equipment pads, and utility corridors. All Phase will install temporary protective barriers and remove them when the FRP QA permits. Properly placarded chain link fencing with secured gates is required as a temporary protective barrier for this task order. Unless specified or required otherwise chain link fence will be a minimum of six (6) feet in height. </w:t>
      </w:r>
    </w:p>
    <w:p>
      <w:pPr>
        <w:pStyle w:val="Heading 2"/>
        <w:suppressAutoHyphens w:val="1"/>
      </w:pPr>
      <w:bookmarkStart w:name="_Toc12" w:id="15"/>
      <w:r>
        <w:rPr>
          <w:rtl w:val="0"/>
          <w:lang w:val="en-US"/>
        </w:rPr>
        <w:t>Task Order-Specific Approach</w:t>
      </w:r>
      <w:bookmarkEnd w:id="15"/>
    </w:p>
    <w:p>
      <w:pPr>
        <w:pStyle w:val="Body C"/>
      </w:pPr>
      <w:r>
        <w:rPr>
          <w:rtl w:val="0"/>
          <w:lang w:val="en-US"/>
        </w:rPr>
        <w:t xml:space="preserve">We distinguish several main demolition structure </w:t>
      </w:r>
      <w:r>
        <w:rPr>
          <w:rFonts w:ascii="Arial Unicode MS" w:hAnsi="Arial Unicode MS" w:hint="default"/>
          <w:rtl w:val="1"/>
          <w:lang w:val="ar-SA" w:bidi="ar-SA"/>
        </w:rPr>
        <w:t>“</w:t>
      </w:r>
      <w:r>
        <w:rPr>
          <w:rtl w:val="0"/>
          <w:lang w:val="en-US"/>
        </w:rPr>
        <w:t>types</w:t>
      </w:r>
      <w:r>
        <w:rPr>
          <w:rtl w:val="0"/>
          <w:lang w:val="en-US"/>
        </w:rPr>
        <w:t xml:space="preserve">” </w:t>
      </w:r>
      <w:r>
        <w:rPr>
          <w:rtl w:val="0"/>
          <w:lang w:val="en-US"/>
        </w:rPr>
        <w:t>and indicate how difficult we anticipate the required effort will be (Table 4).</w:t>
      </w:r>
    </w:p>
    <w:p>
      <w:pPr>
        <w:pStyle w:val="Heading 2"/>
        <w:suppressAutoHyphens w:val="1"/>
      </w:pPr>
      <w:bookmarkStart w:name="_Toc13" w:id="16"/>
      <w:r>
        <w:rPr>
          <w:rtl w:val="0"/>
          <w:lang w:val="en-US"/>
        </w:rPr>
        <w:t>Table 4. Demolition Structure Types and Projected Difficulty Per Location</w:t>
      </w:r>
      <w:bookmarkEnd w:id="16"/>
    </w:p>
    <w:p>
      <w:pPr>
        <w:pStyle w:val="Body C"/>
      </w:pPr>
    </w:p>
    <w:p>
      <w:pPr>
        <w:pStyle w:val="Body C"/>
      </w:pPr>
    </w:p>
    <w:p>
      <w:pPr>
        <w:pStyle w:val="Body C"/>
      </w:pPr>
    </w:p>
    <w:p>
      <w:pPr>
        <w:pStyle w:val="Body C"/>
      </w:pPr>
      <w:r>
        <w:rPr>
          <w:rtl w:val="0"/>
        </w:rPr>
        <w:t>All of the work can be accomplished using an 80K# class excavator with various attachments and skid steers. Little hand work will be required. None of these demolition tasks should prove unusual or difficult.</w:t>
      </w:r>
    </w:p>
    <w:p>
      <w:pPr>
        <w:pStyle w:val="Body C"/>
      </w:pPr>
      <w:r>
        <w:rPr>
          <w:rtl w:val="0"/>
        </w:rPr>
        <w:t>Manpower and Equipment: Effort required to salvage and recycle usable materials and demolish and restore the site is summarized in Table 5.</w:t>
      </w:r>
    </w:p>
    <w:p>
      <w:pPr>
        <w:pStyle w:val="Body C"/>
      </w:pPr>
      <w:r>
        <w:rPr>
          <w:rtl w:val="0"/>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 80K# class demolition excavator, skid steers, and various trucks.</w:t>
      </w:r>
    </w:p>
    <w:p>
      <w:pPr>
        <w:pStyle w:val="Heading 2"/>
        <w:suppressAutoHyphens w:val="1"/>
      </w:pPr>
      <w:bookmarkStart w:name="_Toc14" w:id="17"/>
      <w:r>
        <w:rPr>
          <w:rtl w:val="0"/>
          <w:lang w:val="fr-FR"/>
        </w:rPr>
        <w:t>Table 5</w:t>
      </w:r>
      <w:r>
        <w:rPr>
          <w:rtl w:val="0"/>
          <w:lang w:val="en-US"/>
        </w:rPr>
        <w:t xml:space="preserve">. Manpower and Major Equipment Needed </w:t>
      </w:r>
      <w:bookmarkEnd w:id="17"/>
    </w:p>
    <w:p>
      <w:pPr>
        <w:pStyle w:val="Body A"/>
      </w:pPr>
    </w:p>
    <w:p>
      <w:pPr>
        <w:pStyle w:val="Heading"/>
        <w:pageBreakBefore w:val="1"/>
        <w:suppressAutoHyphens w:val="1"/>
      </w:pPr>
      <w:bookmarkStart w:name="_Toc15" w:id="18"/>
      <w:r>
        <w:rPr>
          <w:rtl w:val="0"/>
          <w:lang w:val="en-US"/>
        </w:rPr>
        <w:t>5. Debris Handling, Waste Diversion, Recycling</w:t>
      </w:r>
      <w:bookmarkEnd w:id="18"/>
    </w:p>
    <w:p>
      <w:pPr>
        <w:pStyle w:val="Body C"/>
        <w:spacing w:after="60"/>
      </w:pPr>
      <w:r>
        <w:rPr>
          <w:rtl w:val="0"/>
          <w:lang w:val="en-US"/>
        </w:rPr>
        <w:t>All Phase is fastidious in its implementation of the 3R</w:t>
      </w:r>
      <w:r>
        <w:rPr>
          <w:rFonts w:ascii="Arial Unicode MS" w:hAnsi="Arial Unicode MS" w:hint="default"/>
          <w:rtl w:val="1"/>
          <w:lang w:val="ar-SA" w:bidi="ar-SA"/>
        </w:rPr>
        <w:t>’</w:t>
      </w:r>
      <w:r>
        <w:rPr>
          <w:rtl w:val="0"/>
          <w:lang w:val="en-US"/>
        </w:rPr>
        <w:t>s:</w:t>
      </w:r>
    </w:p>
    <w:p>
      <w:pPr>
        <w:pStyle w:val="Body C"/>
        <w:spacing w:after="60"/>
        <w:ind w:left="720" w:firstLine="0"/>
      </w:pPr>
      <w:r>
        <w:rPr>
          <w:rtl w:val="0"/>
          <w:lang w:val="en-US"/>
        </w:rPr>
        <w:t xml:space="preserve">• </w:t>
      </w:r>
      <w:r>
        <w:rPr>
          <w:rtl w:val="0"/>
          <w:lang w:val="en-US"/>
        </w:rPr>
        <w:t>REDUCE: Make every effort to minimize the amount of waste generated</w:t>
      </w:r>
    </w:p>
    <w:p>
      <w:pPr>
        <w:pStyle w:val="Body C"/>
        <w:spacing w:after="60"/>
        <w:ind w:left="720" w:firstLine="0"/>
      </w:pPr>
      <w:r>
        <w:rPr>
          <w:rtl w:val="0"/>
          <w:lang w:val="en-US"/>
        </w:rPr>
        <w:t xml:space="preserve">• </w:t>
      </w:r>
      <w:r>
        <w:rPr>
          <w:rtl w:val="0"/>
          <w:lang w:val="en-US"/>
        </w:rPr>
        <w:t>REUSE: Segregate items that can potentially be reused</w:t>
      </w:r>
    </w:p>
    <w:p>
      <w:pPr>
        <w:pStyle w:val="Body C"/>
        <w:numPr>
          <w:ilvl w:val="1"/>
          <w:numId w:val="2"/>
        </w:numPr>
        <w:rPr>
          <w:lang w:val="en-US"/>
        </w:rPr>
      </w:pPr>
      <w:r>
        <w:rPr>
          <w:rtl w:val="0"/>
          <w:lang w:val="en-US"/>
        </w:rPr>
        <w:t>RECYCLE: Segregate recyclable items and place them in appropriate containers</w:t>
      </w:r>
    </w:p>
    <w:p>
      <w:pPr>
        <w:pStyle w:val="Body C"/>
      </w:pPr>
      <w:r>
        <w:rPr>
          <w:rtl w:val="0"/>
        </w:rPr>
        <w:t xml:space="preserve">We set the minimum diversion goal for this Task Order is 60% by weight. All Phase will manage wastes and debris in accordance with the accepted Waste Management and Diversion Plan. Upon acceptance of the recycling/re-use analysis presented in the Waste Management and Diversion Plan the All Phase will recycle materials and submit proof of recycling/diversion in the monthly and final reports. Note that the use of the material processed for engineering fill, aggregate, or re-constituted concrete or asphaltic pavement constitutes recycling. </w:t>
      </w:r>
    </w:p>
    <w:p>
      <w:pPr>
        <w:pStyle w:val="Body C"/>
      </w:pPr>
      <w:r>
        <w:rPr>
          <w:rtl w:val="0"/>
        </w:rPr>
        <w:t xml:space="preserve">All Phase will dispose of debris generated during the execution of this work not intended for diversion/re-use/recycling at a commercial disposal facility/landfill that is permitted to accept the type material being disposed. Suitable materials that meet Federal, State, and local standards for re-cycle/re-use may go directly to an identified re-cycling facility. In accordance with all Federal, State, and local regulations, all concrete/asphaltic materials suitable for crushing, reuse, or recycling may be crushed, re-cycled, or stockpiled at a designated site on the Installation on a temporary basis. All Phase will be responsible for any/all air quality permits required for crushing activities. </w:t>
      </w:r>
    </w:p>
    <w:p>
      <w:pPr>
        <w:pStyle w:val="Body C"/>
      </w:pPr>
      <w:r>
        <w:rPr>
          <w:rtl w:val="0"/>
        </w:rPr>
        <w:t xml:space="preserve">All concrete/asphalt materials not used for site restoration must be removed from the Installation by the end of the project schedule. After operations are complete, surplus of soil will be tested to verify the soil does not contain hazardous constituents. If the surplus soil needs to be removed from the Installation, said soil will be tested prior to hauling off-plant. All Phase will manage wastes and debris in accordance with the accepted Waste Management Diversion Plan. </w:t>
      </w:r>
    </w:p>
    <w:p>
      <w:pPr>
        <w:pStyle w:val="Heading 2"/>
      </w:pPr>
      <w:bookmarkStart w:name="_Toc16" w:id="19"/>
      <w:r>
        <w:rPr>
          <w:rFonts w:cs="Arial Unicode MS" w:eastAsia="Arial Unicode MS"/>
          <w:rtl w:val="0"/>
          <w:lang w:val="fr-FR"/>
        </w:rPr>
        <w:t xml:space="preserve">Table </w:t>
      </w:r>
      <w:r>
        <w:rPr>
          <w:rFonts w:cs="Arial Unicode MS" w:eastAsia="Arial Unicode MS"/>
          <w:rtl w:val="0"/>
          <w:lang w:val="en-US"/>
        </w:rPr>
        <w:t>6</w:t>
      </w:r>
      <w:r>
        <w:rPr>
          <w:rFonts w:cs="Arial Unicode MS" w:eastAsia="Arial Unicode MS"/>
          <w:rtl w:val="0"/>
          <w:lang w:val="pt-PT"/>
        </w:rPr>
        <w:t>: Asbestos Abatement - Labor Distribution</w:t>
      </w:r>
      <w:bookmarkEnd w:id="19"/>
    </w:p>
    <w:p>
      <w:pPr>
        <w:pStyle w:val="Body A"/>
      </w:pPr>
    </w:p>
    <w:p>
      <w:pPr>
        <w:pStyle w:val="Body A"/>
      </w:pPr>
    </w:p>
    <w:p>
      <w:pPr>
        <w:pStyle w:val="Body A"/>
      </w:pPr>
    </w:p>
    <w:p>
      <w:pPr>
        <w:pStyle w:val="Body A"/>
      </w:pPr>
    </w:p>
    <w:p>
      <w:pPr>
        <w:pStyle w:val="Body C"/>
        <w:widowControl w:val="0"/>
      </w:pPr>
      <w:r>
        <w:rPr>
          <w:rtl w:val="0"/>
          <w:lang w:val="en-US"/>
        </w:rPr>
        <w:t>We will comply with the requirement to provide a waste management and diversion plan as required by the PWS. All concrete, brick, and masonry will be separated from the C&amp;D debris. Disposal will be a last resort only when recycling is not economically practical. All abatement and demolition materials will be exported off site to an appropriate waste management landfill (C&amp;D + ACM). 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suppressAutoHyphens w:val="1"/>
      </w:pPr>
      <w:bookmarkStart w:name="_Toc17" w:id="20"/>
      <w:r>
        <w:rPr>
          <w:rtl w:val="0"/>
          <w:lang w:val="en-US"/>
        </w:rPr>
        <w:t>Waste Diversion and Recycling</w:t>
      </w:r>
      <w:bookmarkEnd w:id="20"/>
    </w:p>
    <w:p>
      <w:pPr>
        <w:pStyle w:val="Body C"/>
      </w:pPr>
      <w:r>
        <w:rPr>
          <w:rtl w:val="0"/>
          <w:lang w:val="en-US"/>
        </w:rPr>
        <w:t>All Phase</w:t>
      </w:r>
      <w:r>
        <w:rPr>
          <w:rFonts w:ascii="Arial Unicode MS" w:hAnsi="Arial Unicode MS" w:hint="default"/>
          <w:rtl w:val="1"/>
          <w:lang w:val="ar-SA" w:bidi="ar-SA"/>
        </w:rPr>
        <w:t>’</w:t>
      </w:r>
      <w:r>
        <w:rPr>
          <w:rtl w:val="0"/>
          <w:lang w:val="en-US"/>
        </w:rPr>
        <w:t>s intent is to maximize the economic recycling of materials. This maximizes our return on scrap value and minimizes the waste stream of materials that will go to landfill. 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r>
        <w:rPr>
          <w:lang w:val="en-US"/>
        </w:rPr>
        <w:br w:type="textWrapping"/>
      </w:r>
      <w:commentRangeStart w:id="21"/>
    </w:p>
    <w:p>
      <w:pPr>
        <w:pStyle w:val="Body C"/>
      </w:pPr>
      <w:r>
        <w:rPr>
          <w:rtl w:val="0"/>
        </w:rPr>
        <w:t>We estimate that ___% of the demolition waste material by weight can be recycled as tabulated in Table 6. This should meet the minimum diversion goal for this task order. We project a $_____ salvage credit to the government for all types of scrapped metal.</w:t>
      </w:r>
      <w:r>
        <w:br w:type="textWrapping"/>
      </w:r>
      <w:commentRangeEnd w:id="21"/>
      <w:r>
        <w:commentReference w:id="21"/>
      </w:r>
    </w:p>
    <w:p>
      <w:pPr>
        <w:pStyle w:val="Heading 2"/>
        <w:widowControl w:val="0"/>
        <w:suppressAutoHyphens w:val="1"/>
      </w:pPr>
      <w:bookmarkStart w:name="_Toc18" w:id="22"/>
      <w:r>
        <w:rPr>
          <w:rtl w:val="0"/>
          <w:lang w:val="fr-FR"/>
        </w:rPr>
        <w:t xml:space="preserve">Table </w:t>
      </w:r>
      <w:r>
        <w:rPr>
          <w:rtl w:val="0"/>
          <w:lang w:val="en-US"/>
        </w:rPr>
        <w:t>7</w:t>
      </w:r>
      <w:r>
        <w:rPr>
          <w:rtl w:val="0"/>
          <w:lang w:val="en-US"/>
        </w:rPr>
        <w:t>. Expected materials for diversion / rates and materials to be disposed at landfill</w:t>
      </w:r>
      <w:bookmarkEnd w:id="22"/>
    </w:p>
    <w:p>
      <w:pPr>
        <w:pStyle w:val="Heading"/>
        <w:pageBreakBefore w:val="1"/>
        <w:suppressAutoHyphens w:val="1"/>
      </w:pPr>
      <w:bookmarkStart w:name="_Toc19" w:id="23"/>
      <w:r>
        <w:rPr>
          <w:rtl w:val="0"/>
          <w:lang w:val="en-US"/>
        </w:rPr>
        <w:t>6. Site Security and Safety Approach</w:t>
      </w:r>
      <w:bookmarkEnd w:id="23"/>
    </w:p>
    <w:p>
      <w:pPr>
        <w:pStyle w:val="Body C"/>
      </w:pPr>
      <w:r>
        <w:rPr>
          <w:rtl w:val="0"/>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conduce an initial site security assessment to verify the conditions as laid out in the RFP. </w:t>
      </w:r>
    </w:p>
    <w:p>
      <w:pPr>
        <w:pStyle w:val="Heading 2"/>
        <w:suppressAutoHyphens w:val="1"/>
      </w:pPr>
      <w:bookmarkStart w:name="_Toc20" w:id="24"/>
      <w:r>
        <w:rPr>
          <w:rtl w:val="0"/>
          <w:lang w:val="en-US"/>
        </w:rPr>
        <w:t>Site Security</w:t>
      </w:r>
      <w:bookmarkEnd w:id="24"/>
    </w:p>
    <w:p>
      <w:pPr>
        <w:pStyle w:val="Body C"/>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C"/>
      </w:pPr>
      <w:r>
        <w:rPr>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Fonts w:ascii="Arial Unicode MS" w:hAnsi="Arial Unicode MS" w:hint="default"/>
          <w:rtl w:val="1"/>
          <w:lang w:val="ar-SA" w:bidi="ar-SA"/>
        </w:rPr>
        <w:t xml:space="preserve">’ </w:t>
      </w:r>
      <w:r>
        <w:rPr>
          <w:rtl w:val="0"/>
          <w:lang w:val="en-US"/>
        </w:rPr>
        <w:t xml:space="preserve">reporting for duty. Training certificates of completion will be delivered to the COR within five calendar days after completion of training. All Phase employees will participate in other </w:t>
      </w:r>
      <w:r>
        <w:rPr>
          <w:rFonts w:ascii="Arial Unicode MS" w:hAnsi="Arial Unicode MS" w:hint="default"/>
          <w:rtl w:val="1"/>
          <w:lang w:val="ar-SA" w:bidi="ar-SA"/>
        </w:rPr>
        <w:t>“</w:t>
      </w:r>
      <w:r>
        <w:rPr>
          <w:rtl w:val="0"/>
          <w:lang w:val="en-US"/>
        </w:rPr>
        <w:t>Suspicious Activity Reporting Training</w:t>
      </w:r>
      <w:r>
        <w:rPr>
          <w:rtl w:val="0"/>
          <w:lang w:val="en-US"/>
        </w:rPr>
        <w:t xml:space="preserve">” </w:t>
      </w:r>
      <w:r>
        <w:rPr>
          <w:rtl w:val="0"/>
          <w:lang w:val="en-US"/>
        </w:rPr>
        <w:t>as required. We will comply with all standards and procedures of the National Crime Information Center Interstate Identification Index and Terrorist Screening Database.</w:t>
      </w:r>
    </w:p>
    <w:p>
      <w:pPr>
        <w:pStyle w:val="Body C"/>
      </w:pPr>
      <w:r>
        <w:rPr>
          <w:rtl w:val="0"/>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suppressAutoHyphens w:val="1"/>
      </w:pPr>
      <w:bookmarkStart w:name="_Toc21" w:id="25"/>
      <w:r>
        <w:rPr>
          <w:rtl w:val="0"/>
          <w:lang w:val="en-US"/>
        </w:rPr>
        <w:t>Safety Approach</w:t>
      </w:r>
      <w:bookmarkEnd w:id="25"/>
    </w:p>
    <w:p>
      <w:pPr>
        <w:pStyle w:val="Body C"/>
      </w:pPr>
      <w:r>
        <w:rPr>
          <w:rtl w:val="0"/>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pPr>
      <w:r>
        <w:rPr>
          <w:i w:val="1"/>
          <w:iCs w:val="1"/>
          <w:rtl w:val="0"/>
          <w:lang w:val="en-US"/>
        </w:rPr>
        <w:t>Accident Prevention Plan and Activity Hazard Analysis</w:t>
      </w:r>
      <w:r>
        <w:rPr>
          <w:rtl w:val="0"/>
          <w:lang w:val="en-US"/>
        </w:rPr>
        <w:t xml:space="preserve">: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Fonts w:ascii="Arial Unicode MS" w:hAnsi="Arial Unicode MS" w:hint="default"/>
          <w:rtl w:val="1"/>
          <w:lang w:val="ar-SA" w:bidi="ar-SA"/>
        </w:rPr>
        <w:t>“</w:t>
      </w:r>
      <w:r>
        <w:rPr>
          <w:rtl w:val="0"/>
          <w:lang w:val="en-US"/>
        </w:rPr>
        <w:t>lift plans</w:t>
      </w:r>
      <w:r>
        <w:rPr>
          <w:rtl w:val="0"/>
          <w:lang w:val="en-US"/>
        </w:rPr>
        <w:t xml:space="preserve">” </w:t>
      </w:r>
      <w:r>
        <w:rPr>
          <w:rtl w:val="0"/>
          <w:lang w:val="en-US"/>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tbl>
      <w:tblPr>
        <w:tblW w:w="9241"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00a2ff"/>
        </w:tblPrEx>
        <w:trPr>
          <w:trHeight w:val="305" w:hRule="atLeast"/>
          <w:tblHeader/>
        </w:trPr>
        <w:tc>
          <w:tcPr>
            <w:tcW w:type="dxa" w:w="9241"/>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Heading 2"/>
            </w:pPr>
            <w:r>
              <w:rPr>
                <w:rFonts w:cs="Arial Unicode MS" w:eastAsia="Arial Unicode MS"/>
                <w:rtl w:val="0"/>
                <w:lang w:val="en-US"/>
              </w:rPr>
              <w:t xml:space="preserve">Table </w:t>
            </w:r>
            <w:r>
              <w:rPr>
                <w:rFonts w:cs="Arial Unicode MS" w:eastAsia="Arial Unicode MS"/>
                <w:rtl w:val="0"/>
                <w:lang w:val="en-US"/>
              </w:rPr>
              <w:t>8</w:t>
            </w:r>
            <w:r>
              <w:rPr>
                <w:rFonts w:cs="Arial Unicode MS" w:eastAsia="Arial Unicode MS"/>
                <w:rtl w:val="0"/>
                <w:lang w:val="en-US"/>
              </w:rPr>
              <w:t>. Preliminary Activity Hazard Analysis</w:t>
            </w:r>
          </w:p>
        </w:tc>
      </w:tr>
      <w:tr>
        <w:tblPrEx>
          <w:shd w:val="clear" w:color="auto" w:fill="00a2ff"/>
        </w:tblPrEx>
        <w:trPr>
          <w:trHeight w:val="22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sz w:val="18"/>
                <w:szCs w:val="18"/>
                <w:rtl w:val="0"/>
                <w:lang w:val="en-US"/>
              </w:rPr>
              <w:t>’</w:t>
            </w:r>
            <w:r>
              <w:rPr>
                <w:sz w:val="18"/>
                <w:szCs w:val="18"/>
                <w:rtl w:val="0"/>
                <w:lang w:val="en-US"/>
              </w:rPr>
              <w:t>s area, alert him prior to entering. Hard hats will be worn; steel toe boots meeting ANSI Standard Z41 will be worn.</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Cranes, excavators and boom lifts will be utilized. Do not operate equipment on grades that exceed manufacturer's recommendations. All machines will be operated on compacted ground. Crane mats will be used where applicable. Never overload or exceed the capacity of any crane or boom lift. Crane picks will be pre-engineered. Operators will wear seat belts when operating equipment.</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 xml:space="preserve">Prior to the commencement of work in an area or building, all conduits and equipment will be identified and tested. Utilities that must remain live during work will be marked and protected as required. Utilities that are to be disconnected will be </w:t>
            </w:r>
            <w:r>
              <w:rPr>
                <w:sz w:val="18"/>
                <w:szCs w:val="18"/>
                <w:rtl w:val="0"/>
                <w:lang w:val="en-US"/>
              </w:rPr>
              <w:t>“</w:t>
            </w:r>
            <w:r>
              <w:rPr>
                <w:sz w:val="18"/>
                <w:szCs w:val="18"/>
                <w:rtl w:val="0"/>
                <w:lang w:val="en-US"/>
              </w:rPr>
              <w:t>air-gapped</w:t>
            </w:r>
            <w:r>
              <w:rPr>
                <w:sz w:val="18"/>
                <w:szCs w:val="18"/>
                <w:rtl w:val="0"/>
                <w:lang w:val="en-US"/>
              </w:rPr>
              <w:t xml:space="preserve">” </w:t>
            </w:r>
            <w:r>
              <w:rPr>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Removal of combustible materials will be performed prior to any hot work in any area. Charged fire hoses and fire extinguishers will be available at all active work areas. No lines will be torch cut without first cold cutting the end and inspecting it. ABC type fire extinguishers will be readily available. No smoking in work area.</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Housekeeping will be performed on a daily basis. Do not allow debris to be scattered on the work site. No running or walking on debris piles. Clean up any liquid spills immediately. Guard rails on platforms 6</w:t>
            </w:r>
            <w:r>
              <w:rPr>
                <w:sz w:val="18"/>
                <w:szCs w:val="18"/>
                <w:rtl w:val="0"/>
                <w:lang w:val="en-US"/>
              </w:rPr>
              <w:t xml:space="preserve">’ </w:t>
            </w:r>
            <w:r>
              <w:rPr>
                <w:sz w:val="18"/>
                <w:szCs w:val="18"/>
                <w:rtl w:val="0"/>
                <w:lang w:val="en-US"/>
              </w:rPr>
              <w:t>and higher; safety harness when working on roof tops or fixed ladders.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sz w:val="18"/>
                <w:szCs w:val="18"/>
              </w:rPr>
            </w:pPr>
            <w:r>
              <w:rPr>
                <w:sz w:val="18"/>
                <w:szCs w:val="18"/>
                <w:rtl w:val="0"/>
                <w:lang w:val="en-US"/>
              </w:rPr>
              <w:t>Hearing protection will be worn with a noise reduction rating</w:t>
            </w:r>
          </w:p>
          <w:p>
            <w:pPr>
              <w:pStyle w:val="Body B"/>
              <w:bidi w:val="0"/>
              <w:spacing w:after="0" w:line="240" w:lineRule="auto"/>
              <w:ind w:left="0" w:right="0" w:firstLine="0"/>
              <w:jc w:val="left"/>
              <w:rPr>
                <w:sz w:val="18"/>
                <w:szCs w:val="18"/>
                <w:rtl w:val="0"/>
              </w:rPr>
            </w:pPr>
            <w:r>
              <w:rPr>
                <w:sz w:val="18"/>
                <w:szCs w:val="18"/>
                <w:rtl w:val="0"/>
                <w:lang w:val="en-US"/>
              </w:rPr>
              <w:t>capable of maintaining personal exposure below 85 dB(A) (ear muffs</w:t>
            </w:r>
          </w:p>
          <w:p>
            <w:pPr>
              <w:pStyle w:val="Body B"/>
              <w:bidi w:val="0"/>
              <w:spacing w:after="0" w:line="240" w:lineRule="auto"/>
              <w:ind w:left="0" w:right="0" w:firstLine="0"/>
              <w:jc w:val="left"/>
              <w:rPr>
                <w:rtl w:val="0"/>
              </w:rPr>
            </w:pPr>
            <w:r>
              <w:rPr>
                <w:sz w:val="18"/>
                <w:szCs w:val="18"/>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Adequate Personal Protective Equipment (PPE) including Tyvex body suits and respirators. Wet methods of removal. Notifications/Warning signs will be posted at all accesses to job Sites. Good housekeeping and hygiene practices. Medical surveillance. Monitoring of air quality within the project location and personal exposure.</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Site personnel will be instructed on proper lifting techniques. Mechanical devices will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sz w:val="18"/>
                <w:szCs w:val="18"/>
                <w:rtl w:val="0"/>
                <w:lang w:val="en-US"/>
              </w:rPr>
              <w:t>Work plans for the various structures will have detailed step by step procedures and sequencing for the dismantlement. All work plans will be adhered to and work will be continually inspected by the on-site competent person to continually assess the stability of the structure.</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C"/>
        <w:widowControl w:val="0"/>
        <w:spacing w:line="240" w:lineRule="auto"/>
        <w:ind w:left="110" w:hanging="110"/>
      </w:pPr>
    </w:p>
    <w:p>
      <w:pPr>
        <w:pStyle w:val="Body C"/>
        <w:widowControl w:val="0"/>
        <w:spacing w:line="240" w:lineRule="auto"/>
        <w:ind w:left="2" w:hanging="2"/>
      </w:pPr>
    </w:p>
    <w:p>
      <w:pPr>
        <w:pStyle w:val="Body C"/>
      </w:pPr>
      <w:r>
        <w:rPr>
          <w:rtl w:val="0"/>
        </w:rPr>
        <w:t xml:space="preserve">Safety Training: All Phase employees are given an orientation program on Health and Safety Hazards associated with their particular aspect of employment. All employees are also given specific training for handling hazardous materials that may be encountered, applicable regulations, and protective clothing and equipment that may be required. There will be a continuous training program, instituted by the SSHO to ensure all personnel are constantly aware of existing safety and health hazards and any and all new hazards and/or methods of handling. The Job-Site Superintendent will also conduct a 5-minute </w:t>
      </w:r>
      <w:r>
        <w:rPr>
          <w:rtl w:val="0"/>
        </w:rPr>
        <w:t>“</w:t>
      </w:r>
      <w:r>
        <w:rPr>
          <w:rtl w:val="0"/>
        </w:rPr>
        <w:t>tool box</w:t>
      </w:r>
      <w:r>
        <w:rPr>
          <w:rtl w:val="0"/>
        </w:rPr>
        <w:t xml:space="preserve">” </w:t>
      </w:r>
      <w:r>
        <w:rPr>
          <w:rtl w:val="0"/>
        </w:rPr>
        <w:t>safety meeting each week during which hazards specific to their operation will be discussed.</w:t>
      </w:r>
    </w:p>
    <w:p>
      <w:pPr>
        <w:pStyle w:val="Body C"/>
      </w:pPr>
      <w:r>
        <w:rPr>
          <w:rtl w:val="0"/>
        </w:rPr>
        <w:t xml:space="preserve">The CQC Officer will designate two individuals to maintain an </w:t>
      </w:r>
      <w:r>
        <w:rPr>
          <w:rtl w:val="0"/>
        </w:rPr>
        <w:t>“</w:t>
      </w:r>
      <w:r>
        <w:rPr>
          <w:rtl w:val="0"/>
        </w:rPr>
        <w:t>Inspection and Maintenance Schedule</w:t>
      </w:r>
      <w:r>
        <w:rPr>
          <w:rtl w:val="0"/>
        </w:rPr>
        <w:t xml:space="preserve">” </w:t>
      </w:r>
      <w:r>
        <w:rPr>
          <w:rtl w:val="0"/>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pPr>
      <w:r>
        <w:rPr>
          <w:rtl w:val="0"/>
        </w:rPr>
        <w:t xml:space="preserve">Safety Inspections: The Job-Site Superintendent will make a daily informal safety inspection of work areas and equipment. The SSHO will ensure that a Safety Engineering Study is made prior to changing or modifying any operating process or installing new machinery. </w:t>
      </w:r>
    </w:p>
    <w:p>
      <w:pPr>
        <w:pStyle w:val="Body C"/>
      </w:pPr>
      <w:r>
        <w:rPr>
          <w:rtl w:val="0"/>
        </w:rPr>
        <w:t xml:space="preserve">Accident Reporting and Record Keeping: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specific agency requirements. All injuries and diagnosed occupational illnesses that result in a lost work day or fatality will be reported to the designated authority. </w:t>
      </w:r>
    </w:p>
    <w:p>
      <w:pPr>
        <w:pStyle w:val="Heading"/>
        <w:suppressAutoHyphens w:val="1"/>
      </w:pPr>
      <w:bookmarkStart w:name="_Toc22" w:id="26"/>
      <w:r>
        <w:rPr>
          <w:rtl w:val="0"/>
          <w:lang w:val="en-US"/>
        </w:rPr>
        <w:t>7. Site Restoration</w:t>
      </w:r>
      <w:r>
        <w:br w:type="textWrapping"/>
      </w:r>
      <w:commentRangeStart w:id="27"/>
      <w:bookmarkEnd w:id="26"/>
    </w:p>
    <w:p>
      <w:pPr>
        <w:pStyle w:val="Body C"/>
      </w:pPr>
      <w:r>
        <w:rPr>
          <w:rtl w:val="0"/>
        </w:rPr>
        <w:t>Site restoration for the base bid is scheduled to take place in _____. We estimate that ___ CY of backfill will be needed to restore the finished surface as specified in the PWS. We will coordinate with the government to access fill material needed for this project. Fill and topsoil will be imported from a local vendor. Clean 2</w:t>
      </w:r>
      <w:r>
        <w:rPr>
          <w:rtl w:val="0"/>
        </w:rPr>
        <w:t xml:space="preserve">” </w:t>
      </w:r>
      <w:r>
        <w:rPr>
          <w:rtl w:val="0"/>
        </w:rPr>
        <w:t>minus concrete will be acceptable as fill.</w:t>
      </w:r>
      <w:commentRangeEnd w:id="27"/>
      <w:r>
        <w:commentReference w:id="27"/>
      </w:r>
    </w:p>
    <w:p>
      <w:pPr>
        <w:pStyle w:val="Body C"/>
      </w:pPr>
      <w:r>
        <w:rPr>
          <w:rtl w:val="0"/>
          <w:lang w:val="en-US"/>
        </w:rPr>
        <w:t xml:space="preserve">Soils will be blended and graded to match the surrounding area with positive drainage and no ponding of water. Soil erosion blankets will be used on steep grades to meet government requirements at all times. Following the removal of a facility, the All Phase will clean and restore the area as indicated. Minimum specifications for backfill and site restoration can be found the Region MATOC Attachment 12 </w:t>
      </w:r>
      <w:r>
        <w:rPr>
          <w:rtl w:val="0"/>
          <w:lang w:val="de-DE"/>
        </w:rPr>
        <w:t xml:space="preserve">– </w:t>
      </w:r>
      <w:r>
        <w:rPr>
          <w:rtl w:val="0"/>
          <w:lang w:val="en-US"/>
        </w:rPr>
        <w:t xml:space="preserve">Specification Guide 02221 - Ex-Back-Site. Compaction will meet the specifications for backfill of soils. All Phase will blend and grade the backfill soils into the surrounding grade (not exhibit slopes greater than 1 Vertical:12 Horizontal) to ensure that there is no ponding and to provide positive drainage. All Phase is responsible for management of all permitted controls until the permits are closed out and the site is accepted by the landholder. Any damage caused by the All Phase, including damage to roadways or parking areas, will be repaired by the All Phase back to its original condition at no cost to the Government. A change in market value of salvage and recyclable materials, over the course of the task order, will not be the basis for a change order or modification of the task order. </w:t>
      </w:r>
    </w:p>
    <w:p>
      <w:pPr>
        <w:pStyle w:val="Heading 2"/>
        <w:keepNext w:val="0"/>
        <w:widowControl w:val="0"/>
      </w:pPr>
      <w:bookmarkStart w:name="_Toc23" w:id="28"/>
      <w:r>
        <w:rPr>
          <w:rtl w:val="0"/>
          <w:lang w:val="en-US"/>
        </w:rPr>
        <w:t xml:space="preserve">Exhibit: Recycling/Waste Management Vendors </w:t>
      </w:r>
      <w:bookmarkEnd w:id="28"/>
    </w:p>
    <w:p>
      <w:pPr>
        <w:pStyle w:val="Body C"/>
      </w:pPr>
      <w:r>
        <w:rPr>
          <w:rtl w:val="0"/>
        </w:rPr>
        <w:t xml:space="preserve">Satisfactory backfill material will comply with all Federal, State, and Local regulations but if allowable may be processed cementitious debris or similar backfill material as approved by the Contracting Officer and accepted by the Installation Environmental POC. All fill will be tested clean before being brought on the site. Fill materials will test below the allowable limits for RCRA metals as well as pesticides. We understand that painted concrete may not be recycled in the State of Georgia. Clean backfill will be placed in lifts not to exceed eight (8) inches in loose thickness and compacted to the density as specified in the Region MATOC Section 3.10 by Standard Proctor Test. Sites that used crushed concrete for fill, must have 2-feet (24") of soil, before grass or hydro seed. Grass is the site restoration requirement for this project. </w:t>
      </w:r>
    </w:p>
    <w:p>
      <w:pPr>
        <w:pStyle w:val="Heading"/>
        <w:suppressAutoHyphens w:val="1"/>
        <w:rPr>
          <w:lang w:val="fr-FR"/>
        </w:rPr>
      </w:pPr>
      <w:bookmarkStart w:name="_Toc24" w:id="29"/>
      <w:r>
        <w:rPr>
          <w:rtl w:val="0"/>
          <w:lang w:val="fr-FR"/>
        </w:rPr>
        <w:t>8. Key Personnel</w:t>
      </w:r>
      <w:r>
        <w:rPr>
          <w:lang w:val="fr-FR"/>
        </w:rPr>
        <w:br w:type="textWrapping"/>
      </w:r>
      <w:commentRangeStart w:id="30"/>
      <w:bookmarkEnd w:id="29"/>
    </w:p>
    <w:p>
      <w:pPr>
        <w:pStyle w:val="Body C"/>
      </w:pPr>
      <w:r>
        <w:rPr>
          <w:rtl w:val="0"/>
          <w:lang w:val="en-US"/>
        </w:rPr>
        <w:t xml:space="preserve">Having scoped this project based on our extensive experience with similar efforts, All Phase is assigning the following Key Personnel, shown in Table 8. ________ will serve as Program Manager and single point-of-contact and liaison between the Government's CO and our company. _____ will be the Project Manager. Our proposed Superintendent will be ______. The SSHO will be ___ who will </w:t>
      </w:r>
      <w:r>
        <w:rPr>
          <w:rFonts w:ascii="Arial Unicode MS" w:hAnsi="Arial Unicode MS" w:hint="default"/>
          <w:rtl w:val="1"/>
          <w:lang w:val="ar-SA" w:bidi="ar-SA"/>
        </w:rPr>
        <w:t>“</w:t>
      </w:r>
      <w:r>
        <w:rPr>
          <w:rtl w:val="0"/>
          <w:lang w:val="en-US"/>
        </w:rPr>
        <w:t>dual-hat</w:t>
      </w:r>
      <w:r>
        <w:rPr>
          <w:rtl w:val="0"/>
          <w:lang w:val="en-US"/>
        </w:rPr>
        <w:t xml:space="preserve">” </w:t>
      </w:r>
      <w:r>
        <w:rPr>
          <w:rtl w:val="0"/>
          <w:lang w:val="en-US"/>
        </w:rPr>
        <w:t xml:space="preserve">as CQC Manager. These personnel are All Phase employees, and have been employed with us for at least one year, in the proposed position of responsibility. The qualifications and roles and responsibilities of the Key personnel are outlined in the Base MATOC. All Phase PM will be available on a daily (pre-scheduled) basis to meet with USACE and Installation representatives. The Site Superintendent will be available to attend the weekly (pre-scheduled) progress meeting with USACE and installation representatives. The Site Safety and Health Officer will be available to attend the weekly (pre-scheduled) progress meeting with USACE and installation representatives. </w:t>
      </w:r>
    </w:p>
    <w:p>
      <w:pPr>
        <w:pStyle w:val="Body C"/>
      </w:pPr>
      <w:r>
        <w:rPr>
          <w:rtl w:val="0"/>
        </w:rPr>
        <w:t xml:space="preserve">We provide additional essential and readily available personnel: Storm Water Pollution Prevention Professional (Qualified Stormwater Designer, or equivalent depending on state or local </w:t>
      </w:r>
      <w:commentRangeStart w:id="31"/>
      <w:commentRangeStart w:id="32"/>
      <w:r>
        <w:rPr>
          <w:rtl w:val="0"/>
        </w:rPr>
        <w:t>requirement</w:t>
      </w:r>
      <w:commentRangeEnd w:id="31"/>
      <w:r>
        <w:commentReference w:id="31"/>
      </w:r>
      <w:commentRangeEnd w:id="32"/>
      <w:r>
        <w:commentReference w:id="32"/>
      </w:r>
      <w:r>
        <w:rPr>
          <w:rtl w:val="0"/>
        </w:rPr>
        <w:t xml:space="preserve">) ________. Certified Industrial Hygienist (CIH) _________. Waste Manager_________. </w:t>
      </w:r>
      <w:commentRangeEnd w:id="30"/>
      <w:r>
        <w:commentReference w:id="30"/>
      </w:r>
    </w:p>
    <w:p>
      <w:pPr>
        <w:pStyle w:val="Body C"/>
      </w:pPr>
      <w:r>
        <w:rPr>
          <w:rtl w:val="0"/>
        </w:rPr>
        <w:t>All our employees, and our subcontractor employees, requiring access Army installations, facilities and controlled access areas will complete AT Level I awareness training within 30 calendar days after contract start date or effective date of incorporation of this requirement into the contract, whichever is applicable and annually thereafter. All Phase will submit certificates of completion for each affected contractor employee and subcontractor employee, to the Contracting Officer</w:t>
      </w:r>
      <w:r>
        <w:rPr>
          <w:rtl w:val="0"/>
        </w:rPr>
        <w:t>’</w:t>
      </w:r>
      <w:r>
        <w:rPr>
          <w:rtl w:val="0"/>
        </w:rPr>
        <w:t xml:space="preserve">s Representative (COR) or to the Contracting Officer (KO), if a COR is not assigned, within 05 calendar days after completion of training by all employees and subcontractor personnel. This training will be completed within 30 calendar days of contract award and within 05 calendar days of new employees commencing performance with the results reported to the COR NLT 30 calendar days after contract award. </w:t>
      </w:r>
    </w:p>
    <w:p>
      <w:pPr>
        <w:pStyle w:val="Body C"/>
      </w:pPr>
      <w:r>
        <w:rPr>
          <w:rtl w:val="0"/>
        </w:rPr>
        <w:t>All Phase and all associated sub-contractors employees will provide all information required for background checks to directed by DOD, HQDA and/or local policy. In addition to the changes otherwise authorized by the changes clause of this contract, should the Force Protection Condition (FPCON) at any individual facility or installation change, the Government may require changes in contractor security matters or processes. All Phase and all associated sub-contractors employees will comply with adjudication standards and procedures using the National Crime Information Center Interstate Identification Index (NCIC-III) and Terrorist Screening Database (TSDB) (Army Directive 2014-05/AR 190-13), applicable installation, facility and area commander installation/facility access and local security policies and procedures (provided by government representative).</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099"/>
        <w:gridCol w:w="4027"/>
        <w:gridCol w:w="2234"/>
      </w:tblGrid>
      <w:tr>
        <w:tblPrEx>
          <w:shd w:val="clear" w:color="auto" w:fill="00a2ff"/>
        </w:tblPrEx>
        <w:trPr>
          <w:trHeight w:val="310" w:hRule="atLeast"/>
          <w:tblHeader/>
        </w:trPr>
        <w:tc>
          <w:tcPr>
            <w:tcW w:type="dxa" w:w="9360"/>
            <w:gridSpan w:val="3"/>
            <w:tcBorders>
              <w:top w:val="nil"/>
              <w:left w:val="nil"/>
              <w:bottom w:val="single" w:color="aaaaaa" w:sz="8" w:space="0" w:shadow="0" w:frame="0"/>
              <w:right w:val="nil"/>
            </w:tcBorders>
            <w:shd w:val="clear" w:color="auto" w:fill="auto"/>
            <w:tcMar>
              <w:top w:type="dxa" w:w="80"/>
              <w:left w:type="dxa" w:w="80"/>
              <w:bottom w:type="dxa" w:w="80"/>
              <w:right w:type="dxa" w:w="80"/>
            </w:tcMar>
            <w:vAlign w:val="center"/>
          </w:tcPr>
          <w:p>
            <w:pPr>
              <w:pStyle w:val="Heading 2"/>
            </w:pPr>
            <w:r>
              <w:rPr>
                <w:rFonts w:cs="Arial Unicode MS" w:eastAsia="Arial Unicode MS"/>
                <w:rtl w:val="0"/>
                <w:lang w:val="en-US"/>
              </w:rPr>
              <w:t xml:space="preserve">Table </w:t>
            </w:r>
            <w:r>
              <w:rPr>
                <w:rFonts w:cs="Arial Unicode MS" w:eastAsia="Arial Unicode MS"/>
                <w:rtl w:val="0"/>
                <w:lang w:val="en-US"/>
              </w:rPr>
              <w:t>9</w:t>
            </w:r>
            <w:r>
              <w:rPr>
                <w:rFonts w:cs="Arial Unicode MS" w:eastAsia="Arial Unicode MS"/>
                <w:rtl w:val="0"/>
                <w:lang w:val="en-US"/>
              </w:rPr>
              <w:t>. Key Personnel to be Assigned</w:t>
            </w:r>
          </w:p>
        </w:tc>
      </w:tr>
      <w:tr>
        <w:tblPrEx>
          <w:shd w:val="clear" w:color="auto" w:fill="cadfff"/>
        </w:tblPrEx>
        <w:trPr>
          <w:trHeight w:val="233"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Arial" w:hAnsi="Arial"/>
                <w:rtl w:val="0"/>
                <w:lang w:val="en-US"/>
              </w:rPr>
              <w:t>Project Manager (PM)</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Arial" w:hAnsi="Arial"/>
                <w:rtl w:val="0"/>
                <w:lang w:val="en-US"/>
              </w:rPr>
              <w:t>Harris, Tina L</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Arial" w:hAnsi="Arial"/>
                <w:rtl w:val="0"/>
                <w:lang w:val="en-US"/>
              </w:rPr>
              <w:t>..</w:t>
            </w:r>
          </w:p>
        </w:tc>
      </w:tr>
      <w:tr>
        <w:tblPrEx>
          <w:shd w:val="clear" w:color="auto" w:fill="cadfff"/>
        </w:tblPrEx>
        <w:trPr>
          <w:trHeight w:val="233"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Arial" w:hAnsi="Arial"/>
                <w:rtl w:val="0"/>
                <w:lang w:val="en-US"/>
              </w:rPr>
              <w:t>Program Manager</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Arial" w:hAnsi="Arial"/>
                <w:rtl w:val="0"/>
                <w:lang w:val="en-US"/>
              </w:rPr>
              <w:t>Newman, Eric</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Arial" w:hAnsi="Arial"/>
                <w:rtl w:val="0"/>
                <w:lang w:val="en-US"/>
              </w:rPr>
              <w:t>..</w:t>
            </w:r>
          </w:p>
        </w:tc>
      </w:tr>
      <w:tr>
        <w:tblPrEx>
          <w:shd w:val="clear" w:color="auto" w:fill="cadfff"/>
        </w:tblPrEx>
        <w:trPr>
          <w:trHeight w:val="233"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Arial" w:hAnsi="Arial"/>
                <w:rtl w:val="0"/>
                <w:lang w:val="en-US"/>
              </w:rPr>
              <w:t>Site Superintendent (SS)</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Arial" w:hAnsi="Arial"/>
                <w:rtl w:val="0"/>
                <w:lang w:val="en-US"/>
              </w:rPr>
              <w:t>Murphy, Guy</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Arial" w:hAnsi="Arial"/>
                <w:rtl w:val="0"/>
                <w:lang w:val="en-US"/>
              </w:rPr>
              <w:t>On-site</w:t>
            </w:r>
          </w:p>
        </w:tc>
      </w:tr>
      <w:tr>
        <w:tblPrEx>
          <w:shd w:val="clear" w:color="auto" w:fill="cadfff"/>
        </w:tblPrEx>
        <w:trPr>
          <w:trHeight w:val="233"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Arial" w:hAnsi="Arial"/>
                <w:rtl w:val="0"/>
                <w:lang w:val="en-US"/>
              </w:rPr>
              <w:t>Quality Control Manager (QCM)</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Arial" w:hAnsi="Arial"/>
                <w:rtl w:val="0"/>
                <w:lang w:val="en-US"/>
              </w:rPr>
              <w:t>Murphy, Kyle J (dual hat)</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Arial" w:hAnsi="Arial"/>
                <w:rtl w:val="0"/>
                <w:lang w:val="en-US"/>
              </w:rPr>
              <w:t>On-site</w:t>
            </w:r>
          </w:p>
        </w:tc>
      </w:tr>
      <w:tr>
        <w:tblPrEx>
          <w:shd w:val="clear" w:color="auto" w:fill="cadfff"/>
        </w:tblPrEx>
        <w:trPr>
          <w:trHeight w:val="233"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Arial" w:hAnsi="Arial"/>
                <w:rtl w:val="0"/>
                <w:lang w:val="en-US"/>
              </w:rPr>
              <w:t>Safety Officer (SSHO)</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Arial" w:hAnsi="Arial"/>
                <w:rtl w:val="0"/>
                <w:lang w:val="en-US"/>
              </w:rPr>
              <w:t>Murphy, Kyle J (dual hat)</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Arial" w:hAnsi="Arial"/>
                <w:rtl w:val="0"/>
                <w:lang w:val="en-US"/>
              </w:rPr>
              <w:t>On-site</w:t>
            </w:r>
          </w:p>
        </w:tc>
      </w:tr>
      <w:tr>
        <w:tblPrEx>
          <w:shd w:val="clear" w:color="auto" w:fill="cadfff"/>
        </w:tblPrEx>
        <w:trPr>
          <w:trHeight w:val="233"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Arial" w:hAnsi="Arial"/>
                <w:rtl w:val="0"/>
                <w:lang w:val="en-US"/>
              </w:rPr>
              <w:t>Clerk</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Arial" w:hAnsi="Arial"/>
                <w:rtl w:val="0"/>
                <w:lang w:val="en-US"/>
              </w:rPr>
              <w:t>Osorio, Clementina D</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Arial" w:hAnsi="Arial"/>
                <w:rtl w:val="0"/>
                <w:lang w:val="en-US"/>
              </w:rPr>
              <w:t>..</w:t>
            </w:r>
          </w:p>
        </w:tc>
      </w:tr>
    </w:tbl>
    <w:p>
      <w:pPr>
        <w:pStyle w:val="Body C"/>
        <w:widowControl w:val="0"/>
        <w:spacing w:line="240" w:lineRule="auto"/>
        <w:ind w:left="108" w:hanging="108"/>
      </w:pPr>
    </w:p>
    <w:p>
      <w:pPr>
        <w:pStyle w:val="Body C"/>
        <w:jc w:val="left"/>
      </w:pPr>
    </w:p>
    <w:p>
      <w:pPr>
        <w:pStyle w:val="Heading"/>
        <w:suppressAutoHyphens w:val="1"/>
      </w:pPr>
      <w:bookmarkStart w:name="_Toc25" w:id="33"/>
      <w:r>
        <w:rPr>
          <w:rtl w:val="0"/>
          <w:lang w:val="en-US"/>
        </w:rPr>
        <w:t>9. Site Specific Issues</w:t>
      </w:r>
      <w:bookmarkEnd w:id="33"/>
    </w:p>
    <w:p>
      <w:pPr>
        <w:pStyle w:val="Body C"/>
      </w:pPr>
      <w:r>
        <w:rPr>
          <w:rtl w:val="0"/>
        </w:rPr>
        <w:t xml:space="preserve">All construction will be accomplished in accordance with Fort Benning safety regulations, Federal or State asbestos regulations, OSHA regulations and local codes. All Phase will secure the demolition site with temporary security fencing during demolition through back-fill completion. Any road closures will be coordinated through Fort Benning Security Forces. All Phase will fully cooperate with any other contractors and Government employees who may require access to any or all parts of the demolition site to accomplish their work. </w:t>
      </w:r>
    </w:p>
    <w:p>
      <w:pPr>
        <w:pStyle w:val="Body C"/>
      </w:pPr>
      <w:r>
        <w:rPr>
          <w:rtl w:val="0"/>
        </w:rPr>
        <w:t xml:space="preserve">All non-salvageable demo material must be disposed of in an approved off-base landfill. All PCB ballasts and bulbs will be removed by the All Phase and be properly disposed of off-base. All Phase will submit a monthly report to the base Solid Waste Manager, identifying the weight, quantity, and disposal cost of: 1) Municipal Solid Waste; and 2) Construction &amp; Demolition debris disposed on or off-base. </w:t>
      </w:r>
    </w:p>
    <w:p>
      <w:pPr>
        <w:pStyle w:val="Body C"/>
      </w:pPr>
      <w:r>
        <w:rPr>
          <w:rtl w:val="0"/>
        </w:rPr>
        <w:t xml:space="preserve">All Phase will obtain required dig permits and notify the PWB POC at least twenty-one (21) calendar days prior to any excavation. Utility Outage/Utility Connection Requests: Request for utility outages and connections will be made at least twenty (20) days prior to the requested outage date. Each request will state the system involved, approximate duration of outage and the nature of work. The initial request must be submitted in writing to the Contracting Officer and/or designated FEAD, PWB or FSC representative. They will contact and coordinate with QMCB Base FMS operations and utilities offices and make the notification to base customer(s) affected by outages. </w:t>
      </w:r>
    </w:p>
    <w:p>
      <w:pPr>
        <w:pStyle w:val="Heading 2"/>
        <w:suppressAutoHyphens w:val="1"/>
      </w:pPr>
      <w:bookmarkStart w:name="_Toc26" w:id="34"/>
      <w:r>
        <w:rPr>
          <w:rtl w:val="0"/>
          <w:lang w:val="en-US"/>
        </w:rPr>
        <w:t xml:space="preserve">Special Cultural Resource Protection Requirements </w:t>
      </w:r>
      <w:bookmarkEnd w:id="34"/>
    </w:p>
    <w:p>
      <w:pPr>
        <w:pStyle w:val="Body C"/>
      </w:pPr>
      <w:r>
        <w:rPr>
          <w:rtl w:val="0"/>
        </w:rPr>
        <w:t xml:space="preserve">Special Cultural Resource Protection Requirements - Fort Benning is required by the National Historic Preservation Act of 1966, as amended, to appropriately conserve and manage historic properties located on its property. Fort Benning must also comply with the Native American Graves Protection and Repatriation Act (NAGPRA), which applies to Native American human remains, funerary objects, sacred objects, and objects of cultural patrimony excavated intentionally or discovered inadvertently on Federal or Tribal lands. This project is in an area with high potential for the presence of archaeological sites. </w:t>
      </w:r>
    </w:p>
    <w:p>
      <w:pPr>
        <w:pStyle w:val="Body C"/>
      </w:pPr>
      <w:r>
        <w:rPr>
          <w:rtl w:val="0"/>
        </w:rPr>
        <w:t xml:space="preserve">All Phase will be responsible for the safety of all work conducted and will ensure that the work area is safe during any archaeological investigation. No one will be expected to enter an excavation until it has been deemed safe and it will be the responsibility of the construction contractor to ensure that the archaeological monitors have the ability to enter the project area as needed. The archaeologist will advise all project contractors to be on the alert for evidence of the presence of the archaeological sites or human burials; how to identify the evidence of the expected resources; and of the appropriate protocol in the event of discovery of a burial or associated object. In accordance with NHPA, if archaeological materials are encountered, work will temporarily stop in the immediate area of the discovery while it is assessed to verify there are no further archaeological materials and that the discovery is not part of a larger intact feature. </w:t>
      </w:r>
    </w:p>
    <w:p>
      <w:pPr>
        <w:pStyle w:val="Body C"/>
      </w:pPr>
      <w:r>
        <w:rPr>
          <w:rtl w:val="0"/>
        </w:rPr>
        <w:t xml:space="preserve">If intact archaeological materials are encountered, all soil disturbing activities within 100 feet (30 meters) of the discovery will cease, and the archaeologist will be empowered to temporarily redirect demolition crews and heavy equipment until the archaeological materials are evaluated, and if necessary, consultation with the Tribes and the Georgia State Historic Preservation Office is completed. If Native American human burials or associated objects are discovered within the project area, work will cease within 100 feet (30 meters) of the discovery. Work will resume not before 30 days and after a plan has been agreed upon by the Tribes and Fort Benning to exhume the remains if avoidance is not possible. </w:t>
      </w:r>
    </w:p>
    <w:p>
      <w:pPr>
        <w:pStyle w:val="Body C"/>
      </w:pPr>
      <w:r>
        <w:rPr>
          <w:rtl w:val="0"/>
        </w:rPr>
        <w:t xml:space="preserve">Site monitors will confirm all human remains and associated cultural materials, including the soil matrix surrounding the burial, have been recovered prior to work starting again. The archaeological monitors will be on site during the entire demolition project and have full access to the project areas as needed to include monitoring surface disturbance from construction equipment. All Phase grantees there will be no pictures taken and no posts made to social media concerning any of the work or the cultural material found during the project. </w:t>
      </w:r>
    </w:p>
    <w:p>
      <w:pPr>
        <w:pStyle w:val="Heading"/>
        <w:pageBreakBefore w:val="1"/>
        <w:suppressAutoHyphens w:val="1"/>
      </w:pPr>
      <w:bookmarkStart w:name="_Toc27" w:id="35"/>
      <w:r>
        <w:rPr>
          <w:rtl w:val="0"/>
          <w:lang w:val="en-US"/>
        </w:rPr>
        <w:t xml:space="preserve">Appendix - Preliminary Project Schedule </w:t>
      </w:r>
      <w:r>
        <w:rPr>
          <w:rtl w:val="0"/>
          <w:lang w:val="en-US"/>
        </w:rPr>
        <w:t xml:space="preserve">– </w:t>
      </w:r>
      <w:r>
        <w:rPr>
          <w:rtl w:val="0"/>
          <w:lang w:val="en-US"/>
        </w:rPr>
        <w:t xml:space="preserve">Base Bid </w:t>
      </w:r>
      <w:bookmarkEnd w:id="35"/>
    </w:p>
    <w:p>
      <w:pPr>
        <w:pStyle w:val="Body A"/>
      </w:pPr>
      <w:r>
        <w:rPr>
          <w:sz w:val="20"/>
          <w:szCs w:val="20"/>
          <w:rtl w:val="0"/>
          <w:lang w:val="en-US"/>
        </w:rPr>
        <w:t>[</w:t>
      </w:r>
      <w:commentRangeStart w:id="36"/>
      <w:r>
        <w:rPr>
          <w:sz w:val="20"/>
          <w:szCs w:val="20"/>
          <w:rtl w:val="0"/>
          <w:lang w:val="en-US"/>
        </w:rPr>
        <w:t xml:space="preserve">insert PDF after </w:t>
      </w:r>
      <w:commentRangeStart w:id="37"/>
      <w:r>
        <w:rPr>
          <w:sz w:val="20"/>
          <w:szCs w:val="20"/>
          <w:rtl w:val="0"/>
          <w:lang w:val="en-US"/>
        </w:rPr>
        <w:t>rendering</w:t>
      </w:r>
      <w:commentRangeEnd w:id="36"/>
      <w:r>
        <w:commentReference w:id="36"/>
      </w:r>
      <w:commentRangeEnd w:id="37"/>
      <w:r>
        <w:commentReference w:id="37"/>
      </w:r>
      <w:r>
        <w:rPr>
          <w:sz w:val="20"/>
          <w:szCs w:val="20"/>
          <w:rtl w:val="0"/>
          <w:lang w:val="en-US"/>
        </w:rPr>
        <w:t>]</w:t>
      </w:r>
    </w:p>
    <w:p>
      <w:pPr>
        <w:pStyle w:val="Body A"/>
      </w:pPr>
      <w:r/>
    </w:p>
    <w:sectPr>
      <w:headerReference w:type="default" r:id="rId8"/>
      <w:footerReference w:type="default" r:id="rId9"/>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8-24T20:06:00Z">
    <w:p w14:paraId="1111FFFF">
      <w:pPr>
        <w:pStyle w:val="Default"/>
      </w:pPr>
    </w:p>
    <w:p w14:paraId="11120000">
      <w:pPr>
        <w:pStyle w:val="Default"/>
      </w:pPr>
      <w:r>
        <w:rPr>
          <w:rtl w:val="0"/>
        </w:rPr>
        <w:t>Contract pricing data</w:t>
      </w:r>
    </w:p>
  </w:comment>
  <w:comment w:id="5" w:author="Tom Termini" w:date="2022-08-25T00:26:00Z">
    <w:p w14:paraId="11120001">
      <w:pPr>
        <w:pStyle w:val="Default"/>
      </w:pPr>
    </w:p>
    <w:p w14:paraId="11120002">
      <w:pPr>
        <w:pStyle w:val="Default"/>
      </w:pPr>
      <w:r>
        <w:rPr>
          <w:rtl w:val="0"/>
        </w:rPr>
        <w:t>Insert companies and locations</w:t>
      </w:r>
    </w:p>
  </w:comment>
  <w:comment w:id="11" w:author="Tom Termini" w:date="2022-08-24T19:59:00Z">
    <w:p w14:paraId="11120003">
      <w:pPr>
        <w:pStyle w:val="Default"/>
      </w:pPr>
    </w:p>
    <w:p w14:paraId="11120004">
      <w:pPr>
        <w:pStyle w:val="Default"/>
      </w:pPr>
      <w:r>
        <w:rPr>
          <w:rtl w:val="0"/>
        </w:rPr>
        <w:t>Insert information</w:t>
      </w:r>
    </w:p>
  </w:comment>
  <w:comment w:id="21" w:author="Tom Termini" w:date="2022-08-24T20:24:00Z">
    <w:p w14:paraId="11120005">
      <w:pPr>
        <w:pStyle w:val="Default"/>
      </w:pPr>
    </w:p>
    <w:p w14:paraId="11120006">
      <w:pPr>
        <w:pStyle w:val="Default"/>
      </w:pPr>
      <w:r>
        <w:rPr>
          <w:rtl w:val="0"/>
        </w:rPr>
        <w:t>Add percents</w:t>
      </w:r>
    </w:p>
  </w:comment>
  <w:comment w:id="27" w:author="Tom Termini" w:date="2022-08-24T20:02:00Z">
    <w:p w14:paraId="11120007">
      <w:pPr>
        <w:pStyle w:val="Default"/>
      </w:pPr>
    </w:p>
    <w:p w14:paraId="11120008">
      <w:pPr>
        <w:pStyle w:val="Default"/>
      </w:pPr>
      <w:r>
        <w:rPr>
          <w:rtl w:val="0"/>
        </w:rPr>
        <w:t>Insert data</w:t>
      </w:r>
    </w:p>
  </w:comment>
  <w:comment w:id="30" w:author="Tom Termini" w:date="2022-08-24T20:02:00Z">
    <w:p w14:paraId="11120009">
      <w:pPr>
        <w:pStyle w:val="Default"/>
      </w:pPr>
    </w:p>
    <w:p w14:paraId="1112000A">
      <w:pPr>
        <w:pStyle w:val="Default"/>
      </w:pPr>
      <w:r>
        <w:rPr>
          <w:rtl w:val="0"/>
        </w:rPr>
        <w:t>Insert names</w:t>
      </w:r>
    </w:p>
  </w:comment>
  <w:comment w:id="31" w:author="Eric Newman" w:date="2022-08-26T14:13:00Z">
    <w:p w14:paraId="1112000B">
      <w:pPr>
        <w:pStyle w:val="Default"/>
      </w:pPr>
    </w:p>
    <w:p w14:paraId="1112000C">
      <w:pPr>
        <w:pStyle w:val="Default"/>
      </w:pPr>
      <w:r>
        <w:rPr>
          <w:rtl w:val="0"/>
        </w:rPr>
        <w:t>Information is on first table of spreadsheet</w:t>
      </w:r>
    </w:p>
  </w:comment>
  <w:comment w:id="32" w:author="Eric Newman" w:date="2022-08-26T14:13:00Z">
    <w:p w14:paraId="1112000D">
      <w:pPr>
        <w:pStyle w:val="Default"/>
      </w:pPr>
    </w:p>
    <w:p w14:paraId="1112000E">
      <w:pPr>
        <w:pStyle w:val="Default"/>
      </w:pPr>
      <w:r>
        <w:rPr>
          <w:rtl w:val="0"/>
        </w:rPr>
        <w:t>Table 8</w:t>
      </w:r>
    </w:p>
  </w:comment>
  <w:comment w:id="36" w:author="Tom Termini" w:date="2022-08-25T00:38:00Z">
    <w:p w14:paraId="1112000F">
      <w:pPr>
        <w:pStyle w:val="Default"/>
      </w:pPr>
    </w:p>
    <w:p w14:paraId="11120010">
      <w:pPr>
        <w:pStyle w:val="Default"/>
      </w:pPr>
      <w:r>
        <w:rPr>
          <w:rtl w:val="0"/>
        </w:rPr>
        <w:t>insert PDF after rendering</w:t>
      </w:r>
    </w:p>
  </w:comment>
  <w:comment w:id="37" w:author="Eric Newman" w:date="2022-08-26T14:14:00Z">
    <w:p w14:paraId="11120011">
      <w:pPr>
        <w:pStyle w:val="Default"/>
      </w:pPr>
    </w:p>
    <w:p w14:paraId="11120012">
      <w:pPr>
        <w:pStyle w:val="Default"/>
      </w:pPr>
      <w:r>
        <w:rPr>
          <w:rtl w:val="0"/>
        </w:rPr>
        <w:t>Schedule is attached to the 8.24.22 email</w:t>
      </w:r>
    </w:p>
  </w:comment>
</w:comments>
</file>

<file path=word/commentsExtended.xml><?xml version="1.0" encoding="utf-8"?>
<w15:commentsEx xmlns:w="http://schemas.openxmlformats.org/wordprocessingml/2006/main" xmlns:r="http://schemas.openxmlformats.org/officeDocument/2006/relationships" xmlns:wp="http://schemas.openxmlformats.org/drawingml/2006/wordprocessingDrawing" xmlns:w15="http://schemas.microsoft.com/office/word/2012/wordml">
  <w15:commentEx w15:paraId="11120000" w15:done="0"/>
  <w15:commentEx w15:paraId="11120002" w15:done="0"/>
  <w15:commentEx w15:paraId="11120004" w15:done="0"/>
  <w15:commentEx w15:paraId="11120006" w15:done="0"/>
  <w15:commentEx w15:paraId="11120008" w15:done="0"/>
  <w15:commentEx w15:paraId="1112000A" w15:done="0"/>
  <w15:commentEx w15:paraId="1112000C" w15:done="0"/>
  <w15:commentEx w15:paraId="1112000E" w15:paraIdParent="1112000C" w15:done="0"/>
  <w15:commentEx w15:paraId="11120010" w15:done="0"/>
  <w15:commentEx w15:paraId="11120012" w15:done="0"/>
</w15:commentsEx>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PANHES-22-P-0000 004070</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PANHES-22-P-0000 004070</w:t>
      <w:tab/>
      <w:tab/>
      <w:tab/>
      <w:t>All Phase Services, Inc.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720" w:after="12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C">
    <w:name w:val="Body C"/>
    <w:next w:val="Body C"/>
    <w:pPr>
      <w:keepNext w:val="0"/>
      <w:keepLines w:val="0"/>
      <w:pageBreakBefore w:val="0"/>
      <w:widowControl w:val="1"/>
      <w:shd w:val="clear" w:color="auto" w:fill="auto"/>
      <w:suppressAutoHyphens w:val="1"/>
      <w:bidi w:val="0"/>
      <w:spacing w:before="0" w:after="18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