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004070 - Southeastern Region MATOC, </w:t>
      </w:r>
      <w:r>
        <w:rPr>
          <w:b w:val="1"/>
          <w:bCs w:val="1"/>
          <w:sz w:val="28"/>
          <w:szCs w:val="28"/>
        </w:rPr>
        <w:br w:type="textWrapping"/>
      </w:r>
      <w:r>
        <w:rPr>
          <w:b w:val="1"/>
          <w:bCs w:val="1"/>
          <w:sz w:val="28"/>
          <w:szCs w:val="28"/>
          <w:rtl w:val="0"/>
          <w:lang w:val="en-US"/>
        </w:rPr>
        <w:t>for Abatement and Demolition Services at</w:t>
      </w:r>
      <w:r>
        <w:rPr>
          <w:b w:val="1"/>
          <w:bCs w:val="1"/>
          <w:sz w:val="28"/>
          <w:szCs w:val="28"/>
        </w:rPr>
        <w:br w:type="textWrapping"/>
      </w:r>
      <w:r>
        <w:rPr>
          <w:b w:val="1"/>
          <w:bCs w:val="1"/>
          <w:sz w:val="28"/>
          <w:szCs w:val="28"/>
          <w:rtl w:val="0"/>
          <w:lang w:val="en-US"/>
        </w:rPr>
        <w:t xml:space="preserve">Former Martin Community Hospital (MACH) </w:t>
      </w:r>
      <w:r>
        <w:rPr>
          <w:b w:val="1"/>
          <w:bCs w:val="1"/>
          <w:sz w:val="28"/>
          <w:szCs w:val="28"/>
        </w:rPr>
        <w:br w:type="textWrapping"/>
      </w:r>
      <w:r>
        <w:rPr>
          <w:b w:val="1"/>
          <w:bCs w:val="1"/>
          <w:sz w:val="28"/>
          <w:szCs w:val="28"/>
          <w:rtl w:val="0"/>
          <w:lang w:val="en-US"/>
        </w:rPr>
        <w:t>Fort Benning, G</w:t>
      </w:r>
      <w:r>
        <w:rPr>
          <w:b w:val="1"/>
          <w:bCs w:val="1"/>
          <w:sz w:val="28"/>
          <w:szCs w:val="28"/>
          <w:rtl w:val="0"/>
          <w:lang w:val="en-US"/>
        </w:rPr>
        <w:t>A</w:t>
      </w:r>
    </w:p>
    <w:p>
      <w:pPr>
        <w:pStyle w:val="Body A"/>
        <w:jc w:val="center"/>
      </w:pPr>
      <w:r>
        <w:rPr>
          <w:rtl w:val="0"/>
          <w:lang w:val="en-US"/>
        </w:rPr>
        <w:t>Submitted on: 31-August-2022 12:00 local time</w:t>
      </w:r>
    </w:p>
    <w:p>
      <w:pPr>
        <w:pStyle w:val="Body A"/>
        <w:jc w:val="center"/>
      </w:pPr>
      <w:r>
        <w:rPr>
          <w:rtl w:val="0"/>
          <w:lang w:val="en-US"/>
        </w:rPr>
        <w:t xml:space="preserve">Submitted to: U.S. </w:t>
      </w:r>
      <w:r>
        <w:drawing>
          <wp:anchor distT="12700" distB="12700" distL="12700" distR="12700" simplePos="0" relativeHeight="251661312" behindDoc="0" locked="0" layoutInCell="1" allowOverlap="1">
            <wp:simplePos x="0" y="0"/>
            <wp:positionH relativeFrom="page">
              <wp:posOffset>2984818</wp:posOffset>
            </wp:positionH>
            <wp:positionV relativeFrom="page">
              <wp:posOffset>2926416</wp:posOffset>
            </wp:positionV>
            <wp:extent cx="1802764" cy="1692765"/>
            <wp:effectExtent l="0" t="0" r="0" b="0"/>
            <wp:wrapTopAndBottom distT="12700" distB="127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4">
                      <a:extLst/>
                    </a:blip>
                    <a:stretch>
                      <a:fillRect/>
                    </a:stretch>
                  </pic:blipFill>
                  <pic:spPr>
                    <a:xfrm>
                      <a:off x="0" y="0"/>
                      <a:ext cx="1802764" cy="1692765"/>
                    </a:xfrm>
                    <a:prstGeom prst="rect">
                      <a:avLst/>
                    </a:prstGeom>
                    <a:ln w="12700" cap="flat">
                      <a:noFill/>
                      <a:miter lim="400000"/>
                    </a:ln>
                    <a:effectLst/>
                  </pic:spPr>
                </pic:pic>
              </a:graphicData>
            </a:graphic>
          </wp:anchor>
        </w:drawing>
      </w:r>
      <w:r>
        <w:rPr>
          <w:rtl w:val="0"/>
          <w:lang w:val="en-US"/>
        </w:rPr>
        <w:t xml:space="preserve">Army Corps of Engineers </w:t>
      </w:r>
    </w:p>
    <w:p>
      <w:pPr>
        <w:pStyle w:val="Body A"/>
      </w:pPr>
    </w:p>
    <w:p>
      <w:pPr>
        <w:pStyle w:val="Body A"/>
        <w:jc w:val="center"/>
      </w:pPr>
      <w:r>
        <w:rPr>
          <w:rtl w:val="0"/>
          <w:lang w:val="en-US"/>
        </w:rPr>
        <w:t>Submitted by:</w:t>
      </w:r>
    </w:p>
    <w:p>
      <w:pPr>
        <w:pStyle w:val="Body A"/>
        <w:jc w:val="cente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www.allphase</w:t>
      </w:r>
      <w:r>
        <w:rPr>
          <w:b w:val="1"/>
          <w:bCs w:val="1"/>
        </w:rPr>
        <w:drawing>
          <wp:anchor distT="0" distB="0" distL="0" distR="0" simplePos="0" relativeHeight="251660288" behindDoc="0" locked="0" layoutInCell="1" allowOverlap="1">
            <wp:simplePos x="0" y="0"/>
            <wp:positionH relativeFrom="page">
              <wp:posOffset>2637470</wp:posOffset>
            </wp:positionH>
            <wp:positionV relativeFrom="line">
              <wp:posOffset>202842</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5">
                      <a:extLst/>
                    </a:blip>
                    <a:stretch>
                      <a:fillRect/>
                    </a:stretch>
                  </pic:blipFill>
                  <pic:spPr>
                    <a:xfrm>
                      <a:off x="0" y="0"/>
                      <a:ext cx="2314575" cy="1228725"/>
                    </a:xfrm>
                    <a:prstGeom prst="rect">
                      <a:avLst/>
                    </a:prstGeom>
                    <a:ln w="12700" cap="flat">
                      <a:noFill/>
                      <a:miter lim="400000"/>
                    </a:ln>
                    <a:effectLst/>
                  </pic:spPr>
                </pic:pic>
              </a:graphicData>
            </a:graphic>
          </wp:anchor>
        </w:drawing>
      </w:r>
      <w:r>
        <w:rPr>
          <w:b w:val="1"/>
          <w:bCs w:val="1"/>
        </w:rP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line">
                  <wp:posOffset>1437423</wp:posOffset>
                </wp:positionV>
                <wp:extent cx="5943600" cy="1410100"/>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113.2pt;width:468.0pt;height:111.0pt;z-index:251659264;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page"/>
              </v:shape>
            </w:pict>
          </mc:Fallback>
        </mc:AlternateContent>
      </w:r>
      <w:r>
        <w:rPr>
          <w:b w:val="1"/>
          <w:bCs w:val="1"/>
          <w:rtl w:val="0"/>
          <w:lang w:val="en-US"/>
        </w:rPr>
        <w:t>env.com</w:t>
      </w:r>
    </w:p>
    <w:p>
      <w:pPr>
        <w:pStyle w:val="Body A"/>
        <w:pageBreakBefore w:val="1"/>
        <w:jc w:val="right"/>
        <w:rPr>
          <w:b w:val="1"/>
          <w:bCs w:val="1"/>
        </w:rPr>
      </w:pPr>
      <w:r>
        <w:rPr>
          <w:b w:val="1"/>
          <w:bCs w:val="1"/>
          <w:rtl w:val="0"/>
          <w:lang w:val="en-US"/>
        </w:rPr>
        <w:t>31-August-2022</w:t>
      </w:r>
    </w:p>
    <w:p>
      <w:pPr>
        <w:pStyle w:val="Body A"/>
      </w:pPr>
      <w:r>
        <w:rPr>
          <w:rtl w:val="0"/>
        </w:rPr>
        <w:t>To:</w:t>
      </w:r>
      <w:r>
        <w:br w:type="textWrapping"/>
      </w:r>
      <w:r>
        <w:rPr>
          <w:rtl w:val="0"/>
        </w:rPr>
        <w:t>US Army Corps of Engineers, Engineering and Support Center,</w:t>
      </w:r>
      <w:r>
        <w:br w:type="textWrapping"/>
      </w:r>
      <w:r>
        <w:rPr>
          <w:rtl w:val="0"/>
        </w:rPr>
        <w:t>Huntsville</w:t>
      </w:r>
      <w:r>
        <w:rPr>
          <w:rtl w:val="0"/>
        </w:rPr>
        <w:t>, AL</w:t>
      </w:r>
    </w:p>
    <w:p>
      <w:pPr>
        <w:pStyle w:val="Body A"/>
        <w:jc w:val="right"/>
      </w:pPr>
      <w:r>
        <w:rPr>
          <w:rtl w:val="0"/>
          <w:lang w:val="en-US"/>
        </w:rPr>
        <w:t xml:space="preserve">re: Southeast Region U.S. Facilities Reduction Program (FRP) </w:t>
      </w:r>
      <w:r>
        <w:br w:type="textWrapping"/>
      </w:r>
      <w:r>
        <w:rPr>
          <w:rtl w:val="0"/>
          <w:lang w:val="en-US"/>
        </w:rPr>
        <w:t>Multiple Award Task Order Contract (MATOC)</w:t>
      </w:r>
    </w:p>
    <w:p>
      <w:pPr>
        <w:pStyle w:val="Body A"/>
      </w:pPr>
      <w:r>
        <w:rPr>
          <w:rtl w:val="0"/>
        </w:rPr>
        <w:t>Dear Sir/Madam:</w:t>
      </w:r>
    </w:p>
    <w:p>
      <w:pPr>
        <w:pStyle w:val="Body A"/>
        <w:jc w:val="both"/>
      </w:pPr>
      <w:r>
        <w:rPr>
          <w:rtl w:val="0"/>
          <w:lang w:val="en-US"/>
        </w:rPr>
        <w:t>All Phase Services, Inc. is pleased to submit this proposal in response to the RFP for PANHES-22-P-0000 004070 - Southeastern Region MATOC, for Abatement and Demolition Services at Former Martin Community Hospital (MACH) Fort Benning, GA. Our proposal conforms to the instructions and requirements of the solicitation and addresses the Task Order PWS. We acknowledge receipt of associated maps and Site Survey Report, and Q&amp;As, as well as the RFP, including all amendments up to 26-August-2022. All Phase takes no exceptions to the terms, conditions, and provisions contained therein. Furthermore, we make no assumptions within this proposal that are intended to offset any risk onto the Government.</w:t>
      </w:r>
      <w:r>
        <w:br w:type="textWrapping"/>
      </w:r>
      <w:commentRangeStart w:id="0"/>
    </w:p>
    <w:p>
      <w:pPr>
        <w:pStyle w:val="Body A"/>
        <w:jc w:val="both"/>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commentRangeEnd w:id="0"/>
      <w:r>
        <w:commentReference w:id="0"/>
      </w:r>
    </w:p>
    <w:p>
      <w:pPr>
        <w:pStyle w:val="Body A"/>
        <w:jc w:val="both"/>
      </w:pPr>
      <w:r>
        <w:rPr>
          <w:rtl w:val="0"/>
          <w:lang w:val="en-US"/>
        </w:rPr>
        <w:t>Carlos Martins, President of All Phase Services, Inc., will be the primary POC. Eric Newman, Pre-Construction Manager of All Phase Services, Inc. will be the alternate point of contact. The POCs for this proposal have full authority to negotiate and sign the contract resulting from this procurement on All Phase</w:t>
      </w:r>
      <w:r>
        <w:rPr>
          <w:rtl w:val="0"/>
          <w:lang w:val="en-US"/>
        </w:rPr>
        <w:t>’</w:t>
      </w:r>
      <w:r>
        <w:rPr>
          <w:rtl w:val="0"/>
          <w:lang w:val="en-US"/>
        </w:rPr>
        <w:t xml:space="preserve">s behalf, with contact information provided, below. </w:t>
      </w:r>
    </w:p>
    <w:p>
      <w:pPr>
        <w:pStyle w:val="Body A"/>
        <w:keepNext w:val="1"/>
      </w:pPr>
      <w:r>
        <w:rPr>
          <w:rtl w:val="0"/>
          <w:lang w:val="en-US"/>
        </w:rPr>
        <w:t>Respectfully,</w:t>
      </w:r>
    </w:p>
    <w:p>
      <w:pPr>
        <w:pStyle w:val="Body A"/>
      </w:pPr>
      <w:r>
        <w:rPr>
          <w:rtl w:val="0"/>
        </w:rPr>
        <w:t>/S/</w:t>
      </w:r>
    </w:p>
    <w:p>
      <w:pPr>
        <w:pStyle w:val="Body A"/>
      </w:pPr>
    </w:p>
    <w:p>
      <w:pPr>
        <w:pStyle w:val="Body A"/>
        <w:spacing w:line="240" w:lineRule="auto"/>
      </w:pPr>
      <w:r>
        <w:rPr>
          <w:rtl w:val="0"/>
          <w:lang w:val="en-US"/>
        </w:rPr>
        <w:t xml:space="preserve">Carlos Martins, President </w:t>
      </w:r>
      <w:r>
        <w:rPr>
          <w:rtl w:val="0"/>
          <w:lang w:val="en-US"/>
        </w:rPr>
        <w:t xml:space="preserve">– </w:t>
      </w:r>
      <w:r>
        <w:rPr>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"mailto:carlos@allphase.org"</w:instrText>
      </w:r>
      <w:r>
        <w:rPr>
          <w:rStyle w:val="Hyperlink.0"/>
        </w:rPr>
        <w:fldChar w:fldCharType="separate" w:fldLock="0"/>
      </w:r>
      <w:r>
        <w:rPr>
          <w:rStyle w:val="Hyperlink.0"/>
          <w:rtl w:val="0"/>
          <w:lang w:val="en-US"/>
        </w:rPr>
        <w:t>carlos@allphase.org</w:t>
      </w:r>
      <w:r>
        <w:rPr/>
        <w:fldChar w:fldCharType="end" w:fldLock="0"/>
      </w: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line="240" w:lineRule="auto"/>
      </w:pPr>
    </w:p>
    <w:p>
      <w:pPr>
        <w:pStyle w:val="Body A"/>
        <w:spacing w:after="120" w:line="240" w:lineRule="auto"/>
        <w:rPr>
          <w:sz w:val="20"/>
          <w:szCs w:val="20"/>
        </w:rPr>
      </w:pPr>
      <w:r>
        <w:rPr>
          <w:i w:val="1"/>
          <w:iCs w:val="1"/>
          <w:sz w:val="20"/>
          <w:szCs w:val="20"/>
          <w:rtl w:val="0"/>
          <w:lang w:val="en-US"/>
        </w:rPr>
        <w:t>Required Clause Regarding Site Investigation and Conditions Affecting the Work</w:t>
      </w:r>
      <w:r>
        <w:rPr>
          <w:sz w:val="20"/>
          <w:szCs w:val="20"/>
          <w:rtl w:val="0"/>
          <w:lang w:val="en-US"/>
        </w:rPr>
        <w:t>:</w:t>
      </w:r>
    </w:p>
    <w:p>
      <w:pPr>
        <w:pStyle w:val="Body A"/>
        <w:spacing w:after="120" w:line="240" w:lineRule="auto"/>
        <w:ind w:left="720" w:firstLine="0"/>
        <w:rPr>
          <w:sz w:val="20"/>
          <w:szCs w:val="20"/>
        </w:rPr>
      </w:pPr>
      <w:r>
        <w:rPr>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sz w:val="20"/>
          <w:szCs w:val="20"/>
        </w:rPr>
      </w:pPr>
      <w:r>
        <w:rPr>
          <w:sz w:val="20"/>
          <w:szCs w:val="20"/>
          <w:rtl w:val="0"/>
          <w:lang w:val="en-US"/>
        </w:rPr>
        <w:t>(1) Conditions bearing upon transportation, disposal, handling, and storage of materials;</w:t>
      </w:r>
    </w:p>
    <w:p>
      <w:pPr>
        <w:pStyle w:val="Body A"/>
        <w:spacing w:after="120" w:line="240" w:lineRule="auto"/>
        <w:ind w:left="720" w:firstLine="0"/>
        <w:rPr>
          <w:sz w:val="20"/>
          <w:szCs w:val="20"/>
        </w:rPr>
      </w:pPr>
      <w:r>
        <w:rPr>
          <w:sz w:val="20"/>
          <w:szCs w:val="20"/>
          <w:rtl w:val="0"/>
          <w:lang w:val="en-US"/>
        </w:rPr>
        <w:t>(2) The availability of labor, water, electric power, and roads;</w:t>
      </w:r>
    </w:p>
    <w:p>
      <w:pPr>
        <w:pStyle w:val="Body A"/>
        <w:spacing w:after="120" w:line="240" w:lineRule="auto"/>
        <w:ind w:left="720" w:firstLine="0"/>
        <w:rPr>
          <w:sz w:val="20"/>
          <w:szCs w:val="20"/>
        </w:rPr>
      </w:pPr>
      <w:r>
        <w:rPr>
          <w:sz w:val="20"/>
          <w:szCs w:val="20"/>
          <w:rtl w:val="0"/>
          <w:lang w:val="en-US"/>
        </w:rPr>
        <w:t>(3) Uncertainties of weather, river stages, tides, or similar physical conditions at the site;</w:t>
      </w:r>
    </w:p>
    <w:p>
      <w:pPr>
        <w:pStyle w:val="Body A"/>
        <w:spacing w:after="120" w:line="240" w:lineRule="auto"/>
        <w:ind w:left="720" w:firstLine="0"/>
        <w:rPr>
          <w:sz w:val="20"/>
          <w:szCs w:val="20"/>
        </w:rPr>
      </w:pPr>
      <w:r>
        <w:rPr>
          <w:sz w:val="20"/>
          <w:szCs w:val="20"/>
          <w:rtl w:val="0"/>
          <w:lang w:val="en-US"/>
        </w:rPr>
        <w:t>(4) The conformation and conditions of the ground; and</w:t>
      </w:r>
    </w:p>
    <w:p>
      <w:pPr>
        <w:pStyle w:val="Body A"/>
        <w:spacing w:after="120" w:line="240" w:lineRule="auto"/>
        <w:ind w:left="720" w:firstLine="0"/>
        <w:rPr>
          <w:sz w:val="20"/>
          <w:szCs w:val="20"/>
        </w:rPr>
      </w:pPr>
      <w:r>
        <w:rPr>
          <w:sz w:val="20"/>
          <w:szCs w:val="20"/>
          <w:rtl w:val="0"/>
          <w:lang w:val="en-US"/>
        </w:rPr>
        <w:t>(5) The character of equipment and facilities needed preliminary to and during work performance.</w:t>
      </w:r>
    </w:p>
    <w:p>
      <w:pPr>
        <w:pStyle w:val="Body A"/>
        <w:spacing w:after="120" w:line="240" w:lineRule="auto"/>
        <w:ind w:left="720" w:firstLine="0"/>
        <w:rPr>
          <w:sz w:val="20"/>
          <w:szCs w:val="20"/>
        </w:rPr>
      </w:pPr>
      <w:r>
        <w:rPr>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All Phase to take the actions described and acknowledged in this paragraph will not relieve the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sz w:val="20"/>
          <w:szCs w:val="20"/>
        </w:rPr>
      </w:pPr>
      <w:r>
        <w:rPr>
          <w:sz w:val="20"/>
          <w:szCs w:val="20"/>
          <w:rtl w:val="0"/>
          <w:lang w:val="en-US"/>
        </w:rPr>
        <w:t>(b) The Government assumes no responsibility for any conclusions or interpretations made by the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b w:val="1"/>
          <w:bCs w:val="1"/>
        </w:rPr>
      </w:pPr>
      <w:r>
        <w:rPr>
          <w:b w:val="1"/>
          <w:bCs w:val="1"/>
          <w:rtl w:val="0"/>
          <w:lang w:val="en-US"/>
        </w:rPr>
        <w:t>Contents</w:t>
      </w:r>
    </w:p>
    <w:p>
      <w:pPr>
        <w:pStyle w:val="Body"/>
      </w:pPr>
      <w:r>
        <w:rPr>
          <w:b w:val="1"/>
          <w:bCs w:val="1"/>
        </w:rPr>
        <w:fldChar w:fldCharType="begin" w:fldLock="0"/>
      </w:r>
      <w:r>
        <w:rPr>
          <w:b w:val="1"/>
          <w:bCs w:val="1"/>
        </w:rPr>
        <w:instrText xml:space="preserve"> TOC \o 2-2 \t "Heading, 3"</w:instrText>
      </w:r>
      <w:r>
        <w:rPr>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3. Subcontractors, Consultants, Vendors, and Waste Handlers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Reporting</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Table 6: Asbestos Abatement - Labor Distribution</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Table 7. Expected Materials for Diversion</w:t>
        <w:tab/>
      </w:r>
      <w:r>
        <w:rPr/>
        <w:fldChar w:fldCharType="begin" w:fldLock="0"/>
      </w:r>
      <w:r>
        <w:instrText xml:space="preserve"> PAGEREF _Toc17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Table 8.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9. Site Specific Issues</w:t>
        <w:tab/>
      </w:r>
      <w:r>
        <w:rPr/>
        <w:fldChar w:fldCharType="begin" w:fldLock="0"/>
      </w:r>
      <w:r>
        <w:instrText xml:space="preserve"> PAGEREF _Toc24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hint="default"/>
          <w:rtl w:val="0"/>
        </w:rPr>
        <w:t xml:space="preserve">Appendix - Preliminary Project Schedule – Base Bid </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Body"/>
      </w:pPr>
      <w:r>
        <w:rPr>
          <w:b w:val="1"/>
          <w:bCs w:val="1"/>
        </w:rPr>
        <w:fldChar w:fldCharType="end" w:fldLock="0"/>
      </w:r>
    </w:p>
    <w:p>
      <w:pPr>
        <w:pStyle w:val="Body A"/>
        <w:spacing w:after="0" w:line="240" w:lineRule="auto"/>
      </w:pPr>
    </w:p>
    <w:p>
      <w:pPr>
        <w:pStyle w:val="Body A"/>
        <w:spacing w:after="0" w:line="240" w:lineRule="auto"/>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tl w:val="0"/>
          <w:lang w:val="en-US"/>
        </w:rPr>
        <w:t>Technical Approach</w:t>
      </w:r>
      <w:bookmarkEnd w:id="1"/>
    </w:p>
    <w:p>
      <w:pPr>
        <w:pStyle w:val="Body C"/>
        <w:spacing w:after="100"/>
      </w:pPr>
      <w:r>
        <w:rPr>
          <w:rtl w:val="0"/>
          <w:lang w:val="en-US"/>
        </w:rPr>
        <w:t>This project involves All Phase Services, Inc. (</w:t>
      </w:r>
      <w:r>
        <w:rPr>
          <w:rFonts w:ascii="Arial Unicode MS" w:hAnsi="Arial Unicode MS" w:hint="default"/>
          <w:rtl w:val="1"/>
          <w:lang w:val="ar-SA" w:bidi="ar-SA"/>
        </w:rPr>
        <w:t>“</w:t>
      </w:r>
      <w:r>
        <w:rPr>
          <w:rtl w:val="0"/>
          <w:lang w:val="en-US"/>
        </w:rPr>
        <w:t>All Phase</w:t>
      </w:r>
      <w:r>
        <w:rPr>
          <w:rtl w:val="0"/>
          <w:lang w:val="en-US"/>
        </w:rPr>
        <w:t>”</w:t>
      </w:r>
      <w:r>
        <w:rPr>
          <w:rtl w:val="0"/>
          <w:lang w:val="en-US"/>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Fonts w:ascii="Arial Unicode MS" w:hAnsi="Arial Unicode MS" w:hint="default"/>
          <w:rtl w:val="1"/>
          <w:lang w:val="ar-SA" w:bidi="ar-SA"/>
        </w:rPr>
        <w:t>“</w:t>
      </w:r>
      <w:r>
        <w:rPr>
          <w:rtl w:val="0"/>
          <w:lang w:val="en-US"/>
        </w:rPr>
        <w:t>waterfall</w:t>
      </w:r>
      <w:r>
        <w:rPr>
          <w:rtl w:val="0"/>
          <w:lang w:val="en-US"/>
        </w:rPr>
        <w:t xml:space="preserve">” </w:t>
      </w:r>
      <w:r>
        <w:rPr>
          <w:rtl w:val="0"/>
          <w:lang w:val="en-US"/>
        </w:rPr>
        <w:t xml:space="preserve">approach: we set clear milestones between each task, with set due dates, deliverables, and client expectations organized on a clear timeline, as shown in the GANTT provided as an appendix. All Phase will provide at Martin Army Community Hospital, at Fort Benning, Georgia, a range of demolition services and is issued under the existing Southeast Region U.S. Facilities Reduction Program (FRP) Multiple Award Task Order Contract (MATOC); here after referred to as </w:t>
      </w:r>
      <w:r>
        <w:rPr>
          <w:rtl w:val="0"/>
          <w:lang w:val="en-US"/>
        </w:rPr>
        <w:t>“</w:t>
      </w:r>
      <w:r>
        <w:rPr>
          <w:rtl w:val="0"/>
          <w:lang w:val="en-US"/>
        </w:rPr>
        <w:t>Region MATOC</w:t>
      </w:r>
      <w:r>
        <w:rPr>
          <w:rtl w:val="0"/>
          <w:lang w:val="en-US"/>
        </w:rPr>
        <w:t>”</w:t>
      </w:r>
      <w:r>
        <w:rPr>
          <w:rtl w:val="0"/>
          <w:lang w:val="en-US"/>
        </w:rPr>
        <w:t xml:space="preserve">. All Region MATOC terms, conditions, specifications, requirements, and guidance apply to this task order. This task order will be awarded to one of the Region MATOC All Phases on a competitive basis. The purpose of this task order is to support a facilities removal project. All Phase will comply with all Installation entrance and security requirements. All Phase will be responsible for assuring that all employees meet the access requirements of the Installation prior to the execution of work action on the Installation. To that end, All Phase will adhere to the Installation operations security (OPSEC) requirements in accordance with the Antiterrorism/Operations Security Review Package. </w:t>
      </w:r>
    </w:p>
    <w:p>
      <w:pPr>
        <w:pStyle w:val="Body C"/>
        <w:spacing w:after="100"/>
      </w:pPr>
      <w:r>
        <w:rPr>
          <w:rtl w:val="0"/>
          <w:lang w:val="en-US"/>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C"/>
        <w:spacing w:after="100"/>
      </w:pPr>
      <w:r>
        <w:rPr>
          <w:rtl w:val="0"/>
          <w:lang w:val="en-US"/>
        </w:rPr>
        <w:t>All Phase will provide Archaeological Monitoring services during the demolition of Martin Army Community Hospital (MACH) and any associated buildings and structures, including parking lots. This effort will consist of observing excavation activities, reporting results, and halting work in areas as needed. Because of the size and scope of this demolition, two archaeologists will need to be present to adequately monitor demolition activities. The archaeologists will be present on the project site during all construction activities until the project is completed. Fort Benning Directorate of Public Works (DPW) Cultural Resources Staff will conduct weekly site visits of the project area to assess work progress and coordinate with the project contractor</w:t>
      </w:r>
      <w:r>
        <w:rPr>
          <w:rtl w:val="0"/>
          <w:lang w:val="en-US"/>
        </w:rPr>
        <w:t>’</w:t>
      </w:r>
      <w:r>
        <w:rPr>
          <w:rtl w:val="0"/>
          <w:lang w:val="en-US"/>
        </w:rPr>
        <w:t>s archaeologists.</w:t>
      </w:r>
      <w:r>
        <w:rPr>
          <w:rtl w:val="0"/>
          <w:lang w:val="en-US"/>
        </w:rPr>
        <w:t xml:space="preserve"> </w:t>
      </w:r>
      <w:r>
        <w:rPr>
          <w:rtl w:val="0"/>
          <w:lang w:val="en-US"/>
        </w:rPr>
        <w:t>Monitoring, evaluation, recording, analysis, and reporting are to meet professional standards and be conducted by Secretary of Interior qualified archaeologists. The monitoring company</w:t>
      </w:r>
      <w:r>
        <w:rPr>
          <w:rtl w:val="0"/>
          <w:lang w:val="en-US"/>
        </w:rPr>
        <w:t>’</w:t>
      </w:r>
      <w:r>
        <w:rPr>
          <w:rtl w:val="0"/>
          <w:lang w:val="en-US"/>
        </w:rPr>
        <w:t>s staff will include a professional osteoarcheologist / physical anthropologist that the field archaeologists can consult with in case potentially human remains are encountered. Archaeological monitors will observe all ground disturbance. Archaeological monitors will have full authority to pause or stop work at any time. The demolition pace will not exceed the monitors</w:t>
      </w:r>
      <w:r>
        <w:rPr>
          <w:rtl w:val="0"/>
          <w:lang w:val="en-US"/>
        </w:rPr>
        <w:t xml:space="preserve">’ </w:t>
      </w:r>
      <w:r>
        <w:rPr>
          <w:rtl w:val="0"/>
          <w:lang w:val="en-US"/>
        </w:rPr>
        <w:t>ability to inspect and assess the work being done.</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2335"/>
        <w:gridCol w:w="2335"/>
        <w:gridCol w:w="2335"/>
        <w:gridCol w:w="2335"/>
      </w:tblGrid>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Building #</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Name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SF</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Site Resortation</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9200</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Main Hospital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393,077</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Chiller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1,721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9202</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Boiler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6,5590</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9208</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Admin Building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2,442</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r>
        <w:tblPrEx>
          <w:shd w:val="clear" w:color="auto" w:fill="cacaca"/>
        </w:tblPrEx>
        <w:trPr>
          <w:trHeight w:val="232"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9211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Office Trailers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8,856</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Fill/Grass</w:t>
            </w:r>
          </w:p>
        </w:tc>
      </w:tr>
    </w:tbl>
    <w:p>
      <w:pPr>
        <w:pStyle w:val="Body C"/>
        <w:widowControl w:val="0"/>
      </w:pPr>
      <w:r>
        <w:rPr>
          <w:rtl w:val="0"/>
          <w:lang w:val="en-US"/>
        </w:rPr>
        <w:t xml:space="preserve"> 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several of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suppressAutoHyphens w:val="1"/>
      </w:pPr>
      <w:bookmarkStart w:name="_Toc1" w:id="2"/>
      <w:r>
        <w:rPr>
          <w:rtl w:val="0"/>
        </w:rPr>
        <w:t xml:space="preserve">Table 1. </w:t>
      </w:r>
      <w:r>
        <w:rPr>
          <w:rtl w:val="0"/>
          <w:lang w:val="en-US"/>
        </w:rPr>
        <w:t>Hazardous Material Abatement Projected Difficulty Per Location</w:t>
      </w:r>
      <w:r>
        <w:drawing>
          <wp:anchor distT="38100" distB="38100" distL="38100" distR="38100" simplePos="0" relativeHeight="251662336" behindDoc="0" locked="0" layoutInCell="1" allowOverlap="1">
            <wp:simplePos x="0" y="0"/>
            <wp:positionH relativeFrom="margin">
              <wp:posOffset>-6350</wp:posOffset>
            </wp:positionH>
            <wp:positionV relativeFrom="line">
              <wp:posOffset>232833</wp:posOffset>
            </wp:positionV>
            <wp:extent cx="5943600" cy="997871"/>
            <wp:effectExtent l="0" t="0" r="0" b="0"/>
            <wp:wrapThrough wrapText="bothSides" distL="38100" distR="38100">
              <wp:wrapPolygon edited="1">
                <wp:start x="0" y="0"/>
                <wp:lineTo x="21621" y="0"/>
                <wp:lineTo x="21621" y="21610"/>
                <wp:lineTo x="0" y="2161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997871"/>
                    </a:xfrm>
                    <a:prstGeom prst="rect">
                      <a:avLst/>
                    </a:prstGeom>
                    <a:ln w="12700" cap="flat">
                      <a:noFill/>
                      <a:miter lim="400000"/>
                    </a:ln>
                    <a:effectLst/>
                  </pic:spPr>
                </pic:pic>
              </a:graphicData>
            </a:graphic>
          </wp:anchor>
        </w:drawing>
      </w:r>
      <w:bookmarkEnd w:id="2"/>
    </w:p>
    <w:p>
      <w:pPr>
        <w:pStyle w:val="Body C"/>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3"/>
      <w:r>
        <w:rPr>
          <w:rtl w:val="0"/>
        </w:rPr>
        <w:t xml:space="preserve">Table 2. </w:t>
      </w:r>
      <w:r>
        <w:rPr>
          <w:rtl w:val="0"/>
          <w:lang w:val="en-US"/>
        </w:rPr>
        <w:t>Hazardous Material Abatement Manpower Projection</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186266</wp:posOffset>
            </wp:positionV>
            <wp:extent cx="5943600" cy="103063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1030638"/>
                    </a:xfrm>
                    <a:prstGeom prst="rect">
                      <a:avLst/>
                    </a:prstGeom>
                    <a:ln w="12700" cap="flat">
                      <a:noFill/>
                      <a:miter lim="400000"/>
                    </a:ln>
                    <a:effectLst/>
                  </pic:spPr>
                </pic:pic>
              </a:graphicData>
            </a:graphic>
          </wp:anchor>
        </w:drawing>
      </w:r>
      <w:r>
        <w:rPr>
          <w:rtl w:val="0"/>
        </w:rPr>
        <w:t xml:space="preserve"> </w:t>
      </w:r>
      <w:bookmarkEnd w:id="3"/>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4"/>
      <w:r>
        <w:rPr>
          <w:rtl w:val="0"/>
        </w:rPr>
        <w:t xml:space="preserve">Table 3. </w:t>
      </w:r>
      <w:r>
        <w:rPr>
          <w:rtl w:val="0"/>
          <w:lang w:val="en-US"/>
        </w:rPr>
        <w:t>Subcontractors, Consultants, Vendors, and Waste Handlers</w:t>
      </w:r>
      <w:bookmarkEnd w:id="4"/>
    </w:p>
    <w:tbl>
      <w:tblPr>
        <w:tblW w:w="934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10" w:hRule="atLeast"/>
        </w:trPr>
        <w:tc>
          <w:tcPr>
            <w:tcW w:type="dxa" w:w="3120"/>
            <w:tcBorders>
              <w:top w:val="single" w:color="525252" w:sz="6" w:space="0" w:shadow="0" w:frame="0"/>
              <w:left w:val="single" w:color="525252" w:sz="6" w:space="0" w:shadow="0" w:frame="0"/>
              <w:bottom w:val="single" w:color="525252" w:sz="8" w:space="0" w:shadow="0" w:frame="0"/>
              <w:right w:val="single" w:color="525252"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jc w:val="center"/>
              <w:outlineLvl w:val="0"/>
            </w:pPr>
            <w:r>
              <w:rPr>
                <w:b w:val="1"/>
                <w:bCs w:val="1"/>
                <w:sz w:val="18"/>
                <w:szCs w:val="18"/>
                <w:u w:color="ffffff"/>
                <w:rtl w:val="0"/>
                <w:lang w:val="en-US"/>
              </w:rPr>
              <w:t>Expertise</w:t>
            </w:r>
          </w:p>
        </w:tc>
        <w:tc>
          <w:tcPr>
            <w:tcW w:type="dxa" w:w="3348"/>
            <w:tcBorders>
              <w:top w:val="single" w:color="525252" w:sz="6" w:space="0" w:shadow="0" w:frame="0"/>
              <w:left w:val="single" w:color="525252" w:sz="8" w:space="0" w:shadow="0" w:frame="0"/>
              <w:bottom w:val="single" w:color="000000" w:sz="8" w:space="0" w:shadow="0" w:frame="0"/>
              <w:right w:val="single" w:color="525252"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jc w:val="center"/>
              <w:outlineLvl w:val="0"/>
            </w:pPr>
            <w:r>
              <w:rPr>
                <w:b w:val="1"/>
                <w:bCs w:val="1"/>
                <w:sz w:val="18"/>
                <w:szCs w:val="18"/>
                <w:u w:color="ffffff"/>
                <w:rtl w:val="0"/>
                <w:lang w:val="en-US"/>
              </w:rPr>
              <w:t>Company</w:t>
            </w:r>
          </w:p>
        </w:tc>
        <w:tc>
          <w:tcPr>
            <w:tcW w:type="dxa" w:w="2872"/>
            <w:tcBorders>
              <w:top w:val="single" w:color="525252" w:sz="6" w:space="0" w:shadow="0" w:frame="0"/>
              <w:left w:val="single" w:color="525252" w:sz="8" w:space="0" w:shadow="0" w:frame="0"/>
              <w:bottom w:val="single" w:color="000000" w:sz="8" w:space="0" w:shadow="0" w:frame="0"/>
              <w:right w:val="single" w:color="525252" w:sz="6"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jc w:val="center"/>
              <w:outlineLvl w:val="0"/>
            </w:pPr>
            <w:r>
              <w:rPr>
                <w:b w:val="1"/>
                <w:bCs w:val="1"/>
                <w:sz w:val="18"/>
                <w:szCs w:val="18"/>
                <w:u w:color="ffffff"/>
                <w:rtl w:val="0"/>
                <w:lang w:val="en-US"/>
              </w:rPr>
              <w:t>Location</w:t>
            </w:r>
          </w:p>
        </w:tc>
      </w:tr>
      <w:tr>
        <w:tblPrEx>
          <w:shd w:val="clear" w:color="auto" w:fill="cadfff"/>
        </w:tblPrEx>
        <w:trPr>
          <w:trHeight w:val="452" w:hRule="atLeast"/>
        </w:trPr>
        <w:tc>
          <w:tcPr>
            <w:tcW w:type="dxa" w:w="3120"/>
            <w:tcBorders>
              <w:top w:val="single" w:color="525252" w:sz="8" w:space="0" w:shadow="0" w:frame="0"/>
              <w:left w:val="single" w:color="525252" w:sz="6" w:space="0" w:shadow="0" w:frame="0"/>
              <w:bottom w:val="single" w:color="525252"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Demolition</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Pine Grove Municipal Solid Waste Landfill</w:t>
            </w:r>
          </w:p>
        </w:tc>
        <w:tc>
          <w:tcPr>
            <w:tcW w:type="dxa" w:w="2872"/>
            <w:tcBorders>
              <w:top w:val="single" w:color="000000" w:sz="8" w:space="0" w:shadow="0" w:frame="0"/>
              <w:left w:val="single" w:color="000000"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Columbus, GA</w:t>
            </w:r>
          </w:p>
        </w:tc>
      </w:tr>
      <w:tr>
        <w:tblPrEx>
          <w:shd w:val="clear" w:color="auto" w:fill="cadfff"/>
        </w:tblPrEx>
        <w:trPr>
          <w:trHeight w:val="45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 xml:space="preserve">CA State SWPPP </w:t>
            </w:r>
            <w:r>
              <w:rPr>
                <w:b w:val="1"/>
                <w:bCs w:val="1"/>
                <w:sz w:val="20"/>
                <w:szCs w:val="20"/>
                <w:rtl w:val="0"/>
                <w:lang w:val="en-US"/>
              </w:rPr>
              <w:t xml:space="preserve">– </w:t>
            </w:r>
            <w:r>
              <w:rPr>
                <w:b w:val="1"/>
                <w:bCs w:val="1"/>
                <w:sz w:val="20"/>
                <w:szCs w:val="20"/>
                <w:rtl w:val="0"/>
                <w:lang w:val="en-US"/>
              </w:rPr>
              <w:t>Qualified Stormwater Designer</w:t>
            </w:r>
          </w:p>
        </w:tc>
        <w:tc>
          <w:tcPr>
            <w:tcW w:type="dxa" w:w="3348"/>
            <w:tcBorders>
              <w:top w:val="single" w:color="000000"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H2E Consulting</w:t>
            </w:r>
          </w:p>
        </w:tc>
        <w:tc>
          <w:tcPr>
            <w:tcW w:type="dxa" w:w="2872"/>
            <w:tcBorders>
              <w:top w:val="single" w:color="000000"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San Francisco, CA</w:t>
            </w:r>
          </w:p>
        </w:tc>
      </w:tr>
      <w:tr>
        <w:tblPrEx>
          <w:shd w:val="clear" w:color="auto" w:fill="cadfff"/>
        </w:tblPrEx>
        <w:trPr>
          <w:trHeight w:val="45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State of California Certified Biologist</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Jacobs Engineering Group, Inc.</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Pasadena, CA</w:t>
            </w:r>
          </w:p>
        </w:tc>
      </w:tr>
      <w:tr>
        <w:tblPrEx>
          <w:shd w:val="clear" w:color="auto" w:fill="cadfff"/>
        </w:tblPrEx>
        <w:trPr>
          <w:trHeight w:val="23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Safety equipment</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Needham</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Framingham, MA</w:t>
            </w:r>
          </w:p>
        </w:tc>
      </w:tr>
      <w:tr>
        <w:tblPrEx>
          <w:shd w:val="clear" w:color="auto" w:fill="cadfff"/>
        </w:tblPrEx>
        <w:trPr>
          <w:trHeight w:val="232" w:hRule="atLeast"/>
        </w:trPr>
        <w:tc>
          <w:tcPr>
            <w:tcW w:type="dxa" w:w="3120"/>
            <w:tcBorders>
              <w:top w:val="single" w:color="525252" w:sz="8" w:space="0" w:shadow="0" w:frame="0"/>
              <w:left w:val="single" w:color="525252" w:sz="6"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Refrigerant recovery</w:t>
            </w:r>
          </w:p>
        </w:tc>
        <w:tc>
          <w:tcPr>
            <w:tcW w:type="dxa" w:w="3348"/>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Rapid Recovery</w:t>
            </w:r>
          </w:p>
        </w:tc>
        <w:tc>
          <w:tcPr>
            <w:tcW w:type="dxa" w:w="2872"/>
            <w:tcBorders>
              <w:top w:val="single" w:color="525252" w:sz="8" w:space="0" w:shadow="0" w:frame="0"/>
              <w:left w:val="single" w:color="525252" w:sz="8" w:space="0" w:shadow="0" w:frame="0"/>
              <w:bottom w:val="single" w:color="525252"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Nationwide</w:t>
            </w:r>
          </w:p>
        </w:tc>
      </w:tr>
      <w:tr>
        <w:tblPrEx>
          <w:shd w:val="clear" w:color="auto" w:fill="cadfff"/>
        </w:tblPrEx>
        <w:trPr>
          <w:trHeight w:val="452" w:hRule="atLeast"/>
        </w:trPr>
        <w:tc>
          <w:tcPr>
            <w:tcW w:type="dxa" w:w="3120"/>
            <w:tcBorders>
              <w:top w:val="single" w:color="525252"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rPr>
                <w:sz w:val="20"/>
                <w:szCs w:val="20"/>
              </w:rPr>
            </w:pPr>
            <w:r>
              <w:rPr>
                <w:b w:val="1"/>
                <w:bCs w:val="1"/>
                <w:sz w:val="20"/>
                <w:szCs w:val="20"/>
                <w:rtl w:val="0"/>
                <w:lang w:val="en-US"/>
              </w:rPr>
              <w:t>Landfill</w:t>
            </w:r>
          </w:p>
          <w:p>
            <w:pPr>
              <w:pStyle w:val="Body C"/>
              <w:bidi w:val="0"/>
              <w:spacing w:after="0"/>
              <w:ind w:left="0" w:right="0" w:firstLine="0"/>
              <w:jc w:val="center"/>
              <w:outlineLvl w:val="0"/>
              <w:rPr>
                <w:rtl w:val="0"/>
              </w:rPr>
            </w:pPr>
            <w:r>
              <w:rPr>
                <w:sz w:val="20"/>
                <w:szCs w:val="20"/>
                <w:rtl w:val="0"/>
                <w:lang w:val="en-US"/>
              </w:rPr>
              <w:t>C&amp;D</w:t>
            </w:r>
          </w:p>
        </w:tc>
        <w:tc>
          <w:tcPr>
            <w:tcW w:type="dxa" w:w="3348"/>
            <w:tcBorders>
              <w:top w:val="single" w:color="525252"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Pine Grove Municipal Solid Waste Landfill</w:t>
            </w:r>
          </w:p>
        </w:tc>
        <w:tc>
          <w:tcPr>
            <w:tcW w:type="dxa" w:w="2872"/>
            <w:tcBorders>
              <w:top w:val="single" w:color="525252"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Columbus, GA</w:t>
            </w:r>
          </w:p>
        </w:tc>
      </w:tr>
      <w:tr>
        <w:tblPrEx>
          <w:shd w:val="clear" w:color="auto" w:fill="cadfff"/>
        </w:tblPrEx>
        <w:trPr>
          <w:trHeight w:val="452"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rPr>
                <w:sz w:val="20"/>
                <w:szCs w:val="20"/>
              </w:rPr>
            </w:pPr>
            <w:r>
              <w:rPr>
                <w:b w:val="1"/>
                <w:bCs w:val="1"/>
                <w:sz w:val="20"/>
                <w:szCs w:val="20"/>
                <w:rtl w:val="0"/>
                <w:lang w:val="en-US"/>
              </w:rPr>
              <w:t>Landfill</w:t>
            </w:r>
          </w:p>
          <w:p>
            <w:pPr>
              <w:pStyle w:val="Body C"/>
              <w:bidi w:val="0"/>
              <w:spacing w:after="0"/>
              <w:ind w:left="0" w:right="0" w:firstLine="0"/>
              <w:jc w:val="center"/>
              <w:outlineLvl w:val="0"/>
              <w:rPr>
                <w:rtl w:val="0"/>
              </w:rPr>
            </w:pPr>
            <w:r>
              <w:rPr>
                <w:sz w:val="20"/>
                <w:szCs w:val="20"/>
                <w:rtl w:val="0"/>
                <w:lang w:val="en-US"/>
              </w:rPr>
              <w:t>friable + non-friable asbestos</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Pine Grove Municipal Solid Waste Landfill</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Columbus, GA</w:t>
            </w:r>
          </w:p>
        </w:tc>
      </w:tr>
      <w:tr>
        <w:tblPrEx>
          <w:shd w:val="clear" w:color="auto" w:fill="cadfff"/>
        </w:tblPrEx>
        <w:trPr>
          <w:trHeight w:val="232"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Concrete and Asphalt Recycling</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Pine Hollow Landfill</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Phoenix City, AL </w:t>
            </w:r>
          </w:p>
        </w:tc>
      </w:tr>
      <w:tr>
        <w:tblPrEx>
          <w:shd w:val="clear" w:color="auto" w:fill="cadfff"/>
        </w:tblPrEx>
        <w:trPr>
          <w:trHeight w:val="232"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Universal Wastes</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Veolia ES Technical Solutions</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sz w:val="20"/>
                <w:szCs w:val="20"/>
                <w:rtl w:val="0"/>
                <w:lang w:val="en-US"/>
              </w:rPr>
              <w:t>Nationwide</w:t>
            </w:r>
          </w:p>
        </w:tc>
      </w:tr>
      <w:tr>
        <w:tblPrEx>
          <w:shd w:val="clear" w:color="auto" w:fill="cadfff"/>
        </w:tblPrEx>
        <w:trPr>
          <w:trHeight w:val="232" w:hRule="atLeast"/>
        </w:trPr>
        <w:tc>
          <w:tcPr>
            <w:tcW w:type="dxa" w:w="3120"/>
            <w:tcBorders>
              <w:top w:val="single" w:color="000000" w:sz="8" w:space="0" w:shadow="0" w:frame="0"/>
              <w:left w:val="single" w:color="525252" w:sz="6"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Metals Salvage</w:t>
            </w:r>
          </w:p>
        </w:tc>
        <w:tc>
          <w:tcPr>
            <w:tcW w:type="dxa" w:w="3348"/>
            <w:tcBorders>
              <w:top w:val="single" w:color="000000" w:sz="8" w:space="0" w:shadow="0" w:frame="0"/>
              <w:left w:val="single" w:color="525252" w:sz="8" w:space="0" w:shadow="0" w:frame="0"/>
              <w:bottom w:val="single" w:color="000000" w:sz="8"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Schnitzer Steel</w:t>
            </w:r>
          </w:p>
        </w:tc>
        <w:tc>
          <w:tcPr>
            <w:tcW w:type="dxa" w:w="2872"/>
            <w:tcBorders>
              <w:top w:val="single" w:color="000000" w:sz="8" w:space="0" w:shadow="0" w:frame="0"/>
              <w:left w:val="single" w:color="525252" w:sz="8" w:space="0" w:shadow="0" w:frame="0"/>
              <w:bottom w:val="single" w:color="000000" w:sz="8"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Columbus, GA</w:t>
            </w:r>
          </w:p>
        </w:tc>
      </w:tr>
      <w:tr>
        <w:tblPrEx>
          <w:shd w:val="clear" w:color="auto" w:fill="cadfff"/>
        </w:tblPrEx>
        <w:trPr>
          <w:trHeight w:val="229" w:hRule="atLeast"/>
        </w:trPr>
        <w:tc>
          <w:tcPr>
            <w:tcW w:type="dxa" w:w="3120"/>
            <w:tcBorders>
              <w:top w:val="single" w:color="000000" w:sz="8" w:space="0" w:shadow="0" w:frame="0"/>
              <w:left w:val="single" w:color="525252" w:sz="6" w:space="0" w:shadow="0" w:frame="0"/>
              <w:bottom w:val="single" w:color="525252" w:sz="6" w:space="0" w:shadow="0" w:frame="0"/>
              <w:right w:val="single" w:color="525252" w:sz="8" w:space="0" w:shadow="0" w:frame="0"/>
            </w:tcBorders>
            <w:shd w:val="clear" w:color="auto" w:fill="dfdfdf"/>
            <w:tcMar>
              <w:top w:type="dxa" w:w="80"/>
              <w:left w:type="dxa" w:w="80"/>
              <w:bottom w:type="dxa" w:w="80"/>
              <w:right w:type="dxa" w:w="80"/>
            </w:tcMar>
            <w:vAlign w:val="center"/>
          </w:tcPr>
          <w:p>
            <w:pPr>
              <w:pStyle w:val="Body C"/>
              <w:spacing w:after="0"/>
              <w:jc w:val="left"/>
              <w:outlineLvl w:val="0"/>
            </w:pPr>
            <w:r>
              <w:rPr>
                <w:b w:val="1"/>
                <w:bCs w:val="1"/>
                <w:sz w:val="20"/>
                <w:szCs w:val="20"/>
                <w:rtl w:val="0"/>
                <w:lang w:val="en-US"/>
              </w:rPr>
              <w:t>Topsoil / Backfill</w:t>
            </w:r>
          </w:p>
        </w:tc>
        <w:tc>
          <w:tcPr>
            <w:tcW w:type="dxa" w:w="3348"/>
            <w:tcBorders>
              <w:top w:val="single" w:color="000000" w:sz="8" w:space="0" w:shadow="0" w:frame="0"/>
              <w:left w:val="single" w:color="525252" w:sz="8" w:space="0" w:shadow="0" w:frame="0"/>
              <w:bottom w:val="single" w:color="525252" w:sz="6" w:space="0" w:shadow="0" w:frame="0"/>
              <w:right w:val="single" w:color="525252"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American Sand &amp; Gravel</w:t>
            </w:r>
          </w:p>
        </w:tc>
        <w:tc>
          <w:tcPr>
            <w:tcW w:type="dxa" w:w="2872"/>
            <w:tcBorders>
              <w:top w:val="single" w:color="000000" w:sz="8" w:space="0" w:shadow="0" w:frame="0"/>
              <w:left w:val="single" w:color="525252" w:sz="8" w:space="0" w:shadow="0" w:frame="0"/>
              <w:bottom w:val="single" w:color="525252" w:sz="6" w:space="0" w:shadow="0" w:frame="0"/>
              <w:right w:val="single" w:color="525252" w:sz="6"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Cataula, GA</w:t>
            </w:r>
          </w:p>
        </w:tc>
      </w:tr>
    </w:tbl>
    <w:p>
      <w:pPr>
        <w:pStyle w:val="Heading 2"/>
        <w:widowControl w:val="0"/>
        <w:suppressAutoHyphens w:val="1"/>
        <w:ind w:left="2" w:hanging="2"/>
      </w:pPr>
    </w:p>
    <w:p>
      <w:pPr>
        <w:pStyle w:val="Heading"/>
        <w:suppressAutoHyphens w:val="1"/>
      </w:pPr>
      <w:bookmarkStart w:name="_Toc4" w:id="5"/>
      <w:r>
        <w:rPr>
          <w:rtl w:val="0"/>
          <w:lang w:val="en-US"/>
        </w:rPr>
        <w:t>1. Project Planning</w:t>
      </w:r>
      <w:bookmarkEnd w:id="5"/>
    </w:p>
    <w:p>
      <w:pPr>
        <w:pStyle w:val="Body C"/>
      </w:pPr>
      <w:r>
        <w:rPr>
          <w:rtl w:val="0"/>
        </w:rPr>
        <w:t>All Phase creates a customized project plan, which is why the first step we conduct is a thorough site assessment. This includes a survey of the structures, as well as the surrounding area and anything that could be affected during demolition. Knowing what materials were used in the building of the structure and how it was built is important, as both will have an impact on the demolition strategy. It</w:t>
      </w:r>
      <w:r>
        <w:rPr>
          <w:rtl w:val="0"/>
        </w:rPr>
        <w:t>’</w:t>
      </w:r>
      <w:r>
        <w:rPr>
          <w:rtl w:val="0"/>
        </w:rPr>
        <w:t xml:space="preserve">s also crucial to learn about potential hazardous materials that could be onsite, including anything flammable or explosive </w:t>
      </w:r>
      <w:r>
        <w:rPr>
          <w:rtl w:val="0"/>
        </w:rPr>
        <w:t xml:space="preserve">— </w:t>
      </w:r>
      <w:r>
        <w:rPr>
          <w:rtl w:val="0"/>
        </w:rPr>
        <w:t>and obtaining all of the necessary permits.</w:t>
      </w:r>
    </w:p>
    <w:p>
      <w:pPr>
        <w:pStyle w:val="Body C"/>
      </w:pPr>
      <w:r>
        <w:rPr>
          <w:rtl w:val="0"/>
        </w:rPr>
        <w:t xml:space="preserve">Upon award of this task order, the All Phase will prepare and submit for acceptance a set of Work Plans and related documents, within the allotted time, incorporating the findings of any Pre-Demolition Assessment performed. The Work Plan will identify available markets and landfill resources in the general area in order to develop the Diversion/Re-cycle Plan to obtain the maximum cost effective re-use/disposal of this facility. These plans and documents will be prepared in accordance with all applicable Federal, State, and Local regulations, the instructions and guidance in the basic MATOC, and this task order PWS. </w:t>
      </w:r>
    </w:p>
    <w:p>
      <w:pPr>
        <w:pStyle w:val="Body C"/>
      </w:pPr>
      <w:r>
        <w:rPr>
          <w:rtl w:val="0"/>
        </w:rPr>
        <w:t xml:space="preserve">A </w:t>
      </w:r>
      <w:r>
        <w:rPr>
          <w:rtl w:val="0"/>
        </w:rPr>
        <w:t>“</w:t>
      </w:r>
      <w:r>
        <w:rPr>
          <w:rtl w:val="0"/>
        </w:rPr>
        <w:t>Changes List</w:t>
      </w:r>
      <w:r>
        <w:rPr>
          <w:rtl w:val="0"/>
        </w:rPr>
        <w:t xml:space="preserve">” </w:t>
      </w:r>
      <w:r>
        <w:rPr>
          <w:rtl w:val="0"/>
        </w:rPr>
        <w:t xml:space="preserve">that states the required change and the page on which it is located will be placed at the front of the document for each re-submittal of the Work Plan. </w:t>
      </w:r>
    </w:p>
    <w:p>
      <w:pPr>
        <w:pStyle w:val="Body C"/>
      </w:pPr>
    </w:p>
    <w:p>
      <w:pPr>
        <w:pStyle w:val="Body C"/>
      </w:pPr>
    </w:p>
    <w:p>
      <w:pPr>
        <w:pStyle w:val="Body C"/>
      </w:pPr>
      <w:r>
        <w:rPr>
          <w:rtl w:val="0"/>
        </w:rPr>
        <w:t>For the Site Specific Work Plan, it will be submitted in accordance with the requirements of DID FRP-11-001 and the specific requirements of the government</w:t>
      </w:r>
      <w:r>
        <w:rPr>
          <w:rtl w:val="0"/>
        </w:rPr>
        <w:t>’</w:t>
      </w:r>
      <w:r>
        <w:rPr>
          <w:rtl w:val="0"/>
        </w:rPr>
        <w:t xml:space="preserve">s PWS. The Work Plan will include the various sub-plans necessary to support/prosecute the work, e.g., Pre-Demolition Assessment Plan, Asbestos Abatement Plan, Site Specific Demolition Plan, Diversion/Re-Use Plan, etc., as well as the plans listed below. A detailed project schedule providing abatement and demolition timelines by building or groups of buildings, restoration of sites by individual site or groups of sites, and a projected completion date will be included in the Work Plan. </w:t>
      </w:r>
    </w:p>
    <w:p>
      <w:pPr>
        <w:pStyle w:val="Body C"/>
      </w:pPr>
      <w:r>
        <w:rPr>
          <w:rtl w:val="0"/>
        </w:rPr>
        <w:t xml:space="preserve">All Phase will provide a site-specific Accident Prevention Plan (APP), in accordance with U.S. Army Corps of Engineers Health and Safety Requirements, manual EM 385-1- 1. Refer to FRP Region MATOC Sections 1.11 and 5.6, as well as Technical Exhibit 3 (Particularly APPENDIX I of DID FRP-11-001) and Technical Exhibit 4 (DID MFRP002) for requirements and instructions. In particular, the All Phase will develop as part of the APP, specific requirements for any </w:t>
      </w:r>
      <w:r>
        <w:rPr>
          <w:rtl w:val="0"/>
        </w:rPr>
        <w:t>“</w:t>
      </w:r>
      <w:r>
        <w:rPr>
          <w:rtl w:val="0"/>
        </w:rPr>
        <w:t>lift plan(s)</w:t>
      </w:r>
      <w:r>
        <w:rPr>
          <w:rtl w:val="0"/>
        </w:rPr>
        <w:t xml:space="preserve">” </w:t>
      </w:r>
      <w:r>
        <w:rPr>
          <w:rtl w:val="0"/>
        </w:rPr>
        <w:t>needed to remove vessels, equipment, trusses, or other items that require use of a crane or other lifting device which may cause hazards to personnel or structures. Work is to be conducted in such a manner as to minimize migration of dust and odors from the work area and into adjacent occupied spaces which can cause disruption of normal operations. All Phase will provide protection to ensure safety of passage of people around the demolition area and from occupied portions of adjacent buildings and structures. The Site-Safety Health Officer and the Quality Control Manager will be present on-site at all time while field activities are occurring per the Installation Preventive Medicine Industrial Hygienist. The QCP</w:t>
      </w:r>
      <w:r>
        <w:rPr>
          <w:rtl w:val="0"/>
        </w:rPr>
        <w:t xml:space="preserve"> will give</w:t>
      </w:r>
      <w:r>
        <w:rPr>
          <w:rtl w:val="0"/>
        </w:rPr>
        <w:t xml:space="preserve"> </w:t>
      </w:r>
      <w:r>
        <w:rPr>
          <w:rtl w:val="0"/>
        </w:rPr>
        <w:t>s</w:t>
      </w:r>
      <w:r>
        <w:rPr>
          <w:rtl w:val="0"/>
        </w:rPr>
        <w:t xml:space="preserve">pecial attention to Sections 1.9 and 5.7 of the Region MATOC, as well as Technical Exhibit 3 (Particularly APPENDIX C of DID FRP-11-001). All Phase will submit for acceptance, a SWPPP in accordance with Federal, State, and Local requirements. All Phase will research, prepare and submit all permits and notifications as required by Federal, State, local, and installation regulations and requirements. </w:t>
      </w:r>
    </w:p>
    <w:p>
      <w:pPr>
        <w:pStyle w:val="Body C"/>
      </w:pPr>
      <w:r>
        <w:rPr>
          <w:rtl w:val="0"/>
        </w:rPr>
        <w:t xml:space="preserve">Following acceptance of the Work Plans and related documents, the All Phase will be directed to execute the contract in accordance with the PWS after issuance of a Notice to Proceed (NTP). We will then proceed with installation of storm water protection system, installation of temporary safety fencing, and any other features required by permit. These milestones will be documented within the Work Plan schedule and will be validated with the Installation/Garrison at the time of the Kick-Off Meeting for Field Activities. Prior to execution, the All Phase will obtain consensus from all stakeholders and provide a utility Cut &amp; Cap Plan to the Installation, Utility Owners, and Permitting Agencies. Any issues in obtaining stakeholder consensus will be coordinated with the Installation/Garrison POC. </w:t>
      </w:r>
    </w:p>
    <w:p>
      <w:pPr>
        <w:pStyle w:val="Heading"/>
        <w:suppressAutoHyphens w:val="1"/>
      </w:pPr>
      <w:bookmarkStart w:name="_Toc5" w:id="6"/>
      <w:r>
        <w:rPr>
          <w:rtl w:val="0"/>
          <w:lang w:val="en-US"/>
        </w:rPr>
        <w:t>2. Abatement Approach and Disposal</w:t>
      </w:r>
      <w:bookmarkEnd w:id="6"/>
    </w:p>
    <w:p>
      <w:pPr>
        <w:pStyle w:val="Body C"/>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ACM Abatement and ORM Removal and Disposal includes the following: All Phase will abate, remove, and dispose of ACM and ORM in accordance with Federal, State, and Local regulations. All Phase will comply with the Installation environmental requirements for manifesting, transportation, and disposal of ACM and ORM. </w:t>
      </w:r>
    </w:p>
    <w:p>
      <w:pPr>
        <w:pStyle w:val="Body C"/>
      </w:pPr>
      <w:r>
        <w:rPr>
          <w:rtl w:val="0"/>
          <w:lang w:val="en-US"/>
        </w:rPr>
        <w:t xml:space="preserve">ACM waste generated by this task order will be transported and legally disposed of at a U.S. EPA-approved asbestos waste disposal facility. All Phase will submit waste manifests for Government's record within 45 days documenting compliance with the requirements of this Section. The removal and disposal of ORM, which are, at a minimum, PCB-containing light ballasts, mercury-containing light tubes, mercury-containing thermostats and self-actuated fire alarms, will be performed prior to demolition. ORM waste generated by this task order will be transported and legally disposed of at an acceptable </w:t>
      </w:r>
      <w:r>
        <w:rPr>
          <w:rtl w:val="0"/>
          <w:lang w:val="de-DE"/>
        </w:rPr>
        <w:t>and</w:t>
      </w:r>
      <w:r>
        <w:rPr>
          <w:rtl w:val="0"/>
          <w:lang w:val="en-US"/>
        </w:rPr>
        <w:t xml:space="preserve"> appropriate waste disposal facility. All Phase will submit waste manifests for Government's record within 45 days documenting compliance with the requirements of the PWS. </w:t>
      </w:r>
    </w:p>
    <w:p>
      <w:pPr>
        <w:pStyle w:val="Body C"/>
      </w:pPr>
      <w:r>
        <w:rPr>
          <w:rtl w:val="0"/>
        </w:rPr>
        <w:t>The steps to safe polychlorinated biphenyls (PCBs) abatement activities apply when air and/or building materials have been tested and PCBs</w:t>
      </w:r>
      <w:r>
        <w:rPr>
          <w:rtl w:val="0"/>
        </w:rPr>
        <w:t> </w:t>
      </w:r>
      <w:r>
        <w:rPr>
          <w:rtl w:val="0"/>
        </w:rPr>
        <w:t>have been found present, or when a contractor undertakes a PCB-abatement activity.</w:t>
      </w:r>
      <w:r>
        <w:rPr>
          <w:rtl w:val="0"/>
        </w:rPr>
        <w:t xml:space="preserve">  </w:t>
      </w:r>
      <w:r>
        <w:rPr>
          <w:rtl w:val="0"/>
        </w:rPr>
        <w:t>If our abatement plan details how to dispose of the PCB caulk and any contaminated building materials together, we may dispose of all the materials as a PCB bulk product waste</w:t>
      </w:r>
      <w:r>
        <w:rPr>
          <w:rtl w:val="0"/>
        </w:rPr>
        <w:t> </w:t>
      </w:r>
      <w:r>
        <w:rPr>
          <w:rtl w:val="0"/>
        </w:rPr>
        <w:t>even if the PCB caulk becomes separated from the adjacent contaminated building materials during remediation. As we have learned in the past, All Phase realizes that PCB caulk may need to be separated during removal from adjacent contaminated building materials due to the presence of other hazardous materials or may accidentally be separated during the removal process.</w:t>
      </w:r>
      <w:r>
        <w:rPr>
          <w:rtl w:val="0"/>
        </w:rPr>
        <w:t xml:space="preserve"> </w:t>
      </w:r>
      <w:r>
        <w:rPr>
          <w:rtl w:val="0"/>
        </w:rPr>
        <w:t>Materials with the highest PCB concentrations should receive a high priority, as they pose the greatest potential for direct exposure and release of PCBs to indoor air. Caulk with lower concentrations that is not intact and is peeling, brittle, cracking or visibly deteriorating also has a high potential for release of PCBs and also poses a potential to contaminate sand or soil or to be ingested.</w:t>
      </w:r>
    </w:p>
    <w:p>
      <w:pPr>
        <w:pStyle w:val="Heading 2"/>
        <w:suppressAutoHyphens w:val="1"/>
      </w:pPr>
      <w:bookmarkStart w:name="_Toc6" w:id="7"/>
      <w:r>
        <w:rPr>
          <w:rtl w:val="0"/>
          <w:lang w:val="en-US"/>
        </w:rPr>
        <w:t>Abatement and Disposal of Asbestos Containing Material</w:t>
      </w:r>
      <w:bookmarkEnd w:id="7"/>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pPr>
      <w:r>
        <w:rPr>
          <w:rtl w:val="0"/>
        </w:rPr>
        <w:t xml:space="preserve">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w:t>
      </w:r>
    </w:p>
    <w:p>
      <w:pPr>
        <w:pStyle w:val="Body C"/>
      </w:pPr>
      <w:r>
        <w:rPr>
          <w:rtl w:val="0"/>
        </w:rPr>
        <w:t>Glove bag method for friable materials: Materials such as pipe insulation and pipe fittings will also be removed as OSHA Class I in areas with less than 260 linear feet of ACM. Method for Category II non-friable materials (e.g., window glazing, door caulking, gaskets, expansion joint caulking): These materials will be removed as OSHA Class II. 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Shower Room: Workers pass through the shower room on their way to the removal area, and use the shower area on their way out after leaving their contaminated clothing in the equipment room.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w:t>
      </w:r>
    </w:p>
    <w:p>
      <w:pPr>
        <w:pStyle w:val="Body C"/>
      </w:pPr>
      <w:r>
        <w:rPr>
          <w:rtl w:val="0"/>
        </w:rPr>
        <w:t>Initial Exposure Assessment: We will ensure that all work operations stated here are covered by</w:t>
      </w:r>
      <w:r>
        <w:rPr>
          <w:rtl w:val="0"/>
        </w:rPr>
        <w:t xml:space="preserve"> </w:t>
      </w:r>
      <w:r>
        <w:rPr>
          <w:rtl w:val="0"/>
        </w:rPr>
        <w:t>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tl w:val="0"/>
        </w:rPr>
        <w:t xml:space="preserve">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 Equipment </w:t>
      </w:r>
      <w:r>
        <w:rPr>
          <w:rtl w:val="0"/>
        </w:rPr>
        <w:t>will</w:t>
      </w:r>
      <w:r>
        <w:rPr>
          <w:rtl w:val="0"/>
        </w:rPr>
        <w:t xml:space="preserve"> be wet-wiped or tack ragged, washed off in the shower at the waste load-out area, wrapped in poly, or placed in plastic bags. </w:t>
      </w:r>
    </w:p>
    <w:p>
      <w:pPr>
        <w:pStyle w:val="Body C"/>
      </w:pPr>
      <w:r>
        <w:rPr>
          <w:i w:val="1"/>
          <w:iCs w:val="1"/>
          <w:rtl w:val="0"/>
          <w:lang w:val="en-US"/>
        </w:rPr>
        <w:t>Visual Inspection of all Surface Areas</w:t>
      </w:r>
      <w:r>
        <w:rPr>
          <w:rtl w:val="0"/>
        </w:rPr>
        <w:t xml:space="preserve">: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 All workers performing encapsulation will wear disposable protective clothing and respirators for asbestos because the area is treated as contaminated. </w:t>
      </w:r>
    </w:p>
    <w:p>
      <w:pPr>
        <w:pStyle w:val="Body C"/>
      </w:pPr>
      <w:r>
        <w:rPr>
          <w:i w:val="1"/>
          <w:iCs w:val="1"/>
          <w:rtl w:val="0"/>
          <w:lang w:val="en-US"/>
        </w:rPr>
        <w:t>Training &amp; Medical Surveillance</w:t>
      </w:r>
      <w:r>
        <w:rPr>
          <w:rtl w:val="0"/>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ACM waste will be placed in approved, marked containers (e.g., smaller amounts in special sealable plastic bags; large amounts sealed inside plastic 55-gallon drums made for this purpose or other approved containers). </w:t>
      </w:r>
    </w:p>
    <w:p>
      <w:pPr>
        <w:pStyle w:val="Heading"/>
        <w:suppressAutoHyphens w:val="1"/>
      </w:pPr>
      <w:bookmarkStart w:name="_Toc7" w:id="8"/>
      <w:r>
        <w:rPr>
          <w:rtl w:val="0"/>
          <w:lang w:val="en-US"/>
        </w:rPr>
        <w:t>3. Project Execution</w:t>
      </w:r>
      <w:bookmarkEnd w:id="8"/>
    </w:p>
    <w:p>
      <w:pPr>
        <w:pStyle w:val="Body C"/>
        <w:spacing w:line="264" w:lineRule="auto"/>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Fonts w:ascii="Arial Unicode MS" w:hAnsi="Arial Unicode MS" w:hint="default"/>
          <w:rtl w:val="1"/>
          <w:lang w:val="ar-SA" w:bidi="ar-SA"/>
        </w:rPr>
        <w:t>’</w:t>
      </w:r>
      <w:r>
        <w:rPr>
          <w:rtl w:val="0"/>
          <w:lang w:val="en-US"/>
        </w:rPr>
        <w:t xml:space="preserve">s detailed specifications or changed circumstances. When appropriate, the PM will make proposals for the acceleration of all or part of any demolition work package or task elements to achieve the target dates of the project. All Phase will obtain an Excavation Permit through the Operating All Phase prior to any land disturbance. Permit copies must be available for review at the job site. Excavated soils will comply with installation excavation permit. In the event soil or groundwater is encountered that exhibits discoloration or unusual odors the All Phase will immediately cease work and remove personnel from the area in which the suspect soil or groundwater was encountered and immediately notify the COR for further direction. All Phase will obtain a Hot Work permit for any activity such as maintenance, repairs, alterations, construction, demolition, or other activity that is capable of initiating fires or explosions. </w:t>
      </w:r>
    </w:p>
    <w:p>
      <w:pPr>
        <w:pStyle w:val="Body C"/>
        <w:spacing w:line="264" w:lineRule="auto"/>
      </w:pPr>
      <w:r>
        <w:rPr>
          <w:rtl w:val="0"/>
          <w:lang w:val="en-US"/>
        </w:rPr>
        <w:t xml:space="preserve">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All Phase project personnel will attend an on-board review on site, if needed, and be prepared to address, resolve, and incorporate all comments at this meeting. </w:t>
      </w:r>
    </w:p>
    <w:p>
      <w:pPr>
        <w:pStyle w:val="Body C"/>
        <w:spacing w:line="264" w:lineRule="auto"/>
      </w:pPr>
      <w:r>
        <w:rPr>
          <w:b w:val="1"/>
          <w:bCs w:val="1"/>
          <w:i w:val="1"/>
          <w:iCs w:val="1"/>
          <w:rtl w:val="0"/>
          <w:lang w:val="nl-NL"/>
        </w:rPr>
        <w:t>Coordination</w:t>
      </w:r>
      <w:r>
        <w:rPr>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Fonts w:ascii="Arial Unicode MS" w:hAnsi="Arial Unicode MS" w:hint="default"/>
          <w:rtl w:val="1"/>
          <w:lang w:val="ar-SA" w:bidi="ar-SA"/>
        </w:rPr>
        <w:t>’</w:t>
      </w:r>
      <w:r>
        <w:rPr>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spacing w:line="264" w:lineRule="auto"/>
      </w:pPr>
      <w:r>
        <w:rPr>
          <w:b w:val="1"/>
          <w:bCs w:val="1"/>
          <w:i w:val="1"/>
          <w:iCs w:val="1"/>
          <w:rtl w:val="0"/>
          <w:lang w:val="en-US"/>
        </w:rPr>
        <w:t>Traffic and Work Hours</w:t>
      </w:r>
      <w:r>
        <w:rPr>
          <w:rtl w:val="0"/>
          <w:lang w:val="en-US"/>
        </w:rPr>
        <w:t>: Haul routes will be identified/approved after award but prior to mobilization.</w:t>
      </w:r>
    </w:p>
    <w:p>
      <w:pPr>
        <w:pStyle w:val="Body C"/>
        <w:spacing w:line="264" w:lineRule="auto"/>
      </w:pPr>
      <w:r>
        <w:rPr>
          <w:b w:val="1"/>
          <w:bCs w:val="1"/>
          <w:i w:val="1"/>
          <w:iCs w:val="1"/>
          <w:rtl w:val="0"/>
          <w:lang w:val="en-US"/>
        </w:rPr>
        <w:t>Staging</w:t>
      </w:r>
      <w:r>
        <w:rPr>
          <w:rtl w:val="0"/>
          <w:lang w:val="en-US"/>
        </w:rPr>
        <w:t>: We will confirm the precise locations for staging with the CO/COR.</w:t>
      </w:r>
    </w:p>
    <w:p>
      <w:pPr>
        <w:pStyle w:val="Body C"/>
        <w:spacing w:line="264" w:lineRule="auto"/>
      </w:pPr>
      <w:r>
        <w:rPr>
          <w:b w:val="1"/>
          <w:bCs w:val="1"/>
          <w:i w:val="1"/>
          <w:iCs w:val="1"/>
          <w:rtl w:val="0"/>
          <w:lang w:val="en-US"/>
        </w:rPr>
        <w:t>Utilities</w:t>
      </w:r>
      <w:r>
        <w:rPr>
          <w:rtl w:val="0"/>
          <w:lang w:val="en-US"/>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If a non-pole mounted transformer (i.e., pad mounted transformer) is a part of the ancillary portion of this task order, then the utility owner must certify that it does not contain PCB. If it does contain PCB, the utility owner will be responsible for sampling and draining/closeout of the transformer prior to removal by the All Phase. Any above ground transformers and light poles not removed by the privatized utility as part of retirement will be the responsibility of the All Phase to remove and properly dispose. </w:t>
      </w:r>
    </w:p>
    <w:p>
      <w:pPr>
        <w:pStyle w:val="Body C"/>
        <w:spacing w:line="264" w:lineRule="auto"/>
      </w:pPr>
      <w:r>
        <w:rPr>
          <w:b w:val="1"/>
          <w:bCs w:val="1"/>
          <w:i w:val="1"/>
          <w:iCs w:val="1"/>
          <w:rtl w:val="0"/>
          <w:lang w:val="en-US"/>
        </w:rPr>
        <w:t>Execution</w:t>
      </w:r>
      <w:r>
        <w:rPr>
          <w:rtl w:val="0"/>
          <w:lang w:val="en-US"/>
        </w:rPr>
        <w:t>: Upon award, All Phase will immediately start coordinating all submittals and arranging storage areas on base for abatement equipment &amp; materials, fuel tank(s) with a spill pan, equipment lay down areas, and asbestos container locations. 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Heading 2"/>
        <w:suppressAutoHyphens w:val="1"/>
        <w:spacing w:line="264" w:lineRule="auto"/>
      </w:pPr>
      <w:bookmarkStart w:name="_Toc8" w:id="9"/>
      <w:r>
        <w:rPr>
          <w:rtl w:val="0"/>
          <w:lang w:val="en-US"/>
        </w:rPr>
        <w:t>Reporting</w:t>
      </w:r>
      <w:bookmarkEnd w:id="9"/>
    </w:p>
    <w:p>
      <w:pPr>
        <w:pStyle w:val="Body C"/>
        <w:spacing w:line="264" w:lineRule="auto"/>
      </w:pPr>
      <w:r>
        <w:rPr>
          <w:rtl w:val="0"/>
          <w:lang w:val="en-US"/>
        </w:rPr>
        <w:t xml:space="preserve">All Phase will submit a status report via e-mail every week to the Government Project Manager by close of business on the first working day of each week. We will submit a monthly Progress Report not later than the tenth day of the month. All Phase will submit monthly to the Fort Benning Solid Waste Manager, the weight, quantity, and diversion cost of: 1) Municipal Solid Waste; and 2) Construction &amp; Demolition debris diverted (used as daily cover, reused, or recycled): compost, mulch, recycle, reuse, and donation. </w:t>
      </w:r>
    </w:p>
    <w:p>
      <w:pPr>
        <w:pStyle w:val="Body C"/>
        <w:spacing w:line="264" w:lineRule="auto"/>
      </w:pPr>
      <w:r>
        <w:rPr>
          <w:rtl w:val="0"/>
          <w:lang w:val="en-US"/>
        </w:rPr>
        <w:t xml:space="preserve">All Phase will submit a weekly status report via RMS and email a copy to the Government Team by close of business on the first working day of each week. All Phase will submit a monthly Progress Report via RMS by close of business on the eighth day of the month. All Phase will submit a monthly summary report of accident experience, exposure, Restricted Duty (RD), and Lost Workdays (LWD). via RMS by close of business on the seventh day of the month. All Phase will submit all the information required for Manpower Reporting in the format specified at the following web address: https://www.beta.sam.gov All Phase will provide a final report in accordance with Attachment 10, Demolition and Recycling Final Report.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Within five working days after date of meeting, All Phase will prepare meeting notes in typed form and furnish it to the Government PM for concurrence and distribution to all attendees. A short statement reflecting archeological site protection as provided by the Archeological Resource Protection Act of 1979 (ARPA) will be prominently displayed on the front cover of all reports. </w:t>
      </w:r>
      <w:r>
        <w:rPr>
          <w:rtl w:val="0"/>
          <w:lang w:val="en-US"/>
        </w:rPr>
        <w:t xml:space="preserve">The </w:t>
      </w:r>
      <w:r>
        <w:rPr>
          <w:rtl w:val="0"/>
          <w:lang w:val="en-US"/>
        </w:rPr>
        <w:t>Preliminary Schedule</w:t>
      </w:r>
      <w:r>
        <w:rPr>
          <w:rtl w:val="0"/>
          <w:lang w:val="en-US"/>
        </w:rPr>
        <w:t>, shown i</w:t>
      </w:r>
      <w:r>
        <w:rPr>
          <w:rtl w:val="0"/>
          <w:lang w:val="en-US"/>
        </w:rPr>
        <w:t xml:space="preserve">n the attached appendix, </w:t>
      </w:r>
      <w:r>
        <w:rPr>
          <w:rtl w:val="0"/>
          <w:lang w:val="en-US"/>
        </w:rPr>
        <w:t>presents staging</w:t>
      </w:r>
      <w:r>
        <w:rPr>
          <w:rtl w:val="0"/>
          <w:lang w:val="en-US"/>
        </w:rPr>
        <w:t xml:space="preserve"> in the form of a Gantt Chart. The schedule is broken down into four main work phases: (1) Start-up + Mobilization; (2) Hazmat Abatement + Salvage + Demolition, (3) Site Restoration + Demobilization; and (4) Project Close-out.</w:t>
      </w:r>
      <w:r>
        <w:rPr>
          <w:rtl w:val="0"/>
          <w:lang w:val="en-US"/>
        </w:rPr>
        <w:t xml:space="preserve"> We anticipate requiring five (5) fewer days than the government has allocated.</w:t>
      </w:r>
    </w:p>
    <w:p>
      <w:pPr>
        <w:pStyle w:val="Body C"/>
        <w:spacing w:line="264" w:lineRule="auto"/>
      </w:pPr>
      <w:r>
        <w:rPr>
          <w:rtl w:val="0"/>
          <w:lang w:val="en-US"/>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w:t>
      </w:r>
    </w:p>
    <w:p>
      <w:pPr>
        <w:pStyle w:val="Heading 2"/>
        <w:suppressAutoHyphens w:val="1"/>
        <w:spacing w:line="264" w:lineRule="auto"/>
      </w:pPr>
      <w:bookmarkStart w:name="_Toc9" w:id="10"/>
      <w:r>
        <w:rPr>
          <w:rtl w:val="0"/>
          <w:lang w:val="en-US"/>
        </w:rPr>
        <w:t>Change Orders</w:t>
      </w:r>
      <w:bookmarkEnd w:id="10"/>
    </w:p>
    <w:p>
      <w:pPr>
        <w:pStyle w:val="Body C"/>
        <w:spacing w:line="264" w:lineRule="auto"/>
      </w:pPr>
      <w:r>
        <w:rPr>
          <w:rtl w:val="0"/>
          <w:lang w:val="en-US"/>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spacing w:line="264" w:lineRule="auto"/>
      </w:pPr>
      <w:r>
        <w:rPr>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pPr>
      <w:r>
        <w:rPr>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Fonts w:ascii="Arial Unicode MS" w:hAnsi="Arial Unicode MS" w:hint="default"/>
          <w:rtl w:val="1"/>
          <w:lang w:val="ar-SA" w:bidi="ar-SA"/>
        </w:rPr>
        <w:t>’</w:t>
      </w:r>
      <w:r>
        <w:rPr>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1"/>
      <w:r>
        <w:rPr>
          <w:rtl w:val="0"/>
          <w:lang w:val="en-US"/>
        </w:rPr>
        <w:t>4. Demolition Approach</w:t>
      </w:r>
      <w:bookmarkEnd w:id="11"/>
    </w:p>
    <w:p>
      <w:pPr>
        <w:pStyle w:val="Body C"/>
        <w:spacing w:line="264" w:lineRule="auto"/>
      </w:pPr>
      <w:r>
        <w:rPr>
          <w:rtl w:val="0"/>
          <w:lang w:val="en-US"/>
        </w:rPr>
        <w:t>In order for the demolition of the buildings go smoothly, we will draft a Project Management Plan (PMP) for the government</w:t>
      </w:r>
      <w:r>
        <w:rPr>
          <w:rFonts w:ascii="Arial Unicode MS" w:hAnsi="Arial Unicode MS" w:hint="default"/>
          <w:rtl w:val="1"/>
          <w:lang w:val="ar-SA" w:bidi="ar-SA"/>
        </w:rPr>
        <w:t>’</w:t>
      </w:r>
      <w:r>
        <w:rPr>
          <w:rtl w:val="0"/>
          <w:lang w:val="en-US"/>
        </w:rPr>
        <w:t xml:space="preserve">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 We will ensure interior equipment and machinery whether attached to the structure or free-standing is removed. Exterior pole-mounted lights (those light poles not removed by the privatized utility) and other equipment within the facilities demolition polygon, as designated, and/or any pole or other item that hinders the facility removal process or contributes a safety hazard. </w:t>
      </w:r>
    </w:p>
    <w:p>
      <w:pPr>
        <w:pStyle w:val="Body C"/>
        <w:spacing w:line="264" w:lineRule="auto"/>
      </w:pPr>
      <w:r>
        <w:rPr>
          <w:rtl w:val="0"/>
          <w:lang w:val="en-US"/>
        </w:rPr>
        <w:t xml:space="preserve">Except where specified or reserved by the Government, all items and objects, materials, and equipment, that are on, in, or within the facilities demolition polygon at the time of mobilization are the property of the All Phase and will be removed. All foundations and other underground features will be removed in their entirety. Exceptions may be allowed at the discretion of and with written acceptance from the contracting officer for deep foundations such as piles or piers. </w:t>
      </w:r>
    </w:p>
    <w:p>
      <w:pPr>
        <w:pStyle w:val="Body C"/>
        <w:spacing w:line="264" w:lineRule="auto"/>
      </w:pPr>
      <w:r>
        <w:rPr>
          <w:rtl w:val="0"/>
          <w:lang w:val="en-US"/>
        </w:rPr>
        <w:t xml:space="preserve">All Phase will demolish and remove all ancillary items associated with each facility within the facilities limits of demolition or as otherwise indicated in the PWS. Items may include overhead conveyance systems, unused utilities, walkways and sidewalks, utility poles, fencing, equipment pads, and utility corridors. All Phase will install temporary protective barriers and remove them when the FRP QA permits. Properly placarded chain link fencing with secured gates is required as a temporary protective barrier for this task order. Unless specified or required otherwise chain link fence will be a minimum of six (6) feet in height. </w:t>
      </w:r>
    </w:p>
    <w:p>
      <w:pPr>
        <w:pStyle w:val="Heading 2"/>
        <w:suppressAutoHyphens w:val="1"/>
        <w:spacing w:line="264" w:lineRule="auto"/>
      </w:pPr>
      <w:bookmarkStart w:name="_Toc11" w:id="12"/>
      <w:r>
        <w:rPr>
          <w:rtl w:val="0"/>
          <w:lang w:val="en-US"/>
        </w:rPr>
        <w:t>Task Order-Specific Approach</w:t>
      </w:r>
      <w:bookmarkEnd w:id="12"/>
    </w:p>
    <w:p>
      <w:pPr>
        <w:pStyle w:val="Body C"/>
        <w:spacing w:line="264" w:lineRule="auto"/>
      </w:pPr>
      <w:r>
        <w:rPr>
          <w:rtl w:val="0"/>
          <w:lang w:val="en-US"/>
        </w:rPr>
        <w:t xml:space="preserve">We distinguish several main demolition structure </w:t>
      </w:r>
      <w:r>
        <w:rPr>
          <w:rFonts w:ascii="Arial Unicode MS" w:hAnsi="Arial Unicode MS" w:hint="default"/>
          <w:rtl w:val="1"/>
          <w:lang w:val="ar-SA" w:bidi="ar-SA"/>
        </w:rPr>
        <w:t>“</w:t>
      </w:r>
      <w:r>
        <w:rPr>
          <w:rtl w:val="0"/>
          <w:lang w:val="en-US"/>
        </w:rPr>
        <w:t>types</w:t>
      </w:r>
      <w:r>
        <w:rPr>
          <w:rtl w:val="0"/>
          <w:lang w:val="en-US"/>
        </w:rPr>
        <w:t xml:space="preserve">” </w:t>
      </w:r>
      <w:r>
        <w:rPr>
          <w:rtl w:val="0"/>
          <w:lang w:val="en-US"/>
        </w:rPr>
        <w:t>and indicate how difficult we anticipate the required effort will be (Table 4).</w:t>
      </w:r>
      <w:r>
        <w:rPr>
          <w:rtl w:val="0"/>
          <w:lang w:val="en-US"/>
        </w:rPr>
        <w:t xml:space="preserve"> </w:t>
      </w:r>
      <w:r>
        <w:rPr>
          <w:rtl w:val="0"/>
          <w:lang w:val="en-US"/>
        </w:rPr>
        <w:t>All of the work can be accomplished using an 80K# class excavator with various attachments and skid steers. Little hand work will be required. None of these demolition tasks should prove unusual or difficult.</w:t>
      </w:r>
    </w:p>
    <w:p>
      <w:pPr>
        <w:pStyle w:val="Body C"/>
      </w:pPr>
      <w:r>
        <w:rPr>
          <w:rtl w:val="0"/>
        </w:rPr>
        <w:t>Manpower and Equipment: Effort required to salvage and recycle usable materials and demolish and restore the site is summarized in Table 5.</w:t>
      </w:r>
    </w:p>
    <w:p>
      <w:pPr>
        <w:pStyle w:val="Heading 2"/>
        <w:pageBreakBefore w:val="1"/>
        <w:suppressAutoHyphens w:val="1"/>
      </w:pPr>
      <w:bookmarkStart w:name="_Toc12" w:id="13"/>
      <w:r>
        <w:rPr>
          <w:rtl w:val="0"/>
          <w:lang w:val="en-US"/>
        </w:rPr>
        <w:t>Table 4. Demolition Structure Types and Projected Difficulty Per Location</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215900</wp:posOffset>
            </wp:positionV>
            <wp:extent cx="5943600" cy="1653526"/>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5943600" cy="1653526"/>
                    </a:xfrm>
                    <a:prstGeom prst="rect">
                      <a:avLst/>
                    </a:prstGeom>
                    <a:ln w="12700" cap="flat">
                      <a:noFill/>
                      <a:miter lim="400000"/>
                    </a:ln>
                    <a:effectLst/>
                  </pic:spPr>
                </pic:pic>
              </a:graphicData>
            </a:graphic>
          </wp:anchor>
        </w:drawing>
      </w:r>
      <w:bookmarkEnd w:id="13"/>
    </w:p>
    <w:p>
      <w:pPr>
        <w:pStyle w:val="Body C"/>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3" w:id="14"/>
      <w:r>
        <w:rPr>
          <w:rtl w:val="0"/>
          <w:lang w:val="fr-FR"/>
        </w:rPr>
        <w:t>Table 5</w:t>
      </w:r>
      <w:r>
        <w:rPr>
          <w:rtl w:val="0"/>
          <w:lang w:val="en-US"/>
        </w:rPr>
        <w:t>. Manpower and Major Equipment Needed</w:t>
      </w: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190500</wp:posOffset>
            </wp:positionV>
            <wp:extent cx="5943600" cy="1078694"/>
            <wp:effectExtent l="0" t="0" r="0" b="0"/>
            <wp:wrapThrough wrapText="bothSides" distL="152400" distR="152400">
              <wp:wrapPolygon edited="1">
                <wp:start x="0" y="0"/>
                <wp:lineTo x="21621" y="0"/>
                <wp:lineTo x="21621" y="21618"/>
                <wp:lineTo x="0" y="21618"/>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1078694"/>
                    </a:xfrm>
                    <a:prstGeom prst="rect">
                      <a:avLst/>
                    </a:prstGeom>
                    <a:ln w="12700" cap="flat">
                      <a:noFill/>
                      <a:miter lim="400000"/>
                    </a:ln>
                    <a:effectLst/>
                  </pic:spPr>
                </pic:pic>
              </a:graphicData>
            </a:graphic>
          </wp:anchor>
        </w:drawing>
      </w:r>
      <w:r>
        <w:rPr>
          <w:rtl w:val="0"/>
        </w:rPr>
        <w:t xml:space="preserve"> </w:t>
      </w:r>
      <w:bookmarkEnd w:id="14"/>
    </w:p>
    <w:p>
      <w:pPr>
        <w:pStyle w:val="Heading"/>
        <w:suppressAutoHyphens w:val="1"/>
      </w:pPr>
      <w:bookmarkStart w:name="_Toc14" w:id="15"/>
      <w:r>
        <w:rPr>
          <w:rtl w:val="0"/>
          <w:lang w:val="en-US"/>
        </w:rPr>
        <w:t>5. Debris Handling, Waste Diversion, Recycling</w:t>
      </w:r>
      <w:bookmarkEnd w:id="15"/>
    </w:p>
    <w:p>
      <w:pPr>
        <w:pStyle w:val="Body C"/>
        <w:spacing w:after="60"/>
      </w:pPr>
      <w:r>
        <w:rPr>
          <w:rtl w:val="0"/>
          <w:lang w:val="en-US"/>
        </w:rPr>
        <w:t>All Phase is fastidious in its implementation of the 3R</w:t>
      </w:r>
      <w:r>
        <w:rPr>
          <w:rFonts w:ascii="Arial Unicode MS" w:hAnsi="Arial Unicode MS" w:hint="default"/>
          <w:rtl w:val="1"/>
          <w:lang w:val="ar-SA" w:bidi="ar-SA"/>
        </w:rPr>
        <w:t>’</w:t>
      </w:r>
      <w:r>
        <w:rPr>
          <w:rtl w:val="0"/>
          <w:lang w:val="en-US"/>
        </w:rPr>
        <w:t>s:</w:t>
      </w:r>
    </w:p>
    <w:p>
      <w:pPr>
        <w:pStyle w:val="Body C"/>
        <w:spacing w:after="60"/>
        <w:ind w:left="720" w:firstLine="0"/>
      </w:pPr>
      <w:r>
        <w:rPr>
          <w:rtl w:val="0"/>
          <w:lang w:val="en-US"/>
        </w:rPr>
        <w:t xml:space="preserve">• </w:t>
      </w:r>
      <w:r>
        <w:rPr>
          <w:rtl w:val="0"/>
          <w:lang w:val="en-US"/>
        </w:rPr>
        <w:t>REDUCE: Make every effort to minimize the amount of waste generated</w:t>
      </w:r>
    </w:p>
    <w:p>
      <w:pPr>
        <w:pStyle w:val="Body C"/>
        <w:spacing w:after="60"/>
        <w:ind w:left="720" w:firstLine="0"/>
      </w:pPr>
      <w:r>
        <w:rPr>
          <w:rtl w:val="0"/>
          <w:lang w:val="en-US"/>
        </w:rPr>
        <w:t xml:space="preserve">• </w:t>
      </w:r>
      <w:r>
        <w:rPr>
          <w:rtl w:val="0"/>
          <w:lang w:val="en-US"/>
        </w:rPr>
        <w:t>REUSE: Segregate items that can potentially be reused</w:t>
      </w:r>
    </w:p>
    <w:p>
      <w:pPr>
        <w:pStyle w:val="Body C"/>
        <w:numPr>
          <w:ilvl w:val="1"/>
          <w:numId w:val="2"/>
        </w:numPr>
        <w:rPr>
          <w:lang w:val="en-US"/>
        </w:rPr>
      </w:pPr>
      <w:r>
        <w:rPr>
          <w:rtl w:val="0"/>
          <w:lang w:val="en-US"/>
        </w:rPr>
        <w:t>RECYCLE: Segregate recyclable items and place them in appropriate containers</w:t>
      </w:r>
    </w:p>
    <w:p>
      <w:pPr>
        <w:pStyle w:val="Body C"/>
      </w:pPr>
      <w:r>
        <w:rPr>
          <w:rtl w:val="0"/>
        </w:rPr>
        <w:t xml:space="preserve">We set the minimum diversion goal for this Task Order is 60% by weight. All Phase will manage wastes and debris in accordance with the accepted Waste Management and Diversion Plan. Upon acceptance of the recycling/re-use analysis presented in the Waste Management and Diversion Plan the All Phase will recycle materials and submit proof of recycling/diversion in the monthly and final reports. Note that the use of the material processed for engineering fill, aggregate, or re-constituted concrete or asphaltic pavement constitutes recycling. </w:t>
      </w:r>
    </w:p>
    <w:p>
      <w:pPr>
        <w:pStyle w:val="Body C"/>
      </w:pPr>
      <w:r>
        <w:rPr>
          <w:rtl w:val="0"/>
        </w:rPr>
        <w:t xml:space="preserve">All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In accordance with all Federal, State, and local regulations, all concrete/asphaltic materials suitable for crushing, reuse, or recycling may be crushed, re-cycled, or stockpiled at a designated site on the Installation on a temporary basis. All Phase will be responsible for any/all air quality permits required for crushing activities. </w:t>
      </w:r>
    </w:p>
    <w:p>
      <w:pPr>
        <w:pStyle w:val="Body C"/>
      </w:pPr>
      <w:r>
        <w:rPr>
          <w:rtl w:val="0"/>
        </w:rPr>
        <w:t xml:space="preserve">All concrete/asphalt materials not used for site restoration must be removed from the Installation by the end of the project schedule. After operations are complete, surplus of soil will be tested to verify the soil does not contain hazardous constituents. If the surplus soil needs to be removed from the Installation, said soil will be tested prior to hauling off-plant. All Phase will manage wastes and debris in accordance with the accepted Waste Management Diversion Plan. </w:t>
      </w:r>
    </w:p>
    <w:p>
      <w:pPr>
        <w:pStyle w:val="Heading 2"/>
      </w:pPr>
      <w:bookmarkStart w:name="_Toc15" w:id="16"/>
      <w:r>
        <w:rPr>
          <w:rFonts w:cs="Arial Unicode MS" w:eastAsia="Arial Unicode MS"/>
          <w:rtl w:val="0"/>
          <w:lang w:val="fr-FR"/>
        </w:rPr>
        <w:t xml:space="preserve">Table </w:t>
      </w:r>
      <w:r>
        <w:rPr>
          <w:rFonts w:cs="Arial Unicode MS" w:eastAsia="Arial Unicode MS"/>
          <w:rtl w:val="0"/>
          <w:lang w:val="en-US"/>
        </w:rPr>
        <w:t>6</w:t>
      </w:r>
      <w:r>
        <w:rPr>
          <w:rFonts w:cs="Arial Unicode MS" w:eastAsia="Arial Unicode MS"/>
          <w:rtl w:val="0"/>
          <w:lang w:val="pt-PT"/>
        </w:rPr>
        <w:t>: Asbestos Abatement - Labor Distribution</w:t>
      </w:r>
      <w:r>
        <w:drawing>
          <wp:anchor distT="152400" distB="152400" distL="152400" distR="152400" simplePos="0" relativeHeight="251666432" behindDoc="0" locked="0" layoutInCell="1" allowOverlap="1">
            <wp:simplePos x="0" y="0"/>
            <wp:positionH relativeFrom="margin">
              <wp:posOffset>-6350</wp:posOffset>
            </wp:positionH>
            <wp:positionV relativeFrom="line">
              <wp:posOffset>190500</wp:posOffset>
            </wp:positionV>
            <wp:extent cx="5943600" cy="1115878"/>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5943600" cy="1115878"/>
                    </a:xfrm>
                    <a:prstGeom prst="rect">
                      <a:avLst/>
                    </a:prstGeom>
                    <a:ln w="12700" cap="flat">
                      <a:noFill/>
                      <a:miter lim="400000"/>
                    </a:ln>
                    <a:effectLst/>
                  </pic:spPr>
                </pic:pic>
              </a:graphicData>
            </a:graphic>
          </wp:anchor>
        </w:drawing>
      </w:r>
      <w:bookmarkEnd w:id="16"/>
    </w:p>
    <w:p>
      <w:pPr>
        <w:pStyle w:val="Body C"/>
        <w:widowControl w:val="0"/>
        <w:spacing w:after="140" w:line="264" w:lineRule="auto"/>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spacing w:after="140" w:line="264" w:lineRule="auto"/>
      </w:pPr>
      <w:bookmarkStart w:name="_Toc16" w:id="17"/>
      <w:r>
        <w:rPr>
          <w:rtl w:val="0"/>
          <w:lang w:val="en-US"/>
        </w:rPr>
        <w:t>Waste Diversion and Recycling</w:t>
      </w:r>
      <w:bookmarkEnd w:id="17"/>
    </w:p>
    <w:p>
      <w:pPr>
        <w:pStyle w:val="Body C"/>
        <w:spacing w:after="140" w:line="264" w:lineRule="auto"/>
      </w:pPr>
      <w:r>
        <w:rPr>
          <w:rtl w:val="0"/>
          <w:lang w:val="en-US"/>
        </w:rPr>
        <w:t>All Phase</w:t>
      </w:r>
      <w:r>
        <w:rPr>
          <w:rFonts w:ascii="Arial Unicode MS" w:hAnsi="Arial Unicode MS" w:hint="default"/>
          <w:rtl w:val="1"/>
          <w:lang w:val="ar-SA" w:bidi="ar-SA"/>
        </w:rPr>
        <w:t>’</w:t>
      </w:r>
      <w:r>
        <w:rPr>
          <w:rtl w:val="0"/>
          <w:lang w:val="en-US"/>
        </w:rPr>
        <w:t>s intent is to maximize the economic recycling of materials. This maximizes our return on scrap value and minimizes the waste stream of materials that will go to landfill. 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r>
        <w:rPr>
          <w:rtl w:val="0"/>
          <w:lang w:val="en-US"/>
        </w:rPr>
        <w:t xml:space="preserve"> </w:t>
      </w:r>
      <w:r>
        <w:rPr>
          <w:rtl w:val="0"/>
          <w:lang w:val="en-US"/>
        </w:rPr>
        <w:t xml:space="preserve">We estimate that </w:t>
      </w:r>
      <w:r>
        <w:rPr>
          <w:rtl w:val="0"/>
          <w:lang w:val="en-US"/>
        </w:rPr>
        <w:t>92</w:t>
      </w:r>
      <w:r>
        <w:rPr>
          <w:rtl w:val="0"/>
          <w:lang w:val="en-US"/>
        </w:rPr>
        <w:t>% of the demolition waste material by weight can be recycled as tabulated in Table 6. This should meet the minimum diversion goal for this task order. We project a $</w:t>
      </w:r>
      <w:r>
        <w:rPr>
          <w:rtl w:val="0"/>
          <w:lang w:val="en-US"/>
        </w:rPr>
        <w:t>321,000.00</w:t>
      </w:r>
      <w:r>
        <w:rPr>
          <w:rtl w:val="0"/>
          <w:lang w:val="en-US"/>
        </w:rPr>
        <w:t xml:space="preserve"> salvage credit to the government for all types of scrapped metal.</w:t>
      </w:r>
      <w:r>
        <w:br w:type="textWrapping"/>
      </w:r>
    </w:p>
    <w:p>
      <w:pPr>
        <w:pStyle w:val="Heading 2"/>
        <w:keepNext w:val="0"/>
        <w:pageBreakBefore w:val="1"/>
        <w:widowControl w:val="0"/>
        <w:suppressAutoHyphens w:val="1"/>
      </w:pPr>
      <w:bookmarkStart w:name="_Toc17" w:id="18"/>
      <w:r>
        <w:rPr>
          <w:rtl w:val="0"/>
          <w:lang w:val="fr-FR"/>
        </w:rPr>
        <w:t xml:space="preserve">Table </w:t>
      </w:r>
      <w:r>
        <w:rPr>
          <w:rtl w:val="0"/>
          <w:lang w:val="en-US"/>
        </w:rPr>
        <w:t>7</w:t>
      </w:r>
      <w:r>
        <w:rPr>
          <w:rtl w:val="0"/>
        </w:rPr>
        <w:t xml:space="preserve">. </w:t>
      </w:r>
      <w:r>
        <w:rPr>
          <w:rtl w:val="0"/>
          <w:lang w:val="en-US"/>
        </w:rPr>
        <w:t>Expected Materials for Diversion</w:t>
      </w:r>
      <w:r>
        <w:drawing>
          <wp:anchor distT="38100" distB="38100" distL="38100" distR="38100" simplePos="0" relativeHeight="251667456" behindDoc="0" locked="0" layoutInCell="1" allowOverlap="1">
            <wp:simplePos x="0" y="0"/>
            <wp:positionH relativeFrom="margin">
              <wp:posOffset>758419</wp:posOffset>
            </wp:positionH>
            <wp:positionV relativeFrom="line">
              <wp:posOffset>189910</wp:posOffset>
            </wp:positionV>
            <wp:extent cx="3861601" cy="4217580"/>
            <wp:effectExtent l="0" t="0" r="0" b="0"/>
            <wp:wrapTopAndBottom distT="38100" distB="381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2-08-31 at 12.48.48 PM.png"/>
                    <pic:cNvPicPr>
                      <a:picLocks noChangeAspect="1"/>
                    </pic:cNvPicPr>
                  </pic:nvPicPr>
                  <pic:blipFill>
                    <a:blip r:embed="rId13">
                      <a:extLst/>
                    </a:blip>
                    <a:stretch>
                      <a:fillRect/>
                    </a:stretch>
                  </pic:blipFill>
                  <pic:spPr>
                    <a:xfrm>
                      <a:off x="0" y="0"/>
                      <a:ext cx="3861601" cy="4217580"/>
                    </a:xfrm>
                    <a:prstGeom prst="rect">
                      <a:avLst/>
                    </a:prstGeom>
                    <a:ln w="12700" cap="flat">
                      <a:noFill/>
                      <a:miter lim="400000"/>
                    </a:ln>
                    <a:effectLst/>
                  </pic:spPr>
                </pic:pic>
              </a:graphicData>
            </a:graphic>
          </wp:anchor>
        </w:drawing>
      </w:r>
      <w:bookmarkEnd w:id="18"/>
    </w:p>
    <w:p>
      <w:pPr>
        <w:pStyle w:val="Heading"/>
        <w:suppressAutoHyphens w:val="1"/>
      </w:pPr>
      <w:bookmarkStart w:name="_Toc18" w:id="19"/>
      <w:r>
        <w:rPr>
          <w:rtl w:val="0"/>
          <w:lang w:val="en-US"/>
        </w:rPr>
        <w:t>6. Site Security and Safety Approach</w:t>
      </w:r>
      <w:bookmarkEnd w:id="19"/>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19" w:id="20"/>
      <w:r>
        <w:rPr>
          <w:rtl w:val="0"/>
          <w:lang w:val="en-US"/>
        </w:rPr>
        <w:t>Site Security</w:t>
      </w:r>
      <w:bookmarkEnd w:id="20"/>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Fonts w:ascii="Arial Unicode MS" w:hAnsi="Arial Unicode MS" w:hint="default"/>
          <w:rtl w:val="1"/>
          <w:lang w:val="ar-SA" w:bidi="ar-SA"/>
        </w:rPr>
        <w:t xml:space="preserve">’ </w:t>
      </w:r>
      <w:r>
        <w:rPr>
          <w:rtl w:val="0"/>
          <w:lang w:val="en-US"/>
        </w:rPr>
        <w:t xml:space="preserve">reporting for duty. Training certificates of completion will be delivered to the COR within five calendar days after completion of training. All Phase employees will participate in other </w:t>
      </w:r>
      <w:r>
        <w:rPr>
          <w:rFonts w:ascii="Arial Unicode MS" w:hAnsi="Arial Unicode MS" w:hint="default"/>
          <w:rtl w:val="1"/>
          <w:lang w:val="ar-SA" w:bidi="ar-SA"/>
        </w:rPr>
        <w:t>“</w:t>
      </w:r>
      <w:r>
        <w:rPr>
          <w:rtl w:val="0"/>
          <w:lang w:val="en-US"/>
        </w:rPr>
        <w:t>Suspicious Activity Reporting Training</w:t>
      </w:r>
      <w:r>
        <w:rPr>
          <w:rtl w:val="0"/>
          <w:lang w:val="en-US"/>
        </w:rPr>
        <w:t xml:space="preserve">” </w:t>
      </w:r>
      <w:r>
        <w:rPr>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1"/>
      <w:r>
        <w:rPr>
          <w:rtl w:val="0"/>
          <w:lang w:val="en-US"/>
        </w:rPr>
        <w:t>Safety Approach</w:t>
      </w:r>
      <w:bookmarkEnd w:id="21"/>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rPr>
          <w:lang w:val="en-US"/>
        </w:rPr>
      </w:pPr>
      <w:r>
        <w:rPr>
          <w:i w:val="1"/>
          <w:iCs w:val="1"/>
          <w:rtl w:val="0"/>
          <w:lang w:val="en-US"/>
        </w:rPr>
        <w:t>Accident Prevention Plan and Activity Hazard Analysis</w:t>
      </w:r>
      <w:r>
        <w:rPr>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Fonts w:ascii="Arial Unicode MS" w:hAnsi="Arial Unicode MS" w:hint="default"/>
          <w:rtl w:val="1"/>
          <w:lang w:val="ar-SA" w:bidi="ar-SA"/>
        </w:rPr>
        <w:t>“</w:t>
      </w:r>
      <w:r>
        <w:rPr>
          <w:rtl w:val="0"/>
          <w:lang w:val="en-US"/>
        </w:rPr>
        <w:t>lift plans</w:t>
      </w:r>
      <w:r>
        <w:rPr>
          <w:rtl w:val="0"/>
          <w:lang w:val="en-US"/>
        </w:rPr>
        <w:t xml:space="preserve">” </w:t>
      </w:r>
      <w:r>
        <w:rPr>
          <w:rtl w:val="0"/>
          <w:lang w:val="en-US"/>
        </w:rPr>
        <w:t xml:space="preserve">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w:t>
      </w:r>
      <w:r>
        <w:rPr>
          <w:rtl w:val="0"/>
          <w:lang w:val="en-US"/>
        </w:rPr>
        <w:t>following t</w:t>
      </w:r>
      <w:r>
        <w:rPr>
          <w:rtl w:val="0"/>
          <w:lang w:val="en-US"/>
        </w:rPr>
        <w:t>able.</w:t>
      </w:r>
    </w:p>
    <w:p>
      <w:pPr>
        <w:pStyle w:val="Heading 2"/>
        <w:keepNext w:val="0"/>
        <w:widowControl w:val="0"/>
        <w:rPr>
          <w:lang w:val="en-US"/>
        </w:rPr>
      </w:pPr>
    </w:p>
    <w:p>
      <w:pPr>
        <w:pStyle w:val="Heading 2"/>
        <w:keepNext w:val="0"/>
        <w:widowControl w:val="0"/>
      </w:pPr>
      <w:bookmarkStart w:name="_Toc21" w:id="22"/>
      <w:r>
        <w:rPr>
          <w:rtl w:val="0"/>
          <w:lang w:val="en-US"/>
        </w:rPr>
        <w:t xml:space="preserve">Table </w:t>
      </w:r>
      <w:r>
        <w:rPr>
          <w:rtl w:val="0"/>
          <w:lang w:val="en-US"/>
        </w:rPr>
        <w:t>8</w:t>
      </w:r>
      <w:r>
        <w:rPr>
          <w:rtl w:val="0"/>
          <w:lang w:val="en-US"/>
        </w:rPr>
        <w:t>. Preliminary Activity Hazard Analysis</w:t>
      </w:r>
      <w:bookmarkEnd w:id="22"/>
    </w:p>
    <w:tbl>
      <w:tblPr>
        <w:tblW w:w="92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22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sz w:val="18"/>
                <w:szCs w:val="18"/>
                <w:rtl w:val="0"/>
                <w:lang w:val="en-US"/>
              </w:rPr>
              <w:t>’</w:t>
            </w:r>
            <w:r>
              <w:rPr>
                <w:sz w:val="18"/>
                <w:szCs w:val="18"/>
                <w:rtl w:val="0"/>
                <w:lang w:val="en-US"/>
              </w:rPr>
              <w:t>s area, alert him prior to entering. Hard hats will be worn; steel toe boots meeting ANSI Standard Z41 will be worn.</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sz w:val="18"/>
                <w:szCs w:val="18"/>
                <w:rtl w:val="0"/>
                <w:lang w:val="en-US"/>
              </w:rPr>
              <w:t>“</w:t>
            </w:r>
            <w:r>
              <w:rPr>
                <w:sz w:val="18"/>
                <w:szCs w:val="18"/>
                <w:rtl w:val="0"/>
                <w:lang w:val="en-US"/>
              </w:rPr>
              <w:t>air-gapped</w:t>
            </w:r>
            <w:r>
              <w:rPr>
                <w:sz w:val="18"/>
                <w:szCs w:val="18"/>
                <w:rtl w:val="0"/>
                <w:lang w:val="en-US"/>
              </w:rPr>
              <w:t xml:space="preserve">” </w:t>
            </w:r>
            <w:r>
              <w:rPr>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Housekeeping will be performed on a daily basis. Do not allow debris to be scattered on the work site. No running or walking on debris piles. Clean up any liquid spills immediately. Guard rails on platforms 6</w:t>
            </w:r>
            <w:r>
              <w:rPr>
                <w:sz w:val="18"/>
                <w:szCs w:val="18"/>
                <w:rtl w:val="0"/>
                <w:lang w:val="en-US"/>
              </w:rPr>
              <w:t xml:space="preserve">’ </w:t>
            </w:r>
            <w:r>
              <w:rPr>
                <w:sz w:val="18"/>
                <w:szCs w:val="18"/>
                <w:rtl w:val="0"/>
                <w:lang w:val="en-US"/>
              </w:rPr>
              <w:t>and higher; safety harness when working on roof tops or fixed ladders.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pPr>
    </w:p>
    <w:p>
      <w:pPr>
        <w:pStyle w:val="Body C"/>
        <w:widowControl w:val="0"/>
      </w:pPr>
      <w:r>
        <w:rPr>
          <w:rtl w:val="0"/>
          <w:lang w:val="en-US"/>
        </w:rPr>
        <w:t xml:space="preserve">All employees are also given specific training for handling hazardous materials that may be encountered, applicable regulations, and protective clothing and equipment that may be required.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lang w:val="en-US"/>
        </w:rPr>
        <w:t>“</w:t>
      </w:r>
      <w:r>
        <w:rPr>
          <w:rtl w:val="0"/>
          <w:lang w:val="en-US"/>
        </w:rPr>
        <w:t>tool box</w:t>
      </w:r>
      <w:r>
        <w:rPr>
          <w:rtl w:val="0"/>
          <w:lang w:val="en-US"/>
        </w:rPr>
        <w:t xml:space="preserve">” </w:t>
      </w:r>
      <w:r>
        <w:rPr>
          <w:rtl w:val="0"/>
          <w:lang w:val="en-US"/>
        </w:rPr>
        <w:t>safety meeting each week during which hazards specific to their operation will be discussed.</w:t>
      </w:r>
      <w:r>
        <w:rPr>
          <w:rtl w:val="0"/>
          <w:lang w:val="en-US"/>
        </w:rPr>
        <w:t xml:space="preserve"> </w:t>
      </w:r>
      <w:r>
        <w:rPr>
          <w:rtl w:val="0"/>
          <w:lang w:val="en-US"/>
        </w:rPr>
        <w:t>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r>
        <w:rPr>
          <w:rtl w:val="0"/>
          <w:lang w:val="en-US"/>
        </w:rPr>
        <w:t xml:space="preserve"> </w:t>
      </w:r>
      <w:r>
        <w:rPr>
          <w:rtl w:val="0"/>
          <w:lang w:val="en-US"/>
        </w:rPr>
        <w:t xml:space="preserve">On the job site, our Job-Site Superintendent will be responsible for recording and reporting all accident exposure and experience, including sub-contractors, incidental to the work. </w:t>
      </w:r>
    </w:p>
    <w:p>
      <w:pPr>
        <w:pStyle w:val="Heading"/>
        <w:suppressAutoHyphens w:val="1"/>
      </w:pPr>
      <w:bookmarkStart w:name="_Toc22" w:id="23"/>
      <w:r>
        <w:rPr>
          <w:rtl w:val="0"/>
          <w:lang w:val="en-US"/>
        </w:rPr>
        <w:t>7. Site Restoration</w:t>
      </w:r>
      <w:bookmarkEnd w:id="23"/>
    </w:p>
    <w:p>
      <w:pPr>
        <w:pStyle w:val="Body C"/>
        <w:rPr>
          <w:lang w:val="en-US"/>
        </w:rPr>
      </w:pPr>
      <w:r>
        <w:rPr>
          <w:rtl w:val="0"/>
        </w:rPr>
        <w:t>Site restoration for the base bid is scheduled to take place</w:t>
      </w:r>
      <w:r>
        <w:rPr>
          <w:rtl w:val="0"/>
        </w:rPr>
        <w:t xml:space="preserve"> at the conclusion of the demolition phase</w:t>
      </w:r>
      <w:r>
        <w:rPr>
          <w:rtl w:val="0"/>
        </w:rPr>
        <w:t xml:space="preserve">. </w:t>
      </w:r>
      <w:r>
        <w:rPr>
          <w:rtl w:val="0"/>
        </w:rPr>
        <w:t>We anticipate a volume of</w:t>
      </w:r>
      <w:r>
        <w:rPr>
          <w:rtl w:val="0"/>
        </w:rPr>
        <w:t xml:space="preserve">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r>
        <w:rPr>
          <w:rtl w:val="0"/>
        </w:rPr>
        <w:t xml:space="preserve"> </w:t>
      </w:r>
      <w:r>
        <w:rPr>
          <w:rtl w:val="0"/>
          <w:lang w:val="en-US"/>
        </w:rPr>
        <w:t xml:space="preserve">Soils will be blended and graded to match the surrounding area with positive drainage and no ponding of water. Soil erosion blankets will be used on steep grades to meet government requirements at all times. </w:t>
      </w:r>
    </w:p>
    <w:p>
      <w:pPr>
        <w:pStyle w:val="Body C"/>
      </w:pPr>
      <w:r>
        <w:rPr>
          <w:rtl w:val="0"/>
          <w:lang w:val="en-US"/>
        </w:rPr>
        <w:t xml:space="preserve">Following the removal of a facility, the All Phase will clean and restore the area as indicated. Minimum specifications for backfill and site restoration can be found the Region MATOC Attachment 12 </w:t>
      </w:r>
      <w:r>
        <w:rPr>
          <w:rtl w:val="0"/>
          <w:lang w:val="de-DE"/>
        </w:rPr>
        <w:t xml:space="preserve">– </w:t>
      </w:r>
      <w:r>
        <w:rPr>
          <w:rtl w:val="0"/>
          <w:lang w:val="en-US"/>
        </w:rPr>
        <w:t xml:space="preserve">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 all permitted controls until the permits are closed out and the site is accepted by the landholder. Any damage caused by the All Phase, including damage to roadways or parking areas, will be repaired by the All Phase back to its original condition at no cost to the Government. A change in market value of salvage and recyclable materials, over the course of the task order, will not be the basis for a change order or modification of the task order. </w:t>
      </w:r>
    </w:p>
    <w:p>
      <w:pPr>
        <w:pStyle w:val="Body C"/>
      </w:pPr>
      <w:r>
        <w:rPr>
          <w:rtl w:val="0"/>
        </w:rPr>
        <w:t xml:space="preserve">Satisfactory backfill material will comply with all Federal, State, and Local regulations but if allowable may be processed cementitious debris or similar backfill material as approved by the Contracting Officer and accepted by the Installation Environmental POC. All fill will be tested clean before being brought on the site. Fill materials will test below the allowable limits for RCRA metals as well as pesticides. We understand that painted concrete may not be recycled in the State of Georgia. Clean backfill will be placed in lifts not to exceed eight (8) inches in loose thickness and compacted to the density as specified in the Region MATOC Section 3.10 by Standard Proctor Test. Sites that used crushed concrete for fill, must have 2-feet (24") of soil, before grass or hydro seed. Grass is the site restoration requirement for this project. </w:t>
      </w:r>
    </w:p>
    <w:p>
      <w:pPr>
        <w:pStyle w:val="Heading"/>
        <w:suppressAutoHyphens w:val="1"/>
        <w:rPr>
          <w:lang w:val="fr-FR"/>
        </w:rPr>
      </w:pPr>
      <w:bookmarkStart w:name="_Toc23" w:id="24"/>
      <w:r>
        <w:rPr>
          <w:rtl w:val="0"/>
          <w:lang w:val="fr-FR"/>
        </w:rPr>
        <w:t>8. Key Personnel</w:t>
      </w:r>
      <w:bookmarkEnd w:id="24"/>
    </w:p>
    <w:p>
      <w:pPr>
        <w:pStyle w:val="Body C"/>
      </w:pPr>
      <w:r>
        <w:rPr>
          <w:rtl w:val="0"/>
          <w:lang w:val="en-US"/>
        </w:rPr>
        <w:t xml:space="preserve">Having scoped this project based on our extensive experience with similar efforts, All Phase is assigning the following Key Personnel, shown in </w:t>
      </w:r>
      <w:r>
        <w:rPr>
          <w:rtl w:val="0"/>
          <w:lang w:val="en-US"/>
        </w:rPr>
        <w:t>the following t</w:t>
      </w:r>
      <w:r>
        <w:rPr>
          <w:rtl w:val="0"/>
          <w:lang w:val="en-US"/>
        </w:rPr>
        <w:t xml:space="preserve">able. These personnel are All Phase employees, and have been employed with us for at least one year, in the proposed position of responsibility. The qualifications and roles and responsibilities of the Key personnel are outlined in the Base MATOC. 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w:t>
      </w:r>
    </w:p>
    <w:p>
      <w:pPr>
        <w:pStyle w:val="Body C"/>
      </w:pPr>
      <w:r>
        <w:rPr>
          <w:rtl w:val="0"/>
        </w:rPr>
        <w:t>All our employees, and our subcontractor employees, requiring access Army installations, facilities and controlled access areas will complete AT Level I awareness training within 30 calendar days after contract start date or effective date of incorporation of this requirement into the contract, whichever is applicable and annually thereafter. All Phase will submit certificates of completion for each affected contractor employee and subcontractor employee, to the Contracting Officer</w:t>
      </w:r>
      <w:r>
        <w:rPr>
          <w:rtl w:val="0"/>
        </w:rPr>
        <w:t>’</w:t>
      </w:r>
      <w:r>
        <w:rPr>
          <w:rtl w:val="0"/>
        </w:rPr>
        <w:t xml:space="preserve">s Representative (COR) or to the Contracting Officer (KO), if a COR is not assigned, within 05 calendar days after completion of training by all employees and subcontractor personnel. This training will be completed within 30 calendar days of contract award and within 05 calendar days of new employees commencing performance with the results reported to the COR NLT 30 calendar days after contract award.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99"/>
        <w:gridCol w:w="4027"/>
        <w:gridCol w:w="2234"/>
      </w:tblGrid>
      <w:tr>
        <w:tblPrEx>
          <w:shd w:val="clear" w:color="auto" w:fill="00a2ff"/>
        </w:tblPrEx>
        <w:trPr>
          <w:trHeight w:val="310" w:hRule="atLeast"/>
          <w:tblHeader/>
        </w:trPr>
        <w:tc>
          <w:tcPr>
            <w:tcW w:type="dxa" w:w="9360"/>
            <w:gridSpan w:val="3"/>
            <w:tcBorders>
              <w:top w:val="nil"/>
              <w:left w:val="nil"/>
              <w:bottom w:val="single" w:color="aaaaaa" w:sz="8" w:space="0" w:shadow="0" w:frame="0"/>
              <w:right w:val="nil"/>
            </w:tcBorders>
            <w:shd w:val="clear" w:color="auto" w:fill="auto"/>
            <w:tcMar>
              <w:top w:type="dxa" w:w="80"/>
              <w:left w:type="dxa" w:w="80"/>
              <w:bottom w:type="dxa" w:w="80"/>
              <w:right w:type="dxa" w:w="80"/>
            </w:tcMar>
            <w:vAlign w:val="center"/>
          </w:tcPr>
          <w:p>
            <w:pPr>
              <w:pStyle w:val="Heading 2"/>
            </w:pPr>
            <w:r>
              <w:rPr>
                <w:rFonts w:cs="Arial Unicode MS" w:eastAsia="Arial Unicode MS"/>
                <w:rtl w:val="0"/>
                <w:lang w:val="en-US"/>
              </w:rPr>
              <w:t xml:space="preserve">Table </w:t>
            </w:r>
            <w:r>
              <w:rPr>
                <w:rFonts w:cs="Arial Unicode MS" w:eastAsia="Arial Unicode MS"/>
                <w:rtl w:val="0"/>
                <w:lang w:val="en-US"/>
              </w:rPr>
              <w:t>9</w:t>
            </w:r>
            <w:r>
              <w:rPr>
                <w:rFonts w:cs="Arial Unicode MS" w:eastAsia="Arial Unicode MS"/>
                <w:rtl w:val="0"/>
                <w:lang w:val="en-US"/>
              </w:rPr>
              <w:t>. Key Personnel to be Assigned</w:t>
            </w:r>
          </w:p>
        </w:tc>
      </w:tr>
      <w:tr>
        <w:tblPrEx>
          <w:shd w:val="clear" w:color="auto" w:fill="cadfff"/>
        </w:tblPrEx>
        <w:trPr>
          <w:trHeight w:val="21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Project Manager (PM)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Harris, Tina L</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sz w:val="18"/>
                <w:szCs w:val="18"/>
                <w:rtl w:val="0"/>
                <w:lang w:val="en-US"/>
              </w:rPr>
              <w:t>..</w:t>
            </w:r>
          </w:p>
        </w:tc>
      </w:tr>
      <w:tr>
        <w:tblPrEx>
          <w:shd w:val="clear" w:color="auto" w:fill="cadfff"/>
        </w:tblPrEx>
        <w:trPr>
          <w:trHeight w:val="21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Program Manager</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Newman, Eric</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sz w:val="18"/>
                <w:szCs w:val="18"/>
                <w:rtl w:val="0"/>
                <w:lang w:val="en-US"/>
              </w:rPr>
              <w:t>..</w:t>
            </w:r>
          </w:p>
        </w:tc>
      </w:tr>
      <w:tr>
        <w:tblPrEx>
          <w:shd w:val="clear" w:color="auto" w:fill="cadfff"/>
        </w:tblPrEx>
        <w:trPr>
          <w:trHeight w:val="21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Site Superintendent (SS)</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Murphy, Guy</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sz w:val="18"/>
                <w:szCs w:val="18"/>
                <w:rtl w:val="0"/>
                <w:lang w:val="en-US"/>
              </w:rPr>
              <w:t>On-site</w:t>
            </w:r>
          </w:p>
        </w:tc>
      </w:tr>
      <w:tr>
        <w:tblPrEx>
          <w:shd w:val="clear" w:color="auto" w:fill="cadfff"/>
        </w:tblPrEx>
        <w:trPr>
          <w:trHeight w:val="21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Quality Control Manager (QCM)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sz w:val="18"/>
                <w:szCs w:val="18"/>
                <w:rtl w:val="0"/>
                <w:lang w:val="en-US"/>
              </w:rPr>
              <w:t>On-site</w:t>
            </w:r>
          </w:p>
        </w:tc>
      </w:tr>
      <w:tr>
        <w:tblPrEx>
          <w:shd w:val="clear" w:color="auto" w:fill="cadfff"/>
        </w:tblPrEx>
        <w:trPr>
          <w:trHeight w:val="21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Safety Officer (SSHO)</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sz w:val="18"/>
                <w:szCs w:val="18"/>
                <w:rtl w:val="0"/>
                <w:lang w:val="en-US"/>
              </w:rPr>
              <w:t>On-site</w:t>
            </w:r>
          </w:p>
        </w:tc>
      </w:tr>
      <w:tr>
        <w:tblPrEx>
          <w:shd w:val="clear" w:color="auto" w:fill="cadfff"/>
        </w:tblPrEx>
        <w:trPr>
          <w:trHeight w:val="21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Clerk</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sz w:val="18"/>
                <w:szCs w:val="18"/>
                <w:rtl w:val="0"/>
                <w:lang w:val="en-US"/>
              </w:rPr>
              <w:t>Osorio, Clementina D</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sz w:val="18"/>
                <w:szCs w:val="18"/>
                <w:rtl w:val="0"/>
                <w:lang w:val="en-US"/>
              </w:rPr>
              <w:t>..</w:t>
            </w:r>
          </w:p>
        </w:tc>
      </w:tr>
    </w:tbl>
    <w:p>
      <w:pPr>
        <w:pStyle w:val="Body C"/>
      </w:pPr>
    </w:p>
    <w:p>
      <w:pPr>
        <w:pStyle w:val="Body C"/>
      </w:pPr>
      <w:r>
        <w:rPr>
          <w:rtl w:val="0"/>
        </w:rPr>
        <w:t>All Phase and all associated sub-contractors employees will provide all information required for background checks to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 All Phase and all associated sub-contractors employees will comply with 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government representative).</w:t>
      </w:r>
    </w:p>
    <w:p>
      <w:pPr>
        <w:pStyle w:val="Heading"/>
        <w:suppressAutoHyphens w:val="1"/>
      </w:pPr>
      <w:bookmarkStart w:name="_Toc24" w:id="25"/>
      <w:r>
        <w:rPr>
          <w:rtl w:val="0"/>
          <w:lang w:val="en-US"/>
        </w:rPr>
        <w:t>9. Site Specific Issues</w:t>
      </w:r>
      <w:bookmarkEnd w:id="25"/>
    </w:p>
    <w:p>
      <w:pPr>
        <w:pStyle w:val="Body C"/>
      </w:pPr>
      <w:r>
        <w:rPr>
          <w:rtl w:val="0"/>
        </w:rPr>
        <w:t xml:space="preserve">All Phase will submit a monthly report to the base Solid Waste Manager, identifying the weight, quantity, and disposal cost of: 1) Municipal Solid Waste; and 2) Construction &amp; Demolition debris disposed on or off-base. </w:t>
      </w:r>
    </w:p>
    <w:p>
      <w:pPr>
        <w:pStyle w:val="Body C"/>
      </w:pPr>
      <w:r>
        <w:rPr>
          <w:i w:val="1"/>
          <w:iCs w:val="1"/>
          <w:rtl w:val="0"/>
          <w:lang w:val="en-US"/>
        </w:rPr>
        <w:t>Special Cultural Resource Protection Requirements</w:t>
      </w:r>
      <w:r>
        <w:rPr>
          <w:rtl w:val="0"/>
        </w:rPr>
        <w:t xml:space="preserve"> - Fort Benning is required by the National Historic Preservation Act of 1966, as amended, to appropriately conserve and manage historic properties located on its property. Fort Benning must also comply with the Native American Graves Protection and Repatriation Act (NAGPRA), which applies to Native American human remains, funerary objects, sacred objects, and objects of cultural patrimony excavated intentionally or discovered inadvertently on Federal or Tribal lands. All Phase will be responsible for the safety of all work conducted and will ensure that the work area is safe during any archaeological investigation. No one will be expected to enter an excavation until it has been deemed safe and it will be the responsibility of the construction contractor to ensure that the archaeological monitors have the ability to enter the project area as needed. The archaeologist will advise all project contractors to be on the alert for evidence of the presence of the archaeological sites or human burials; how to identify the evidence of the expected resources; and of the appropriate protocol in the event of discovery of a burial or associated object. In accordance with NHPA, if archaeological materials are encountered, work will temporarily stop in the immediate area of the discovery while it is assessed to verify there are no further archaeological materials and that the discovery is not part of a larger intact feature. </w:t>
      </w:r>
    </w:p>
    <w:p>
      <w:pPr>
        <w:pStyle w:val="Body C"/>
      </w:pPr>
      <w:r>
        <w:rPr>
          <w:rtl w:val="0"/>
        </w:rPr>
        <w:t xml:space="preserve">If intact archaeological materials are encountered, all soil disturbing activities within 100 feet (30 meters) of the discovery will cease, and the archaeologist will be empowered to temporarily redirect demolition crews and heavy equipment until the archaeological materials are evaluated, and if necessary, consultation with the Tribes and the Georgia State Historic Preservation Office is completed. If Native American human burials or associated objects are discovered within the project area, work will cease within 100 feet (30 meters) of the discovery. Work will resume not before 30 days and after a plan has been agreed upon by the Tribes and Fort Benning to exhume the remains if avoidance is not possible. </w:t>
      </w:r>
    </w:p>
    <w:p>
      <w:pPr>
        <w:pStyle w:val="Body C"/>
      </w:pPr>
      <w:r>
        <w:rPr>
          <w:rtl w:val="0"/>
        </w:rPr>
        <w:t xml:space="preserve">Site monitors will confirm all human remains and associated cultural materials, including the soil matrix surrounding the burial, have been recovered prior to work starting again. The archaeological monitors will be on site during the entire demolition project and have full access to the project areas as needed to include monitoring surface disturbance from construction equipment. All Phase grantees there will be no pictures taken and no posts made to social media concerning any of the work or the cultural material found during the project. </w:t>
      </w:r>
    </w:p>
    <w:p>
      <w:pPr>
        <w:pStyle w:val="Heading"/>
        <w:pageBreakBefore w:val="1"/>
      </w:pPr>
      <w:bookmarkStart w:name="_Toc25" w:id="26"/>
      <w:r>
        <w:rPr>
          <w:rtl w:val="0"/>
          <w:lang w:val="en-US"/>
        </w:rPr>
        <w:t xml:space="preserve">Appendix - Preliminary Project Schedule </w:t>
      </w:r>
      <w:r>
        <w:rPr>
          <w:rtl w:val="0"/>
          <w:lang w:val="en-US"/>
        </w:rPr>
        <w:t>–</w:t>
      </w:r>
      <w:r>
        <mc:AlternateContent>
          <mc:Choice Requires="wps">
            <w:drawing>
              <wp:anchor distT="152400" distB="152400" distL="152400" distR="152400" simplePos="0" relativeHeight="251668480" behindDoc="0" locked="0" layoutInCell="1" allowOverlap="1">
                <wp:simplePos x="0" y="0"/>
                <wp:positionH relativeFrom="page">
                  <wp:posOffset>279400</wp:posOffset>
                </wp:positionH>
                <wp:positionV relativeFrom="page">
                  <wp:posOffset>8788400</wp:posOffset>
                </wp:positionV>
                <wp:extent cx="6683574" cy="12700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6683574" cy="1270000"/>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22.0pt;margin-top:692.0pt;width:526.3pt;height:100.0pt;z-index:25166848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lang w:val="en-US"/>
        </w:rPr>
        <w:t xml:space="preserve"> </w:t>
      </w:r>
      <w:r>
        <w:rPr>
          <w:rtl w:val="0"/>
          <w:lang w:val="en-US"/>
        </w:rPr>
        <w:t xml:space="preserve">Base Bid </w:t>
      </w:r>
      <w:bookmarkEnd w:id="26"/>
    </w:p>
    <w:p>
      <w:pPr>
        <w:pStyle w:val="Body A"/>
      </w:pPr>
      <w:r>
        <w:rPr>
          <w:sz w:val="20"/>
          <w:szCs w:val="20"/>
          <w:rtl w:val="0"/>
          <w:lang w:val="en-US"/>
        </w:rPr>
        <w:t>[</w:t>
      </w:r>
      <w:commentRangeStart w:id="27"/>
      <w:r>
        <w:rPr>
          <w:sz w:val="20"/>
          <w:szCs w:val="20"/>
          <w:rtl w:val="0"/>
          <w:lang w:val="en-US"/>
        </w:rPr>
        <w:t xml:space="preserve">insert PDF after </w:t>
      </w:r>
      <w:commentRangeStart w:id="28"/>
      <w:r>
        <w:rPr>
          <w:sz w:val="20"/>
          <w:szCs w:val="20"/>
          <w:rtl w:val="0"/>
          <w:lang w:val="en-US"/>
        </w:rPr>
        <w:t>rendering</w:t>
      </w:r>
      <w:commentRangeEnd w:id="27"/>
      <w:r>
        <w:commentReference w:id="27"/>
      </w:r>
      <w:commentRangeEnd w:id="28"/>
      <w:r>
        <w:commentReference w:id="28"/>
      </w:r>
      <w:r>
        <w:rPr>
          <w:sz w:val="20"/>
          <w:szCs w:val="20"/>
          <w:rtl w:val="0"/>
          <w:lang w:val="en-US"/>
        </w:rPr>
        <w:t>]</w:t>
      </w:r>
    </w:p>
    <w:p>
      <w:pPr>
        <w:pStyle w:val="Body A"/>
      </w:pPr>
      <w:r/>
    </w:p>
    <w:sectPr>
      <w:headerReference w:type="default" r:id="rId14"/>
      <w:footerReference w:type="default" r:id="rId15"/>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20:06:00Z">
    <w:p w14:paraId="1111FFFF">
      <w:pPr>
        <w:pStyle w:val="Default"/>
      </w:pPr>
    </w:p>
    <w:p w14:paraId="11120000">
      <w:pPr>
        <w:pStyle w:val="Default"/>
      </w:pPr>
      <w:r>
        <w:rPr>
          <w:rtl w:val="0"/>
        </w:rPr>
        <w:t>Contract pricing data</w:t>
      </w:r>
    </w:p>
  </w:comment>
  <w:comment w:id="27" w:author="Tom Termini" w:date="2022-08-25T00:38:00Z">
    <w:p w14:paraId="11120001">
      <w:pPr>
        <w:pStyle w:val="Default"/>
      </w:pPr>
    </w:p>
    <w:p w14:paraId="11120002">
      <w:pPr>
        <w:pStyle w:val="Default"/>
      </w:pPr>
      <w:r>
        <w:rPr>
          <w:rtl w:val="0"/>
        </w:rPr>
        <w:t>insert PDF after rendering</w:t>
      </w:r>
    </w:p>
  </w:comment>
  <w:comment w:id="28" w:author="Eric Newman" w:date="2022-08-26T14:14:00Z">
    <w:p w14:paraId="11120003">
      <w:pPr>
        <w:pStyle w:val="Default"/>
      </w:pPr>
    </w:p>
    <w:p w14:paraId="11120004">
      <w:pPr>
        <w:pStyle w:val="Default"/>
      </w:pPr>
      <w:r>
        <w:rPr>
          <w:rtl w:val="0"/>
        </w:rPr>
        <w:t>Schedule is attached to the 8.24.22 email</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iv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004070</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004070</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