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REV00</w:t>
      </w:r>
      <w:r>
        <w:rPr>
          <w:b w:val="1"/>
          <w:bCs w:val="1"/>
          <w:sz w:val="28"/>
          <w:szCs w:val="28"/>
          <w:rtl w:val="0"/>
          <w:lang w:val="en-US"/>
        </w:rPr>
        <w:t xml:space="preserve"> </w:t>
      </w:r>
      <w:r>
        <w:rPr>
          <w:b w:val="1"/>
          <w:bCs w:val="1"/>
          <w:sz w:val="28"/>
          <w:szCs w:val="28"/>
          <w:rtl w:val="0"/>
          <w:lang w:val="en-US"/>
        </w:rPr>
        <w:t xml:space="preserve">for Abatement and Demolition Services </w:t>
      </w:r>
      <w:r>
        <w:rPr>
          <w:b w:val="1"/>
          <w:bCs w:val="1"/>
          <w:sz w:val="28"/>
          <w:szCs w:val="28"/>
        </w:rPr>
        <w:br w:type="textWrapping"/>
      </w:r>
      <w:r>
        <w:rPr>
          <w:b w:val="1"/>
          <w:bCs w:val="1"/>
          <w:sz w:val="28"/>
          <w:szCs w:val="28"/>
          <w:rtl w:val="0"/>
          <w:lang w:val="en-US"/>
        </w:rPr>
        <w:t xml:space="preserve">Fort Bragg, NC </w:t>
      </w:r>
    </w:p>
    <w:p>
      <w:pPr>
        <w:pStyle w:val="Body A"/>
        <w:jc w:val="center"/>
      </w:pPr>
      <w:r>
        <w:rPr>
          <w:rtl w:val="0"/>
          <w:lang w:val="en-US"/>
        </w:rPr>
        <w:t>Submitted on: 06 September 2022, 12:00 local time</w:t>
      </w:r>
    </w:p>
    <w:p>
      <w:pPr>
        <w:pStyle w:val="Body A"/>
        <w:jc w:val="center"/>
      </w:pPr>
      <w:r>
        <w:rPr>
          <w:rtl w:val="0"/>
          <w:lang w:val="en-US"/>
        </w:rPr>
        <w:t xml:space="preserve">Submitted to: US Army Corps of Engineers, Engineering and Support Center, </w:t>
      </w:r>
      <w:r>
        <w:br w:type="textWrapping"/>
      </w:r>
      <w:r>
        <w:rPr>
          <w:rtl w:val="0"/>
          <w:lang w:val="en-US"/>
        </w:rPr>
        <w:t>Huntsville (CEHNC)</w:t>
      </w:r>
      <w:r>
        <w:br w:type="textWrapping"/>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lang w:val="en-US"/>
        </w:rPr>
        <w:t>r</w:t>
      </w:r>
      <w:r>
        <w:rPr>
          <w:rStyle w:val="Hyperlink.0"/>
          <w:rtl w:val="0"/>
          <w:lang w:val="en-US"/>
        </w:rPr>
        <w:t>eneda.d.kelley@usace.army.mil</w:t>
      </w:r>
      <w:r>
        <w:rPr/>
        <w:fldChar w:fldCharType="end" w:fldLock="0"/>
      </w:r>
      <w:r>
        <w:rPr>
          <w:rtl w:val="0"/>
          <w:lang w:val="en-US"/>
        </w:rPr>
        <w:t xml:space="preserve"> </w:t>
      </w:r>
      <w:r>
        <w:rPr>
          <w:rtl w:val="0"/>
          <w:lang w:val="en-US"/>
        </w:rPr>
        <w:t>||</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lang w:val="en-US"/>
        </w:rPr>
        <w:t>FRPProposalsInboxhnc@usace.army.mil</w:t>
      </w:r>
      <w:r>
        <w:rPr/>
        <w:fldChar w:fldCharType="end" w:fldLock="0"/>
      </w:r>
    </w:p>
    <w:p>
      <w:pPr>
        <w:pStyle w:val="Body A"/>
        <w:jc w:val="center"/>
      </w:pPr>
      <w:r>
        <w:rPr>
          <w:rtl w:val="0"/>
        </w:rPr>
        <w:br w:type="textWrapping"/>
      </w:r>
      <w:r>
        <w:drawing>
          <wp:anchor distT="12700" distB="12700" distL="12700" distR="12700" simplePos="0" relativeHeight="251660288" behindDoc="0" locked="0" layoutInCell="1" allowOverlap="1">
            <wp:simplePos x="0" y="0"/>
            <wp:positionH relativeFrom="page">
              <wp:posOffset>3058278</wp:posOffset>
            </wp:positionH>
            <wp:positionV relativeFrom="page">
              <wp:posOffset>2965412</wp:posOffset>
            </wp:positionV>
            <wp:extent cx="1668542" cy="1668542"/>
            <wp:effectExtent l="0" t="0" r="0" b="0"/>
            <wp:wrapTopAndBottom distT="12700" distB="1270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4">
                      <a:extLst/>
                    </a:blip>
                    <a:stretch>
                      <a:fillRect/>
                    </a:stretch>
                  </pic:blipFill>
                  <pic:spPr>
                    <a:xfrm>
                      <a:off x="0" y="0"/>
                      <a:ext cx="1668542" cy="1668542"/>
                    </a:xfrm>
                    <a:prstGeom prst="rect">
                      <a:avLst/>
                    </a:prstGeom>
                    <a:ln w="12700" cap="flat">
                      <a:noFill/>
                      <a:miter lim="400000"/>
                    </a:ln>
                    <a:effectLst/>
                  </pic:spPr>
                </pic:pic>
              </a:graphicData>
            </a:graphic>
          </wp:anchor>
        </w:drawing>
      </w:r>
      <w:r>
        <w:drawing>
          <wp:anchor distT="0" distB="0" distL="0" distR="0" simplePos="0" relativeHeight="251661312" behindDoc="0" locked="0" layoutInCell="1" allowOverlap="1">
            <wp:simplePos x="0" y="0"/>
            <wp:positionH relativeFrom="page">
              <wp:posOffset>2871965</wp:posOffset>
            </wp:positionH>
            <wp:positionV relativeFrom="page">
              <wp:posOffset>5730862</wp:posOffset>
            </wp:positionV>
            <wp:extent cx="1854855" cy="984678"/>
            <wp:effectExtent l="0" t="0" r="0" b="0"/>
            <wp:wrapTopAndBottom distT="0" distB="0"/>
            <wp:docPr id="1073741828"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8" name="New logo - APS" descr="New logo - APS"/>
                    <pic:cNvPicPr>
                      <a:picLocks noChangeAspect="1"/>
                    </pic:cNvPicPr>
                  </pic:nvPicPr>
                  <pic:blipFill>
                    <a:blip r:embed="rId5">
                      <a:extLst/>
                    </a:blip>
                    <a:stretch>
                      <a:fillRect/>
                    </a:stretch>
                  </pic:blipFill>
                  <pic:spPr>
                    <a:xfrm>
                      <a:off x="0" y="0"/>
                      <a:ext cx="1854855" cy="984678"/>
                    </a:xfrm>
                    <a:prstGeom prst="rect">
                      <a:avLst/>
                    </a:prstGeom>
                    <a:ln w="12700" cap="flat">
                      <a:noFill/>
                      <a:miter lim="400000"/>
                    </a:ln>
                    <a:effectLst/>
                  </pic:spPr>
                </pic:pic>
              </a:graphicData>
            </a:graphic>
          </wp:anchor>
        </w:drawing>
      </w:r>
      <w:r>
        <w:rPr>
          <w:rtl w:val="0"/>
        </w:rPr>
        <w:t xml:space="preserve"> </w:t>
      </w:r>
    </w:p>
    <w:p>
      <w:pPr>
        <w:pStyle w:val="Body A"/>
        <w:jc w:val="center"/>
      </w:pPr>
    </w:p>
    <w:p>
      <w:pPr>
        <w:pStyle w:val="Body A"/>
        <w:jc w:val="center"/>
        <w:rPr>
          <w:b w:val="1"/>
          <w:bCs w:val="1"/>
        </w:rPr>
      </w:pPr>
      <w:r>
        <w:rPr>
          <w:b w:val="1"/>
          <w:bCs w:val="1"/>
          <w:rtl w:val="0"/>
          <w:lang w:val="en-US"/>
        </w:rPr>
        <w:t>Submitted by:</w:t>
      </w:r>
    </w:p>
    <w:p>
      <w:pPr>
        <w:pStyle w:val="Body A"/>
        <w:jc w:val="center"/>
        <w:rPr>
          <w:b w:val="1"/>
          <w:bCs w:val="1"/>
        </w:rPr>
      </w:pP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carlos@allphase.org34 SW 5th Avenue | Delray Beach FL 33444 US</w:t>
      </w:r>
      <w:r>
        <w:rPr>
          <w:b w:val="1"/>
          <w:bCs w:val="1"/>
        </w:rPr>
        <w:br w:type="textWrapping"/>
      </w:r>
      <w:r>
        <w:rPr>
          <w:b w:val="1"/>
          <w:bCs w:val="1"/>
          <w:rtl w:val="0"/>
          <w:lang w:val="en-US"/>
        </w:rPr>
        <w:t>Phone: 561-620-8222 or 561-756-6647 | Fax: 866-260-2024 | Web: www.allphaseenv.com</w:t>
      </w:r>
      <w:r>
        <w:rPr>
          <w:b w:val="1"/>
          <w:bCs w:val="1"/>
        </w:rPr>
        <mc:AlternateContent>
          <mc:Choice Requires="wps">
            <w:drawing>
              <wp:anchor distT="152400" distB="152400" distL="152400" distR="152400" simplePos="0" relativeHeight="251659264" behindDoc="0" locked="0" layoutInCell="1" allowOverlap="1">
                <wp:simplePos x="0" y="0"/>
                <wp:positionH relativeFrom="margin">
                  <wp:posOffset>-6348</wp:posOffset>
                </wp:positionH>
                <wp:positionV relativeFrom="line">
                  <wp:posOffset>380782</wp:posOffset>
                </wp:positionV>
                <wp:extent cx="5943600" cy="1410100"/>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30.0pt;width:468.0pt;height:111.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margin"/>
              </v:shape>
            </w:pict>
          </mc:Fallback>
        </mc:AlternateContent>
      </w:r>
    </w:p>
    <w:p>
      <w:pPr>
        <w:pStyle w:val="Body A"/>
        <w:pageBreakBefore w:val="1"/>
      </w:pPr>
      <w:r>
        <w:rPr>
          <w:b w:val="1"/>
          <w:bCs w:val="1"/>
          <w:rtl w:val="0"/>
          <w:lang w:val="en-US"/>
        </w:rPr>
        <w:t>Cover Letter</w:t>
      </w:r>
      <w:r>
        <w:br w:type="textWrapping"/>
      </w:r>
    </w:p>
    <w:p>
      <w:pPr>
        <w:pStyle w:val="Body A"/>
      </w:pPr>
      <w:r>
        <w:rPr>
          <w:rtl w:val="0"/>
        </w:rPr>
        <w:t>6-September-2022</w:t>
      </w:r>
    </w:p>
    <w:p>
      <w:pPr>
        <w:pStyle w:val="Body A"/>
      </w:pPr>
      <w:r>
        <w:rPr>
          <w:rtl w:val="0"/>
        </w:rPr>
        <w:t>To: US Army Corps of Engineers, Engineering and Support Center, Huntsville (CEHNC)</w:t>
      </w:r>
      <w:r>
        <w:br w:type="textWrapping"/>
      </w:r>
      <w:r>
        <w:rPr>
          <w:rtl w:val="0"/>
        </w:rPr>
        <w:t xml:space="preserve">Atten: </w:t>
      </w:r>
      <w:r>
        <w:rPr>
          <w:rtl w:val="0"/>
        </w:rPr>
        <w:t>Reneda Kelley, Contracting Officer</w:t>
      </w:r>
    </w:p>
    <w:p>
      <w:pPr>
        <w:pStyle w:val="Body A"/>
      </w:pPr>
      <w:r>
        <w:rPr>
          <w:rtl w:val="0"/>
        </w:rPr>
        <w:t>Dear Sir/Madam:</w:t>
      </w:r>
    </w:p>
    <w:p>
      <w:pPr>
        <w:pStyle w:val="Body A"/>
        <w:spacing w:line="240" w:lineRule="auto"/>
      </w:pPr>
      <w:r>
        <w:rPr>
          <w:rtl w:val="0"/>
          <w:lang w:val="en-US"/>
        </w:rPr>
        <w:t xml:space="preserve">All Phase Services, Inc. is pleased to submit this proposal in response to Task Order REV00 </w:t>
      </w:r>
      <w:r>
        <w:br w:type="textWrapping"/>
      </w:r>
      <w:r>
        <w:rPr>
          <w:rtl w:val="0"/>
          <w:lang w:val="en-US"/>
        </w:rPr>
        <w:t>for demolition at Fort Bragg, North Carolina</w:t>
      </w:r>
      <w:r>
        <w:rPr>
          <w:rtl w:val="0"/>
          <w:lang w:val="en-US"/>
        </w:rPr>
        <w:t>. Our proposal conforms to the instructions and requirements of the solicitation and addresses the Task Order SOW. We acknowledge receipt of associated maps and Site Survey Report, and Q&amp;A</w:t>
      </w:r>
      <w:r>
        <w:rPr>
          <w:rtl w:val="0"/>
          <w:lang w:val="en-US"/>
        </w:rPr>
        <w:t>’</w:t>
      </w:r>
      <w:r>
        <w:rPr>
          <w:rtl w:val="0"/>
          <w:lang w:val="en-US"/>
        </w:rPr>
        <w:t>s, as well as the RFP, including all amendments up to received 0</w:t>
      </w:r>
      <w:r>
        <w:rPr>
          <w:rtl w:val="0"/>
          <w:lang w:val="en-US"/>
        </w:rPr>
        <w:t>6</w:t>
      </w:r>
      <w:r>
        <w:rPr>
          <w:rtl w:val="0"/>
          <w:lang w:val="en-US"/>
        </w:rPr>
        <w:t>-September-2022. All Phase takes no exceptions to the terms, conditions, and provisions contained therein. Furthermore, we make no assumptions within this proposal that are intended to offset any risk onto the Government.</w:t>
      </w:r>
    </w:p>
    <w:p>
      <w:pPr>
        <w:pStyle w:val="Body A"/>
        <w:spacing w:line="240" w:lineRule="auto"/>
      </w:pPr>
      <w:r>
        <w:rPr>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landfill diversion goal for this task order. </w:t>
      </w:r>
    </w:p>
    <w:p>
      <w:pPr>
        <w:pStyle w:val="Body A"/>
        <w:spacing w:line="240" w:lineRule="auto"/>
      </w:pPr>
      <w:r>
        <w:rPr>
          <w:rtl w:val="0"/>
          <w:lang w:val="en-US"/>
        </w:rPr>
        <w:t>Eric Newman, Pre-Construction Manager of All Phase Services, Inc. will be the point of contact for this proposal with full authority to negotiate and sign the contract resulting from this procurement on All Phase</w:t>
      </w:r>
      <w:r>
        <w:rPr>
          <w:rtl w:val="0"/>
          <w:lang w:val="en-US"/>
        </w:rPr>
        <w:t>’</w:t>
      </w:r>
      <w:r>
        <w:rPr>
          <w:rtl w:val="0"/>
          <w:lang w:val="en-US"/>
        </w:rPr>
        <w:t xml:space="preserve">s behalf, with contact information provided, below. Sal Rabah, President of All Phase, will be the </w:t>
      </w:r>
      <w:r>
        <w:rPr>
          <w:rtl w:val="0"/>
          <w:lang w:val="en-US"/>
        </w:rPr>
        <w:t>primary</w:t>
      </w:r>
      <w:r>
        <w:rPr>
          <w:rtl w:val="0"/>
          <w:lang w:val="en-US"/>
        </w:rPr>
        <w:t xml:space="preserve"> POC. </w:t>
      </w:r>
    </w:p>
    <w:p>
      <w:pPr>
        <w:pStyle w:val="Body A"/>
        <w:keepNext w:val="1"/>
      </w:pPr>
      <w:r>
        <w:rPr>
          <w:rtl w:val="0"/>
          <w:lang w:val="en-US"/>
        </w:rPr>
        <w:t>Respectfully,</w:t>
      </w:r>
    </w:p>
    <w:p>
      <w:pPr>
        <w:pStyle w:val="Body A"/>
      </w:pPr>
      <w:r>
        <w:rPr>
          <w:rtl w:val="0"/>
        </w:rPr>
        <w:t>/S/</w:t>
      </w:r>
    </w:p>
    <w:p>
      <w:pPr>
        <w:pStyle w:val="Body A"/>
        <w:spacing w:after="60" w:line="240" w:lineRule="auto"/>
      </w:pPr>
      <w:r>
        <w:rPr>
          <w:b w:val="1"/>
          <w:bCs w:val="1"/>
          <w:rtl w:val="0"/>
          <w:lang w:val="en-US"/>
        </w:rPr>
        <w:t xml:space="preserve">Sal Rabah, President </w:t>
      </w:r>
      <w:r>
        <w:rPr>
          <w:b w:val="1"/>
          <w:bCs w:val="1"/>
          <w:rtl w:val="0"/>
          <w:lang w:val="en-US"/>
        </w:rPr>
        <w:t xml:space="preserve">– </w:t>
      </w:r>
      <w:r>
        <w:rPr>
          <w:b w:val="1"/>
          <w:bCs w:val="1"/>
          <w:rtl w:val="0"/>
          <w:lang w:val="en-US"/>
        </w:rPr>
        <w:t>Primary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1"/>
        </w:rPr>
        <w:fldChar w:fldCharType="begin" w:fldLock="0"/>
      </w:r>
      <w:r>
        <w:rPr>
          <w:rStyle w:val="Hyperlink.1"/>
        </w:rPr>
        <w:instrText xml:space="preserve"> HYPERLINK "mailto:sal@allphase.org"</w:instrText>
      </w:r>
      <w:r>
        <w:rPr>
          <w:rStyle w:val="Hyperlink.1"/>
        </w:rPr>
        <w:fldChar w:fldCharType="separate" w:fldLock="0"/>
      </w:r>
      <w:r>
        <w:rPr>
          <w:rStyle w:val="Hyperlink.1"/>
          <w:rtl w:val="0"/>
          <w:lang w:val="en-US"/>
        </w:rPr>
        <w:t>sal@allphase.org</w:t>
      </w:r>
      <w:r>
        <w:rPr/>
        <w:fldChar w:fldCharType="end" w:fldLock="0"/>
      </w:r>
    </w:p>
    <w:p>
      <w:pPr>
        <w:pStyle w:val="Body A"/>
        <w:spacing w:after="60" w:line="240" w:lineRule="auto"/>
      </w:pPr>
      <w:r>
        <w:rPr>
          <w:rStyle w:val="None"/>
          <w:b w:val="1"/>
          <w:bCs w:val="1"/>
          <w:rtl w:val="0"/>
          <w:lang w:val="en-US"/>
        </w:rPr>
        <w:t xml:space="preserve">Eric Newman, Pre-Construction Manager </w:t>
      </w:r>
      <w:r>
        <w:rPr>
          <w:rStyle w:val="None"/>
          <w:b w:val="1"/>
          <w:bCs w:val="1"/>
          <w:rtl w:val="0"/>
          <w:lang w:val="en-US"/>
        </w:rPr>
        <w:t xml:space="preserve">– </w:t>
      </w:r>
      <w:r>
        <w:rPr>
          <w:rStyle w:val="None"/>
          <w:b w:val="1"/>
          <w:bCs w:val="1"/>
          <w:rtl w:val="0"/>
          <w:lang w:val="en-US"/>
        </w:rPr>
        <w:t>Alternate POC</w:t>
      </w:r>
      <w:r>
        <w:br w:type="textWrapping"/>
      </w:r>
      <w:r>
        <w:rPr>
          <w:rtl w:val="0"/>
          <w:lang w:val="en-US"/>
        </w:rPr>
        <w:t>O: 561.272.0944 | C: 941.302.6562</w:t>
      </w:r>
      <w:r>
        <w:br w:type="textWrapping"/>
      </w:r>
      <w:r>
        <w:rPr>
          <w:rtl w:val="0"/>
          <w:lang w:val="en-US"/>
        </w:rPr>
        <w:t>Email: Eric.newman@allphase.org</w:t>
      </w: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2-2 \t "Heading, 3"</w:instrText>
      </w:r>
      <w:r>
        <w:rPr>
          <w:rStyle w:val="None"/>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Table 1. Hazardous Material Abatement Projected Difficulty per Location</w:t>
        <w:tab/>
      </w:r>
      <w:r>
        <w:rPr/>
        <w:fldChar w:fldCharType="begin" w:fldLock="0"/>
      </w:r>
      <w:r>
        <w:instrText xml:space="preserve"> PAGEREF _Toc1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Table 2. Hazardous Material Abatement Manpower Projection</w:t>
        <w:tab/>
      </w:r>
      <w:r>
        <w:rPr/>
        <w:fldChar w:fldCharType="begin" w:fldLock="0"/>
      </w:r>
      <w:r>
        <w:instrText xml:space="preserve"> PAGEREF _Toc2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Table 3. Subcontractors, Consultants, Vendors, And Waste Handlers</w:t>
        <w:tab/>
      </w:r>
      <w:r>
        <w:rPr/>
        <w:fldChar w:fldCharType="begin" w:fldLock="0"/>
      </w:r>
      <w:r>
        <w:instrText xml:space="preserve"> PAGEREF _Toc3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_Toc7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Preliminary Schedule</w:t>
        <w:tab/>
      </w:r>
      <w:r>
        <w:rPr/>
        <w:fldChar w:fldCharType="begin" w:fldLock="0"/>
      </w:r>
      <w:r>
        <w:instrText xml:space="preserve"> PAGEREF _Toc8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Change Orders</w:t>
        <w:tab/>
      </w:r>
      <w:r>
        <w:rPr/>
        <w:fldChar w:fldCharType="begin" w:fldLock="0"/>
      </w:r>
      <w:r>
        <w:instrText xml:space="preserve"> PAGEREF _Toc9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_Toc10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Task Order-Specific Approach</w:t>
        <w:tab/>
      </w:r>
      <w:r>
        <w:rPr/>
        <w:fldChar w:fldCharType="begin" w:fldLock="0"/>
      </w:r>
      <w:r>
        <w:instrText xml:space="preserve"> PAGEREF _Toc11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Table 4. Demolition Structure Types and Projected Difficulty Per Location</w:t>
        <w:tab/>
      </w:r>
      <w:r>
        <w:rPr/>
        <w:fldChar w:fldCharType="begin" w:fldLock="0"/>
      </w:r>
      <w:r>
        <w:instrText xml:space="preserve"> PAGEREF _Toc12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Table 5. Manpower and Major Equipment Needed</w:t>
        <w:tab/>
      </w:r>
      <w:r>
        <w:rPr/>
        <w:fldChar w:fldCharType="begin" w:fldLock="0"/>
      </w:r>
      <w:r>
        <w:instrText xml:space="preserve"> PAGEREF _Toc13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_Toc14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_Toc15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_Toc16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Table 6. Demolition Waste Recycling and Salvage</w:t>
        <w:tab/>
      </w:r>
      <w:r>
        <w:rPr/>
        <w:fldChar w:fldCharType="begin" w:fldLock="0"/>
      </w:r>
      <w:r>
        <w:instrText xml:space="preserve"> PAGEREF _Toc17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_Toc18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Site Security</w:t>
        <w:tab/>
      </w:r>
      <w:r>
        <w:rPr/>
        <w:fldChar w:fldCharType="begin" w:fldLock="0"/>
      </w:r>
      <w:r>
        <w:instrText xml:space="preserve"> PAGEREF _Toc19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Safety Approach</w:t>
        <w:tab/>
      </w:r>
      <w:r>
        <w:rPr/>
        <w:fldChar w:fldCharType="begin" w:fldLock="0"/>
      </w:r>
      <w:r>
        <w:instrText xml:space="preserve"> PAGEREF _Toc20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Table 7. Preliminary Activity Hazard Analysis</w:t>
        <w:tab/>
      </w:r>
      <w:r>
        <w:rPr/>
        <w:fldChar w:fldCharType="begin" w:fldLock="0"/>
      </w:r>
      <w:r>
        <w:instrText xml:space="preserve"> PAGEREF _Toc21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23</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_Toc23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Table 8. Key Personnel to be Assigned</w:t>
        <w:tab/>
      </w:r>
      <w:r>
        <w:rPr/>
        <w:fldChar w:fldCharType="begin" w:fldLock="0"/>
      </w:r>
      <w:r>
        <w:instrText xml:space="preserve"> PAGEREF _Toc24 \h </w:instrText>
      </w:r>
      <w:r>
        <w:rPr/>
        <w:fldChar w:fldCharType="separate" w:fldLock="0"/>
      </w:r>
      <w:r>
        <w:rPr>
          <w:rFonts w:cs="Arial Unicode MS" w:eastAsia="Arial Unicode MS"/>
          <w:rtl w:val="0"/>
        </w:rPr>
        <w:t>24</w:t>
      </w:r>
      <w:r>
        <w:rPr/>
        <w:fldChar w:fldCharType="end" w:fldLock="0"/>
      </w:r>
    </w:p>
    <w:p>
      <w:pPr>
        <w:pStyle w:val="TOC 3"/>
      </w:pPr>
      <w:r>
        <w:rPr>
          <w:rFonts w:cs="Arial Unicode MS" w:eastAsia="Arial Unicode MS"/>
          <w:rtl w:val="0"/>
        </w:rPr>
        <w:t>Appendix - Preliminary Project Schedule</w:t>
        <w:tab/>
      </w:r>
      <w:r>
        <w:rPr/>
        <w:fldChar w:fldCharType="begin" w:fldLock="0"/>
      </w:r>
      <w:r>
        <w:instrText xml:space="preserve"> PAGEREF _Toc25 \h </w:instrText>
      </w:r>
      <w:r>
        <w:rPr/>
        <w:fldChar w:fldCharType="separate" w:fldLock="0"/>
      </w:r>
      <w:r>
        <w:rPr>
          <w:rFonts w:cs="Arial Unicode MS" w:eastAsia="Arial Unicode MS"/>
          <w:rtl w:val="0"/>
        </w:rPr>
        <w:t>25</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w:suppressAutoHyphens w:val="1"/>
      </w:pPr>
      <w:bookmarkStart w:name="_Toc" w:id="0"/>
      <w:r>
        <w:rPr>
          <w:rStyle w:val="None"/>
          <w:rtl w:val="0"/>
          <w:lang w:val="en-US"/>
        </w:rPr>
        <w:t>Technical Approach</w:t>
      </w:r>
      <w:bookmarkEnd w:id="0"/>
    </w:p>
    <w:p>
      <w:pPr>
        <w:pStyle w:val="Body C"/>
        <w:widowControl w:val="0"/>
      </w:pPr>
      <w:r>
        <w:rPr>
          <w:rtl w:val="0"/>
          <w:lang w:val="en-US"/>
        </w:rPr>
        <w:t>All Phase will provide all personnel, tools and equipment, and expertise for demolition services at Fort Bragg, North Carolina. Our process starts with project planning, including how we will handle abatement and disposal of hazardous materials such as asbestos. We will carry out demolition based on an approved work plan, after we have received a Notice to Proceed (NTP). Our task-specific demolition approach is based on years of experience working for the Army Corps of Engineers and other government agencies to demolish facilities. All Phase will then remove all debris to appropriate land fills, divert waste as appropriate, and recycle as much of the raw materials as possible, meeting or exceeding the government</w:t>
      </w:r>
      <w:r>
        <w:rPr>
          <w:rtl w:val="1"/>
        </w:rPr>
        <w:t>’</w:t>
      </w:r>
      <w:r>
        <w:rPr>
          <w:rtl w:val="0"/>
          <w:lang w:val="en-US"/>
        </w:rPr>
        <w:t>s targets. We will then restore the site to a usable state. All Phase is cognizant of government security requirements, and will secure the site during this effort. Site security is important to site safety, as well, and we will ensure the well-being of work crews and any other personnel authorized to be on-site. Attached to this document is a GANTT representation of the schedule for All Phase to carry out this task.</w:t>
      </w:r>
    </w:p>
    <w:p>
      <w:pPr>
        <w:pStyle w:val="Body C"/>
        <w:widowControl w:val="0"/>
      </w:pPr>
      <w:r>
        <w:rPr>
          <w:rStyle w:val="None"/>
          <w:rtl w:val="0"/>
          <w:lang w:val="en-US"/>
        </w:rPr>
        <w:t>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Site restoration to include fill, grass, and stormwater drainage control.</w:t>
      </w:r>
      <w:r>
        <w:rPr>
          <w:rtl w:val="0"/>
          <w:lang w:val="en-US"/>
        </w:rPr>
        <w:t xml:space="preserve">We understand the requirements to be for All Phase to provide all design services, labor, tools, equipment, and services necessary to demolish </w:t>
      </w:r>
      <w:r>
        <w:rPr>
          <w:rtl w:val="0"/>
          <w:lang w:val="en-US"/>
        </w:rPr>
        <w:t>the buildings</w:t>
      </w:r>
      <w:r>
        <w:rPr>
          <w:rtl w:val="0"/>
          <w:lang w:val="en-US"/>
        </w:rPr>
        <w:t xml:space="preserve"> and all items, systems, and appurtenances. All Phase has carefully considered the requirements of the SOW and all other work scope documents and understand the abatement task in terms of hazardous material sources and difficulty per location (Table 1). </w:t>
      </w:r>
    </w:p>
    <w:tbl>
      <w:tblPr>
        <w:tblW w:w="9359"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2005"/>
        <w:gridCol w:w="5014"/>
        <w:gridCol w:w="1007"/>
        <w:gridCol w:w="1333"/>
      </w:tblGrid>
      <w:tr>
        <w:tblPrEx>
          <w:shd w:val="clear" w:color="auto" w:fill="auto"/>
        </w:tblPrEx>
        <w:trPr>
          <w:trHeight w:val="231" w:hRule="atLeast"/>
          <w:tblHeader/>
        </w:trPr>
        <w:tc>
          <w:tcPr>
            <w:tcW w:type="dxa" w:w="9359"/>
            <w:gridSpan w:val="4"/>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vertAlign w:val="baseline"/>
              </w:rPr>
              <w:t>Requirements - Demolition of Structures</w:t>
            </w:r>
          </w:p>
        </w:tc>
      </w:tr>
      <w:tr>
        <w:tblPrEx>
          <w:shd w:val="clear" w:color="auto" w:fill="bdc0bf"/>
        </w:tblPrEx>
        <w:trPr>
          <w:trHeight w:val="284" w:hRule="atLeast"/>
          <w:tblHeader/>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0"/>
              <w:left w:type="dxa" w:w="40"/>
              <w:bottom w:type="dxa" w:w="40"/>
              <w:right w:type="dxa" w:w="40"/>
            </w:tcMar>
            <w:vAlign w:val="center"/>
          </w:tcPr>
          <w:p>
            <w:pPr>
              <w:pStyle w:val="Body C"/>
            </w:pPr>
            <w:r>
              <w:rPr>
                <w:rFonts w:ascii="Times New Roman" w:hAnsi="Times New Roman"/>
                <w:sz w:val="18"/>
                <w:szCs w:val="18"/>
                <w:rtl w:val="0"/>
              </w:rPr>
              <w:t>Facility Number</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0"/>
              <w:left w:type="dxa" w:w="40"/>
              <w:bottom w:type="dxa" w:w="40"/>
              <w:right w:type="dxa" w:w="40"/>
            </w:tcMar>
            <w:vAlign w:val="center"/>
          </w:tcPr>
          <w:p>
            <w:pPr>
              <w:pStyle w:val="Body C"/>
            </w:pPr>
            <w:r>
              <w:rPr>
                <w:rFonts w:ascii="Times New Roman" w:hAnsi="Times New Roman"/>
                <w:sz w:val="18"/>
                <w:szCs w:val="18"/>
                <w:rtl w:val="0"/>
              </w:rPr>
              <w:t>Facility Type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0"/>
              <w:left w:type="dxa" w:w="40"/>
              <w:bottom w:type="dxa" w:w="40"/>
              <w:right w:type="dxa" w:w="40"/>
            </w:tcMar>
            <w:vAlign w:val="center"/>
          </w:tcPr>
          <w:p>
            <w:pPr>
              <w:pStyle w:val="Body C"/>
            </w:pPr>
            <w:r>
              <w:rPr>
                <w:rFonts w:ascii="Times New Roman" w:hAnsi="Times New Roman"/>
                <w:sz w:val="18"/>
                <w:szCs w:val="18"/>
                <w:rtl w:val="0"/>
              </w:rPr>
              <w:t>UOM</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0"/>
              <w:left w:type="dxa" w:w="40"/>
              <w:bottom w:type="dxa" w:w="40"/>
              <w:right w:type="dxa" w:w="40"/>
            </w:tcMar>
            <w:vAlign w:val="center"/>
          </w:tcPr>
          <w:p>
            <w:pPr>
              <w:pStyle w:val="Body C"/>
            </w:pPr>
            <w:r>
              <w:rPr>
                <w:rFonts w:ascii="Times New Roman" w:hAnsi="Times New Roman"/>
                <w:sz w:val="18"/>
                <w:szCs w:val="18"/>
                <w:rtl w:val="0"/>
              </w:rPr>
              <w:t># of Units</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H4654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43,067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H4812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42,912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H4817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42,912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H5117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32,184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H4952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32,316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H5214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32,184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H5245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32,316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H5412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42,912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H5448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43,067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H5454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43,067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H5752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32,316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H5812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42,912 </w:t>
            </w:r>
          </w:p>
        </w:tc>
      </w:tr>
      <w:tr>
        <w:tblPrEx>
          <w:shd w:val="clear" w:color="auto" w:fill="auto"/>
        </w:tblPrEx>
        <w:trPr>
          <w:trHeight w:val="275" w:hRule="atLeast"/>
        </w:trPr>
        <w:tc>
          <w:tcPr>
            <w:tcW w:type="dxa" w:w="9359"/>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0"/>
              <w:left w:type="dxa" w:w="40"/>
              <w:bottom w:type="dxa" w:w="40"/>
              <w:right w:type="dxa" w:w="40"/>
            </w:tcMar>
            <w:vAlign w:val="center"/>
          </w:tcPr>
          <w:p>
            <w:pPr>
              <w:pStyle w:val="Body C"/>
              <w:jc w:val="center"/>
            </w:pPr>
            <w:r>
              <w:rPr>
                <w:rFonts w:ascii="Times New Roman" w:hAnsi="Times New Roman"/>
                <w:b w:val="1"/>
                <w:bCs w:val="1"/>
                <w:sz w:val="18"/>
                <w:szCs w:val="18"/>
                <w:rtl w:val="0"/>
              </w:rPr>
              <w:t>Option 1</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A5626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A5627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A5628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A5630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A5633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1,195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A5635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A5636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A5720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1,296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A5721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1,346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A5722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1,346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A5723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1,341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A5724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1,339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A5725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1,339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A5726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1,296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A5727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1,341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A5728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1,346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A5730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1,346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A5731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1,346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A5732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1,346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A5733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1,030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A5735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992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M2338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1,296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M2340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1,296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M2342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1,296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M2343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1,296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M2345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1,296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M2346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1,296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M2348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1,296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M2350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1,296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M2351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1,296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M2353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1,296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M2356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M2357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M2359</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M2360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2,360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M2545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30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M2640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M2642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M2646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M2650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M2651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M2653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M5044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3,466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M5051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7,670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J1303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49,424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M6142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2,892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M6143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2,892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M6146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2,892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M6148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2,892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M6150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2,892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M6433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M6438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M6445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M6450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M6733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2,537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M6746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M6748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M6750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M6751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4,720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13151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481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21414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6,312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21817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4,658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69241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1,600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91765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3,685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C7845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4,515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D2919</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11,361 </w:t>
            </w:r>
          </w:p>
        </w:tc>
      </w:tr>
      <w:tr>
        <w:tblPrEx>
          <w:shd w:val="clear" w:color="auto" w:fill="auto"/>
        </w:tblPrEx>
        <w:trPr>
          <w:trHeight w:val="275" w:hRule="atLeast"/>
        </w:trPr>
        <w:tc>
          <w:tcPr>
            <w:tcW w:type="dxa" w:w="9359"/>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0"/>
              <w:left w:type="dxa" w:w="40"/>
              <w:bottom w:type="dxa" w:w="40"/>
              <w:right w:type="dxa" w:w="40"/>
            </w:tcMar>
            <w:vAlign w:val="center"/>
          </w:tcPr>
          <w:p>
            <w:pPr>
              <w:pStyle w:val="Body C"/>
              <w:jc w:val="center"/>
            </w:pPr>
            <w:r>
              <w:rPr>
                <w:rFonts w:ascii="Times New Roman" w:hAnsi="Times New Roman"/>
                <w:b w:val="1"/>
                <w:bCs w:val="1"/>
                <w:sz w:val="18"/>
                <w:szCs w:val="18"/>
                <w:rtl w:val="0"/>
              </w:rPr>
              <w:t>Option 2</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P2341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252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D1910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1,188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E4325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13,682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N5204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144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15632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270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238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1,275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239</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140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717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8,500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X6088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252 </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75012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75015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EA</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 xml:space="preserve"> </w:t>
              <w:tab/>
              <w:t xml:space="preserve">1 </w:t>
            </w:r>
          </w:p>
        </w:tc>
      </w:tr>
      <w:tr>
        <w:tblPrEx>
          <w:shd w:val="clear" w:color="auto" w:fill="auto"/>
        </w:tblPrEx>
        <w:trPr>
          <w:trHeight w:val="275" w:hRule="atLeast"/>
        </w:trPr>
        <w:tc>
          <w:tcPr>
            <w:tcW w:type="dxa" w:w="9359"/>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0"/>
              <w:left w:type="dxa" w:w="40"/>
              <w:bottom w:type="dxa" w:w="40"/>
              <w:right w:type="dxa" w:w="40"/>
            </w:tcMar>
            <w:vAlign w:val="center"/>
          </w:tcPr>
          <w:p>
            <w:pPr>
              <w:pStyle w:val="Body C"/>
              <w:jc w:val="center"/>
            </w:pPr>
            <w:r>
              <w:rPr>
                <w:rFonts w:ascii="Times New Roman" w:hAnsi="Times New Roman"/>
                <w:b w:val="1"/>
                <w:bCs w:val="1"/>
                <w:sz w:val="18"/>
                <w:szCs w:val="18"/>
                <w:rtl w:val="0"/>
              </w:rPr>
              <w:t>Option 3</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A6273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15,540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A6372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15,540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31710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31810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31910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32010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32011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32111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32209</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1,700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32211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32212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32310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32311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32312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32411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32413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32512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32513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32525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11,147</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32614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32615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32712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32713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32714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32715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32716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32717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32718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32814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1,700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32819</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32820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32821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32911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32920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1,700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32922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33010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33011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33012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33021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33113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33114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33115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33121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33214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33216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33217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33221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33314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33315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33316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33317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33321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33418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33421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33519</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33520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33620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33621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7,600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33718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1,700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31313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5,500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31314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6,144</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31315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7,000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31317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6,144</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31318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7,000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31320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6,300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31321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6,300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31322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7,000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31324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5,500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31325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7,000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31327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6,144</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31328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6,300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31413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5,500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31414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6,300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31415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6,144</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31417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6,144</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31418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6,144</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31420</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6,300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31421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6,300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31422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6,144</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31424</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5,500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31425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6,300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31426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6,300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31428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6,300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31721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5,500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31722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5,500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31723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6,144</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31725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5,500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31726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5,500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31727</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7,040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31821</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6,144</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31822</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6,144</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31823</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7,000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31825</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5,500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31826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6,144</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31828</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7,000</w:t>
            </w:r>
          </w:p>
        </w:tc>
      </w:tr>
      <w:tr>
        <w:tblPrEx>
          <w:shd w:val="clear" w:color="auto" w:fill="auto"/>
        </w:tblPrEx>
        <w:trPr>
          <w:trHeight w:val="284"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32126</w:t>
            </w:r>
          </w:p>
        </w:tc>
        <w:tc>
          <w:tcPr>
            <w:tcW w:type="dxa" w:w="501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Body C"/>
            </w:pPr>
            <w:r>
              <w:rPr>
                <w:rFonts w:ascii="Times New Roman" w:hAnsi="Times New Roman"/>
                <w:sz w:val="18"/>
                <w:szCs w:val="18"/>
                <w:rtl w:val="0"/>
              </w:rPr>
              <w:t>200</w:t>
            </w:r>
          </w:p>
        </w:tc>
      </w:tr>
    </w:tbl>
    <w:p>
      <w:pPr>
        <w:pStyle w:val="Body C"/>
        <w:widowControl w:val="0"/>
      </w:pPr>
    </w:p>
    <w:p>
      <w:pPr>
        <w:pStyle w:val="Body C"/>
      </w:pPr>
      <w:r>
        <w:rPr>
          <w:rStyle w:val="None"/>
          <w:rtl w:val="0"/>
          <w:lang w:val="en-US"/>
        </w:rPr>
        <w:t xml:space="preserve">From site visit and Pre-Demolition Survey Reports, we expect to encounter asbestos containing material ACM in the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 All work we perform will comply with applicable codes and standards, as identified in the </w:t>
      </w:r>
      <w:r>
        <w:rPr>
          <w:rStyle w:val="None"/>
          <w:rtl w:val="0"/>
          <w:lang w:val="en-US"/>
        </w:rPr>
        <w:t>PWS</w:t>
      </w:r>
      <w:r>
        <w:rPr>
          <w:rStyle w:val="None"/>
          <w:rtl w:val="0"/>
          <w:lang w:val="en-US"/>
        </w:rPr>
        <w:t xml:space="preserve">. Technical Specifications will be edited from the Unified Facility Guide Specifications (UFGS) format (from Whole Building Design Guide.org) coordinated with the required disciplines, specifically Section 02 41 00 Demolition and Deconstruction. </w:t>
      </w:r>
    </w:p>
    <w:p>
      <w:pPr>
        <w:pStyle w:val="Heading 2"/>
        <w:suppressAutoHyphens w:val="1"/>
      </w:pPr>
      <w:bookmarkStart w:name="_Toc1" w:id="1"/>
      <w:r>
        <w:rPr>
          <w:rStyle w:val="None"/>
          <w:rtl w:val="0"/>
          <w:lang w:val="en-US"/>
        </w:rPr>
        <w:t xml:space="preserve">Table 1. Hazardous </w:t>
      </w:r>
      <w:r>
        <w:rPr>
          <w:rStyle w:val="None"/>
          <w:rtl w:val="0"/>
          <w:lang w:val="en-US"/>
        </w:rPr>
        <w:t>Material Abatement Projected Difficulty per Location</w:t>
      </w:r>
      <w:bookmarkEnd w:id="1"/>
    </w:p>
    <w:p>
      <w:pPr>
        <w:pStyle w:val="Body C"/>
      </w:pPr>
    </w:p>
    <w:p>
      <w:pPr>
        <w:pStyle w:val="Body C"/>
      </w:pPr>
    </w:p>
    <w:p>
      <w:pPr>
        <w:pStyle w:val="Body C"/>
      </w:pPr>
    </w:p>
    <w:p>
      <w:pPr>
        <w:pStyle w:val="Body C"/>
      </w:pPr>
      <w:r>
        <w:rPr>
          <w:rtl w:val="0"/>
        </w:rPr>
        <w:t xml:space="preserve">Manpower and PCM sampling needs are estimated in Table 2; this table only lists structures shown to contain ACM in the pre-demolition reports. The abatement team will consist of </w:t>
      </w:r>
      <w:r>
        <w:rPr>
          <w:rtl w:val="0"/>
        </w:rPr>
        <w:t>a</w:t>
      </w:r>
      <w:r>
        <w:rPr>
          <w:rtl w:val="0"/>
        </w:rPr>
        <w:t xml:space="preserve"> supervisor and trained abatement workers. This team will systematically move from structure to structure removing hazardous materials and enabling subsequent site preparation and demolition. ORM labor is included in Table 5 (demolition section).</w:t>
      </w:r>
    </w:p>
    <w:p>
      <w:pPr>
        <w:pStyle w:val="Heading 2"/>
        <w:suppressAutoHyphens w:val="1"/>
      </w:pPr>
      <w:bookmarkStart w:name="_Toc2" w:id="2"/>
      <w:r>
        <w:rPr>
          <w:rStyle w:val="None"/>
          <w:rtl w:val="0"/>
          <w:lang w:val="en-US"/>
        </w:rPr>
        <w:t xml:space="preserve">Table 2. Hazardous </w:t>
      </w:r>
      <w:r>
        <w:rPr>
          <w:rStyle w:val="None"/>
          <w:rtl w:val="0"/>
          <w:lang w:val="en-US"/>
        </w:rPr>
        <w:t>Material Abatement Manpower Projection</w:t>
      </w:r>
      <w:bookmarkEnd w:id="2"/>
    </w:p>
    <w:p>
      <w:pPr>
        <w:pStyle w:val="Body C"/>
      </w:pPr>
    </w:p>
    <w:p>
      <w:pPr>
        <w:pStyle w:val="Body C"/>
      </w:pPr>
    </w:p>
    <w:p>
      <w:pPr>
        <w:pStyle w:val="Body C"/>
      </w:pPr>
    </w:p>
    <w:p>
      <w:pPr>
        <w:pStyle w:val="Body C"/>
      </w:pPr>
    </w:p>
    <w:p>
      <w:pPr>
        <w:pStyle w:val="Body C"/>
      </w:pPr>
      <w:r>
        <w:rPr>
          <w:rtl w:val="0"/>
        </w:rPr>
        <w:t>All Phase will self-perform all work associated with this task order. We will also call upon specialty consultants, vendors, and waste handlers to assist as needed. These entities are summarized in Table 3.</w:t>
      </w:r>
    </w:p>
    <w:p>
      <w:pPr>
        <w:pStyle w:val="Heading 2"/>
        <w:keepNext w:val="0"/>
        <w:widowControl w:val="0"/>
        <w:suppressAutoHyphens w:val="1"/>
      </w:pPr>
      <w:bookmarkStart w:name="_Toc3" w:id="3"/>
      <w:r>
        <w:rPr>
          <w:rStyle w:val="None"/>
          <w:rtl w:val="0"/>
          <w:lang w:val="en-US"/>
        </w:rPr>
        <w:t xml:space="preserve">Table 3. </w:t>
      </w:r>
      <w:commentRangeStart w:id="4"/>
      <w:r>
        <w:rPr>
          <w:rStyle w:val="None"/>
          <w:rtl w:val="0"/>
          <w:lang w:val="en-US"/>
        </w:rPr>
        <w:t>Subcontractors</w:t>
      </w:r>
      <w:commentRangeEnd w:id="4"/>
      <w:r>
        <w:commentReference w:id="4"/>
      </w:r>
      <w:r>
        <w:rPr>
          <w:rStyle w:val="None"/>
          <w:rtl w:val="0"/>
          <w:lang w:val="en-US"/>
        </w:rPr>
        <w:t xml:space="preserve">, </w:t>
      </w:r>
      <w:r>
        <w:rPr>
          <w:rStyle w:val="None"/>
          <w:rtl w:val="0"/>
          <w:lang w:val="en-US"/>
        </w:rPr>
        <w:t>Consultants, Vendors, And Waste Handlers</w:t>
      </w:r>
      <w:bookmarkEnd w:id="3"/>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7"/>
        <w:gridCol w:w="3355"/>
        <w:gridCol w:w="2878"/>
      </w:tblGrid>
      <w:tr>
        <w:tblPrEx>
          <w:shd w:val="clear" w:color="auto" w:fill="cadfff"/>
        </w:tblPrEx>
        <w:trPr>
          <w:trHeight w:val="332" w:hRule="atLeast"/>
        </w:trPr>
        <w:tc>
          <w:tcPr>
            <w:tcW w:type="dxa" w:w="31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b w:val="1"/>
                <w:bCs w:val="1"/>
                <w:sz w:val="18"/>
                <w:szCs w:val="18"/>
                <w:u w:color="ffffff"/>
                <w:rtl w:val="0"/>
                <w:lang w:val="en-US"/>
              </w:rPr>
              <w:t>Expertise</w:t>
            </w:r>
          </w:p>
        </w:tc>
        <w:tc>
          <w:tcPr>
            <w:tcW w:type="dxa" w:w="33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b w:val="1"/>
                <w:bCs w:val="1"/>
                <w:sz w:val="18"/>
                <w:szCs w:val="18"/>
                <w:u w:color="ffffff"/>
                <w:rtl w:val="0"/>
                <w:lang w:val="en-US"/>
              </w:rPr>
              <w:t>Company</w:t>
            </w:r>
          </w:p>
        </w:tc>
        <w:tc>
          <w:tcPr>
            <w:tcW w:type="dxa" w:w="28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b w:val="1"/>
                <w:bCs w:val="1"/>
                <w:sz w:val="18"/>
                <w:szCs w:val="18"/>
                <w:u w:color="ffffff"/>
                <w:rtl w:val="0"/>
                <w:lang w:val="en-US"/>
              </w:rPr>
              <w:t>Location</w:t>
            </w:r>
          </w:p>
        </w:tc>
      </w:tr>
      <w:tr>
        <w:tblPrEx>
          <w:shd w:val="clear" w:color="auto" w:fill="cadfff"/>
        </w:tblPrEx>
        <w:trPr>
          <w:trHeight w:val="512" w:hRule="atLeast"/>
        </w:trPr>
        <w:tc>
          <w:tcPr>
            <w:tcW w:type="dxa" w:w="3127"/>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 xml:space="preserve">State SWPPP </w:t>
            </w:r>
            <w:r>
              <w:rPr>
                <w:rStyle w:val="None"/>
                <w:b w:val="1"/>
                <w:bCs w:val="1"/>
                <w:sz w:val="18"/>
                <w:szCs w:val="18"/>
                <w:rtl w:val="0"/>
                <w:lang w:val="en-US"/>
              </w:rPr>
              <w:t xml:space="preserve">– </w:t>
            </w:r>
            <w:r>
              <w:rPr>
                <w:rStyle w:val="None"/>
                <w:b w:val="1"/>
                <w:bCs w:val="1"/>
                <w:sz w:val="18"/>
                <w:szCs w:val="18"/>
                <w:rtl w:val="0"/>
                <w:lang w:val="en-US"/>
              </w:rPr>
              <w:t>Qualified Stormwater Designer</w:t>
            </w:r>
          </w:p>
        </w:tc>
        <w:tc>
          <w:tcPr>
            <w:tcW w:type="dxa" w:w="335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H2E Consulting</w:t>
            </w:r>
          </w:p>
        </w:tc>
        <w:tc>
          <w:tcPr>
            <w:tcW w:type="dxa" w:w="287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San Francisco, CA</w:t>
            </w:r>
          </w:p>
        </w:tc>
      </w:tr>
      <w:tr>
        <w:tblPrEx>
          <w:shd w:val="clear" w:color="auto" w:fill="cadfff"/>
        </w:tblPrEx>
        <w:trPr>
          <w:trHeight w:val="4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State of California Certified Biologist</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Jacobs Engineering Group, Inc.</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Pasadena, CA</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commentReference w:id="5"/>
            </w:r>
            <w:r>
              <w:rPr>
                <w:rStyle w:val="None"/>
                <w:b w:val="1"/>
                <w:bCs w:val="1"/>
                <w:sz w:val="18"/>
                <w:szCs w:val="18"/>
                <w:rtl w:val="0"/>
                <w:lang w:val="en-US"/>
              </w:rPr>
              <w:t>CIH</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Safety equipment</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Needham</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Framingham, MA</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Refrigerant recovery</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Rapid Recovery</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Nationwide</w:t>
            </w:r>
          </w:p>
        </w:tc>
      </w:tr>
      <w:tr>
        <w:tblPrEx>
          <w:shd w:val="clear" w:color="auto" w:fill="cadfff"/>
        </w:tblPrEx>
        <w:trPr>
          <w:trHeight w:val="5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sz w:val="18"/>
                <w:szCs w:val="18"/>
              </w:rPr>
            </w:pPr>
            <w:r>
              <w:rPr>
                <w:rStyle w:val="None"/>
                <w:b w:val="1"/>
                <w:bCs w:val="1"/>
                <w:sz w:val="18"/>
                <w:szCs w:val="18"/>
                <w:rtl w:val="0"/>
                <w:lang w:val="en-US"/>
              </w:rPr>
              <w:t>Landfill</w:t>
            </w:r>
          </w:p>
          <w:p>
            <w:pPr>
              <w:pStyle w:val="Body C"/>
              <w:bidi w:val="0"/>
              <w:spacing w:after="0" w:line="240" w:lineRule="auto"/>
              <w:ind w:left="0" w:right="0" w:firstLine="0"/>
              <w:jc w:val="left"/>
              <w:outlineLvl w:val="0"/>
              <w:rPr>
                <w:rtl w:val="0"/>
              </w:rPr>
            </w:pPr>
            <w:r>
              <w:rPr>
                <w:rStyle w:val="None"/>
                <w:sz w:val="18"/>
                <w:szCs w:val="18"/>
                <w:rtl w:val="0"/>
                <w:lang w:val="en-US"/>
              </w:rPr>
              <w:t>C&amp;D</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t>
            </w:r>
          </w:p>
        </w:tc>
      </w:tr>
      <w:tr>
        <w:tblPrEx>
          <w:shd w:val="clear" w:color="auto" w:fill="cadfff"/>
        </w:tblPrEx>
        <w:trPr>
          <w:trHeight w:val="5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sz w:val="18"/>
                <w:szCs w:val="18"/>
              </w:rPr>
            </w:pPr>
            <w:r>
              <w:rPr>
                <w:rStyle w:val="None"/>
                <w:b w:val="1"/>
                <w:bCs w:val="1"/>
                <w:sz w:val="18"/>
                <w:szCs w:val="18"/>
                <w:rtl w:val="0"/>
                <w:lang w:val="en-US"/>
              </w:rPr>
              <w:t>Landfill</w:t>
            </w:r>
          </w:p>
          <w:p>
            <w:pPr>
              <w:pStyle w:val="Body C"/>
              <w:bidi w:val="0"/>
              <w:spacing w:after="0" w:line="240" w:lineRule="auto"/>
              <w:ind w:left="0" w:right="0" w:firstLine="0"/>
              <w:jc w:val="left"/>
              <w:outlineLvl w:val="0"/>
              <w:rPr>
                <w:rtl w:val="0"/>
              </w:rPr>
            </w:pPr>
            <w:r>
              <w:rPr>
                <w:rStyle w:val="None"/>
                <w:sz w:val="18"/>
                <w:szCs w:val="18"/>
                <w:rtl w:val="0"/>
                <w:lang w:val="en-US"/>
              </w:rPr>
              <w:t>friable + non-friable asbestos</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Concrete and Asphalt Recycling</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Universal Wastes</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Veolia ES Technical Solutions</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Nationwide</w:t>
            </w:r>
          </w:p>
        </w:tc>
      </w:tr>
      <w:tr>
        <w:tblPrEx>
          <w:shd w:val="clear" w:color="auto" w:fill="cadfff"/>
        </w:tblPrEx>
        <w:trPr>
          <w:trHeight w:val="5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Metals Salvage</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Topsoil / Backfill</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t>
            </w:r>
          </w:p>
        </w:tc>
      </w:tr>
    </w:tbl>
    <w:p>
      <w:pPr>
        <w:pStyle w:val="Heading 2"/>
        <w:keepNext w:val="0"/>
        <w:widowControl w:val="0"/>
        <w:suppressAutoHyphens w:val="1"/>
        <w:ind w:left="216" w:hanging="216"/>
      </w:pPr>
    </w:p>
    <w:p>
      <w:pPr>
        <w:pStyle w:val="Body C"/>
      </w:pPr>
    </w:p>
    <w:p>
      <w:pPr>
        <w:pStyle w:val="Heading"/>
        <w:suppressAutoHyphens w:val="1"/>
      </w:pPr>
      <w:bookmarkStart w:name="_Toc4" w:id="6"/>
      <w:r>
        <w:rPr>
          <w:rStyle w:val="None"/>
          <w:rtl w:val="0"/>
          <w:lang w:val="en-US"/>
        </w:rPr>
        <w:t>1. Project Planning</w:t>
      </w:r>
      <w:bookmarkEnd w:id="6"/>
    </w:p>
    <w:p>
      <w:pPr>
        <w:pStyle w:val="Body C"/>
      </w:pPr>
      <w:r>
        <w:rPr>
          <w:rtl w:val="0"/>
        </w:rPr>
        <w:t>All Phase will submit a site-specific demolition plan, drawings, and specifications for the execution of this project, four (4) weeks prior to start of work. The demolition activities will be performed in accordance with the submitted and approved documents</w:t>
      </w:r>
      <w:r>
        <w:rPr>
          <w:rtl w:val="0"/>
        </w:rPr>
        <w:t xml:space="preserve"> after receipt of the NTP</w:t>
      </w:r>
      <w:r>
        <w:rPr>
          <w:rtl w:val="0"/>
        </w:rPr>
        <w:t>. All Phase will be responsible for controlling access to the site and for always maintaining a secure site.</w:t>
      </w:r>
    </w:p>
    <w:p>
      <w:pPr>
        <w:pStyle w:val="Body C"/>
      </w:pPr>
      <w:r>
        <w:rPr>
          <w:rStyle w:val="None"/>
          <w:b w:val="1"/>
          <w:bCs w:val="1"/>
          <w:i w:val="1"/>
          <w:iCs w:val="1"/>
          <w:rtl w:val="0"/>
          <w:lang w:val="en-US"/>
        </w:rPr>
        <w:t>Design</w:t>
      </w:r>
      <w:r>
        <w:rPr>
          <w:rStyle w:val="None"/>
          <w:b w:val="1"/>
          <w:bCs w:val="1"/>
          <w:rtl w:val="0"/>
          <w:lang w:val="en-US"/>
        </w:rPr>
        <w:t xml:space="preserve"> </w:t>
      </w:r>
      <w:r>
        <w:rPr>
          <w:rStyle w:val="None"/>
          <w:b w:val="1"/>
          <w:bCs w:val="1"/>
          <w:i w:val="1"/>
          <w:iCs w:val="1"/>
          <w:rtl w:val="0"/>
          <w:lang w:val="en-US"/>
        </w:rPr>
        <w:t>Considerations</w:t>
      </w:r>
      <w:r>
        <w:rPr>
          <w:rtl w:val="0"/>
        </w:rPr>
        <w:t>: All Phase will utilize available information provided as the basis of the demolition for the proposed project and shall include contractor site visit for investigation. All Phase will be responsible for obtaining additional information required to execute the demolition. This shall include retrieving from the government as-builts, site measurements, surveys, tests, and other material necessary to provide the Contractor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shall have been provided by the Government. The design documents will require the acceptance of the Government prior to initiation. Meeting review minutes and design review comment responses are the responsibility of the Architect/Engineer/All Phase and turned over to the government for review and filing. Meetings on construction status will be as frequently as needed.</w:t>
      </w:r>
    </w:p>
    <w:p>
      <w:pPr>
        <w:pStyle w:val="Body C"/>
      </w:pPr>
      <w:r>
        <w:rPr>
          <w:rtl w:val="0"/>
        </w:rPr>
        <w:t>Demolition Drawings will be prepared in AutoCAD. Demolition Drawings and Specifications will be delivered for review, comment, and approval in an iterative and incremental process. Full size Demolition drawings will be 36" x 24". Reduced drawings will be 11" x 17". The All Phase project architect/engineer will stamp, date, and sign all final drawings prior to final base representative signatures. All applicable base activity representatives will sign the review block on the cover page of the final Demo drawings.</w:t>
      </w:r>
    </w:p>
    <w:p>
      <w:pPr>
        <w:pStyle w:val="Heading"/>
        <w:suppressAutoHyphens w:val="1"/>
      </w:pPr>
      <w:bookmarkStart w:name="_Toc5" w:id="7"/>
      <w:r>
        <w:rPr>
          <w:rStyle w:val="None"/>
          <w:rtl w:val="0"/>
          <w:lang w:val="en-US"/>
        </w:rPr>
        <w:t>2. Abatement Approach and Disposal</w:t>
      </w:r>
      <w:bookmarkEnd w:id="7"/>
    </w:p>
    <w:p>
      <w:pPr>
        <w:pStyle w:val="Body C"/>
      </w:pPr>
      <w:r>
        <w:rPr>
          <w:rtl w:val="0"/>
        </w:rPr>
        <w:t xml:space="preserve">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w:t>
      </w:r>
      <w:r>
        <w:rPr>
          <w:rtl w:val="0"/>
        </w:rPr>
        <w:t xml:space="preserve">extensive </w:t>
      </w:r>
      <w:r>
        <w:rPr>
          <w:rtl w:val="0"/>
        </w:rPr>
        <w:t>experience dealing with such hazardous materials.</w:t>
      </w:r>
    </w:p>
    <w:p>
      <w:pPr>
        <w:pStyle w:val="Body C"/>
      </w:pPr>
      <w:r>
        <w:rPr>
          <w:rtl w:val="0"/>
        </w:rPr>
        <w:t>Other hazardous/controlled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 Lead-Containing Paint (Paint with Lead but Not Considered Lead-Based Painted) is regulated by OSHA, for occupational exposure to lead containing materials during construction activities. Any occurrence of lead in construction materials could be potentially hazardous during activities that may impact a lead containing material. Lead-based painted components will be handled in accordance with OSHA and HUD.</w:t>
      </w:r>
    </w:p>
    <w:p>
      <w:pPr>
        <w:pStyle w:val="Heading 2"/>
        <w:suppressAutoHyphens w:val="1"/>
      </w:pPr>
      <w:bookmarkStart w:name="_Toc6" w:id="8"/>
      <w:r>
        <w:rPr>
          <w:rStyle w:val="None"/>
          <w:rtl w:val="0"/>
          <w:lang w:val="en-US"/>
        </w:rPr>
        <w:t>Abatement and Disposal of Asbestos Containing Material</w:t>
      </w:r>
      <w:bookmarkEnd w:id="8"/>
    </w:p>
    <w:p>
      <w:pPr>
        <w:pStyle w:val="Body C"/>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r>
        <w:rPr>
          <w:rtl w:val="0"/>
        </w:rPr>
        <w:t xml:space="preserve"> </w:t>
      </w:r>
      <w:r>
        <w:rPr>
          <w:rtl w:val="0"/>
        </w:rPr>
        <w:t>Asbestos abatement will require special containment equipment including personnel and waste decontamination chambers, water filtering equipment to 20 micron and 5 microns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We will request 8-hour turnaround time from our laboratory for all al air test results to minimize delays. Upon passing a final visual inspection and air clearance testing, then the building will be cleared for demolition.</w:t>
      </w:r>
    </w:p>
    <w:p>
      <w:pPr>
        <w:pStyle w:val="Body C"/>
      </w:pPr>
      <w:r>
        <w:rPr>
          <w:rtl w:val="0"/>
        </w:rPr>
        <w:t>Full enclosure method for friable materials (e.g., pipe insulation, floor tile, and mastic, joint compound, tank insulation, boiler, and duct insulation): These materials will be removed as OSHA Class I. All critical openings such as windows, doors, vents, etc.</w:t>
      </w:r>
      <w:r>
        <w:rPr>
          <w:rtl w:val="0"/>
        </w:rPr>
        <w:t xml:space="preserve">, </w:t>
      </w:r>
      <w:r>
        <w:rPr>
          <w:rtl w:val="0"/>
        </w:rPr>
        <w:t>will be sealed with two layers of 6-mil poly and duct tape. All walls</w:t>
      </w:r>
      <w:r>
        <w:rPr>
          <w:rtl w:val="0"/>
        </w:rPr>
        <w:t xml:space="preserve">’ </w:t>
      </w:r>
      <w:r>
        <w:rPr>
          <w:rtl w:val="0"/>
        </w:rPr>
        <w:t>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C"/>
      </w:pPr>
      <w:r>
        <w:rPr>
          <w:rtl w:val="0"/>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C"/>
      </w:pPr>
      <w:r>
        <w:rPr>
          <w:rtl w:val="0"/>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 US EPA approved removal encapsulant to permanently bind any remaining microscopic fibers.</w:t>
      </w:r>
    </w:p>
    <w:p>
      <w:pPr>
        <w:pStyle w:val="Body C"/>
      </w:pPr>
      <w:r>
        <w:rPr>
          <w:rtl w:val="0"/>
        </w:rPr>
        <w:t>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access. 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w:t>
      </w:r>
      <w:r>
        <w:rPr>
          <w:rtl w:val="0"/>
        </w:rPr>
        <w:t xml:space="preserve"> </w:t>
      </w:r>
      <w:r>
        <w:rPr>
          <w:rtl w:val="0"/>
        </w:rPr>
        <w:t>Roofing material as well as material above the worker</w:t>
      </w:r>
      <w:r>
        <w:rPr>
          <w:rStyle w:val="None"/>
          <w:rFonts w:ascii="Arial Unicode MS" w:hAnsi="Arial Unicode MS" w:hint="default"/>
          <w:rtl w:val="0"/>
          <w:lang w:val="en-US"/>
        </w:rPr>
        <w:t>’</w:t>
      </w:r>
      <w:r>
        <w:rPr>
          <w:rtl w:val="0"/>
        </w:rPr>
        <w:t xml:space="preserve">s reach will be accessed in compliance with the USACE Fall Protection Guide. A Fall Protection survey will be completed by the SSHO, and a Fall Protection &amp; Prevention plan created for the site-specific fall hazards. All materials will be adequately wet and kept wet during removal. </w:t>
      </w:r>
    </w:p>
    <w:p>
      <w:pPr>
        <w:pStyle w:val="Body C"/>
      </w:pPr>
      <w:r>
        <w:rPr>
          <w:rtl w:val="0"/>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C"/>
      </w:pPr>
      <w:r>
        <w:rPr>
          <w:rStyle w:val="None"/>
          <w:b w:val="1"/>
          <w:bCs w:val="1"/>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unit consists of a clean room, washroom, and equipment room separated by airlocks. The airlocks are formed by overlapping three sheets of polyethylene at the exit of each room, and three sheets at the entrance to the next room with 2-3 feet of space between barriers.</w:t>
      </w:r>
    </w:p>
    <w:p>
      <w:pPr>
        <w:pStyle w:val="Body C"/>
      </w:pPr>
      <w:r>
        <w:rPr>
          <w:rStyle w:val="None"/>
          <w:b w:val="1"/>
          <w:bCs w:val="1"/>
          <w:i w:val="1"/>
          <w:iCs w:val="1"/>
          <w:rtl w:val="0"/>
          <w:lang w:val="en-US"/>
        </w:rPr>
        <w:t>Clean Room</w:t>
      </w:r>
      <w:r>
        <w:rPr>
          <w:rtl w:val="0"/>
        </w:rPr>
        <w:t>: No asbestos contaminated items will enter this room. Workers use this area to suit up, store street clothes, and put on respiratory protection before they enter the work area, and to dress in clean clothes after washing.</w:t>
      </w:r>
    </w:p>
    <w:p>
      <w:pPr>
        <w:pStyle w:val="Body C"/>
      </w:pPr>
      <w:r>
        <w:rPr>
          <w:rStyle w:val="None"/>
          <w:b w:val="1"/>
          <w:bCs w:val="1"/>
          <w:i w:val="1"/>
          <w:iCs w:val="1"/>
          <w:rtl w:val="0"/>
          <w:lang w:val="en-US"/>
        </w:rPr>
        <w:t>Shower Room</w:t>
      </w:r>
      <w:r>
        <w:rPr>
          <w:rtl w:val="0"/>
        </w:rPr>
        <w:t>: Workers pass through the shower room on their way to the removal area and use the shower area on their way out after leaving their contaminated clothing in the equipment room. Wastewater will be collected and treated as asbestos containing material or filtered through a 5-micron filter before disposal into the sanitary sewer. State and local requirements on methods of wastewater disposal vary. All Phase will follow all local and state specifications for handling wastewater.</w:t>
      </w:r>
    </w:p>
    <w:p>
      <w:pPr>
        <w:pStyle w:val="Body C"/>
      </w:pPr>
      <w:r>
        <w:rPr>
          <w:rStyle w:val="None"/>
          <w:b w:val="1"/>
          <w:bCs w:val="1"/>
          <w:i w:val="1"/>
          <w:iCs w:val="1"/>
          <w:rtl w:val="0"/>
          <w:lang w:val="en-US"/>
        </w:rPr>
        <w:t>Equipment Room</w:t>
      </w:r>
      <w:r>
        <w:rPr>
          <w:rtl w:val="0"/>
        </w:rPr>
        <w:t>: This is a contaminated area where equipment, boots, hard hats, goggles, and contaminated work clothes are stored. Workers place disposable clothing such as coveralls, boots, and hoods in bins before leaving this area for the washroom. Respirators are worn until workers enter the washroom and these are then thoroughly soaked with water. The equipment room may require clean up several times daily to prevent asbestos materials from being tracked into the washroom and clean room.</w:t>
      </w:r>
    </w:p>
    <w:p>
      <w:pPr>
        <w:pStyle w:val="Body C"/>
      </w:pPr>
      <w:r>
        <w:rPr>
          <w:rStyle w:val="None"/>
          <w:b w:val="1"/>
          <w:bCs w:val="1"/>
          <w:i w:val="1"/>
          <w:iCs w:val="1"/>
          <w:rtl w:val="0"/>
          <w:lang w:val="en-US"/>
        </w:rPr>
        <w:t>Protective Equipment</w:t>
      </w:r>
      <w:r>
        <w:rPr>
          <w:rtl w:val="0"/>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Style w:val="None"/>
          <w:rFonts w:ascii="Arial Unicode MS" w:hAnsi="Arial Unicode MS" w:hint="default"/>
          <w:rtl w:val="0"/>
          <w:lang w:val="en-US"/>
        </w:rPr>
        <w:t xml:space="preserve">’ </w:t>
      </w:r>
      <w:r>
        <w:rPr>
          <w:rtl w:val="0"/>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C"/>
      </w:pPr>
      <w:r>
        <w:rPr>
          <w:rtl w:val="0"/>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rStyle w:val="None"/>
          <w:b w:val="1"/>
          <w:bCs w:val="1"/>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more than the PELs, or otherwise makes a negative exposure assessment, we will presume that employees are exposed more than the TWA and excursion limit.</w:t>
      </w:r>
    </w:p>
    <w:p>
      <w:pPr>
        <w:pStyle w:val="Body C"/>
      </w:pPr>
      <w:r>
        <w:rPr>
          <w:rStyle w:val="None"/>
          <w:b w:val="1"/>
          <w:bCs w:val="1"/>
          <w:i w:val="1"/>
          <w:iCs w:val="1"/>
          <w:rtl w:val="0"/>
          <w:lang w:val="en-US"/>
        </w:rPr>
        <w:t>Cleanup during Gross Removal</w:t>
      </w:r>
      <w:r>
        <w:rPr>
          <w:rtl w:val="0"/>
        </w:rPr>
        <w:t>: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C"/>
      </w:pPr>
      <w:r>
        <w:rPr>
          <w:rStyle w:val="None"/>
          <w:b w:val="1"/>
          <w:bCs w:val="1"/>
          <w:i w:val="1"/>
          <w:iCs w:val="1"/>
          <w:rtl w:val="0"/>
          <w:lang w:val="en-US"/>
        </w:rPr>
        <w:t>Perform Final Wipe Down of Equipment</w:t>
      </w:r>
      <w:r>
        <w:rPr>
          <w:rtl w:val="0"/>
        </w:rPr>
        <w: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C"/>
      </w:pPr>
      <w:r>
        <w:rPr>
          <w:rStyle w:val="None"/>
          <w:b w:val="1"/>
          <w:bCs w:val="1"/>
          <w:i w:val="1"/>
          <w:iCs w:val="1"/>
          <w:rtl w:val="0"/>
          <w:lang w:val="en-US"/>
        </w:rPr>
        <w:t>Visual Inspection of all Surface Areas</w:t>
      </w:r>
      <w:r>
        <w:rPr>
          <w:rtl w:val="0"/>
        </w:rPr>
        <w:t>: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C"/>
      </w:pPr>
      <w:r>
        <w:rPr>
          <w:rStyle w:val="None"/>
          <w:b w:val="1"/>
          <w:bCs w:val="1"/>
          <w:i w:val="1"/>
          <w:iCs w:val="1"/>
          <w:rtl w:val="0"/>
          <w:lang w:val="en-US"/>
        </w:rPr>
        <w:t>Encapsulation Methods</w:t>
      </w:r>
      <w:r>
        <w:rPr>
          <w:rtl w:val="0"/>
        </w:rPr>
        <w:t>: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low-pressure airless sprayer. All Phase will submit the material safety data sheets (MSDS) for approval.</w:t>
      </w:r>
    </w:p>
    <w:p>
      <w:pPr>
        <w:pStyle w:val="Body C"/>
      </w:pPr>
      <w:r>
        <w:rPr>
          <w:rStyle w:val="None"/>
          <w:b w:val="1"/>
          <w:bCs w:val="1"/>
          <w:i w:val="1"/>
          <w:iCs w:val="1"/>
          <w:rtl w:val="0"/>
          <w:lang w:val="en-US"/>
        </w:rPr>
        <w:t>Final Clearance Monitoring</w:t>
      </w:r>
      <w:r>
        <w:rPr>
          <w:rtl w:val="0"/>
        </w:rPr>
        <w:t>: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C"/>
      </w:pPr>
      <w:r>
        <w:rPr>
          <w:rStyle w:val="None"/>
          <w:b w:val="1"/>
          <w:bCs w:val="1"/>
          <w:i w:val="1"/>
          <w:iCs w:val="1"/>
          <w:rtl w:val="0"/>
          <w:lang w:val="en-US"/>
        </w:rPr>
        <w:t>Training &amp; Medical Surveillance</w:t>
      </w:r>
      <w:r>
        <w:rPr>
          <w:rtl w:val="0"/>
        </w:rPr>
        <w:t>: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C"/>
      </w:pPr>
      <w:r>
        <w:rPr>
          <w:rStyle w:val="None"/>
          <w:b w:val="1"/>
          <w:bCs w:val="1"/>
          <w:i w:val="1"/>
          <w:iCs w:val="1"/>
          <w:rtl w:val="0"/>
          <w:lang w:val="pt-PT"/>
        </w:rPr>
        <w:t>Asbestos Disposition</w:t>
      </w:r>
      <w:r>
        <w:rPr>
          <w:rStyle w:val="None"/>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Heading"/>
        <w:suppressAutoHyphens w:val="1"/>
      </w:pPr>
      <w:bookmarkStart w:name="_Toc7" w:id="9"/>
      <w:r>
        <w:rPr>
          <w:rStyle w:val="None"/>
          <w:rtl w:val="0"/>
          <w:lang w:val="en-US"/>
        </w:rPr>
        <w:t>3. Project Execution</w:t>
      </w:r>
      <w:bookmarkEnd w:id="9"/>
    </w:p>
    <w:p>
      <w:pPr>
        <w:pStyle w:val="Body C"/>
      </w:pPr>
      <w:r>
        <w:rPr>
          <w:rtl w:val="0"/>
        </w:rPr>
        <w:t>At All Phase, we recognize that on-site management requires a chain of different tasks and responsibilities which are followed with great precision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0"/>
          <w:lang w:val="en-US"/>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C"/>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co-ordinate any further setting out conducted by the workforce. The on-site PM will establish and effectively manage task execution and final acceptance procedures and monitor their implementation. The PM will instruct any subcontractors regarding required documentation to be handed over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C"/>
      </w:pPr>
      <w:r>
        <w:rPr>
          <w:rStyle w:val="None"/>
          <w:b w:val="1"/>
          <w:bCs w:val="1"/>
          <w:i w:val="1"/>
          <w:iCs w:val="1"/>
          <w:rtl w:val="0"/>
          <w:lang w:val="en-US"/>
        </w:rPr>
        <w:t>Regulations and Permitting</w:t>
      </w:r>
      <w:r>
        <w:rPr>
          <w:rtl w:val="0"/>
        </w:rPr>
        <w:t>: The work shall comply with applicable Air Force codes and standards, unless otherwise directed. All Phase Superintendents and workers will have their state accreditations to work on this project. All Phase will coordinate removal and disposal of all regulated materials with the state Department of Environmental Protection.</w:t>
      </w:r>
    </w:p>
    <w:p>
      <w:pPr>
        <w:pStyle w:val="Body C"/>
      </w:pPr>
      <w:r>
        <w:rPr>
          <w:rStyle w:val="None"/>
          <w:rtl w:val="0"/>
          <w:lang w:val="en-US"/>
        </w:rPr>
        <w:t xml:space="preserve">In accord with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pPr>
      <w:r>
        <w:rPr>
          <w:rStyle w:val="None"/>
          <w:b w:val="1"/>
          <w:bCs w:val="1"/>
          <w:i w:val="1"/>
          <w:iCs w:val="1"/>
          <w:rtl w:val="0"/>
          <w:lang w:val="nl-NL"/>
        </w:rPr>
        <w:t>Coordination</w:t>
      </w:r>
      <w:r>
        <w:rPr>
          <w:rStyle w:val="None"/>
          <w:rtl w:val="0"/>
          <w:lang w:val="en-US"/>
        </w:rPr>
        <w:t>: During the course of the project, All Phase will keep the CO/COTR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0"/>
          <w:lang w:val="en-US"/>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rStyle w:val="None"/>
          <w:b w:val="1"/>
          <w:bCs w:val="1"/>
          <w:i w:val="1"/>
          <w:iCs w:val="1"/>
          <w:rtl w:val="0"/>
          <w:lang w:val="en-US"/>
        </w:rPr>
        <w:t>Traffic and Work Hours</w:t>
      </w:r>
      <w:r>
        <w:rPr>
          <w:rtl w:val="0"/>
        </w:rPr>
        <w:t>: Haul routes will be identified/approved after award but prior to mobilization.</w:t>
      </w:r>
    </w:p>
    <w:p>
      <w:pPr>
        <w:pStyle w:val="Body C"/>
      </w:pPr>
      <w:r>
        <w:rPr>
          <w:rStyle w:val="None"/>
          <w:b w:val="1"/>
          <w:bCs w:val="1"/>
          <w:i w:val="1"/>
          <w:iCs w:val="1"/>
          <w:rtl w:val="0"/>
          <w:lang w:val="en-US"/>
        </w:rPr>
        <w:t>Staging</w:t>
      </w:r>
      <w:r>
        <w:rPr>
          <w:rtl w:val="0"/>
        </w:rPr>
        <w:t>: We will confirm the precise locations for staging with the CO/COR.</w:t>
      </w:r>
    </w:p>
    <w:p>
      <w:pPr>
        <w:pStyle w:val="Body C"/>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 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pPr>
      <w:r>
        <w:rPr>
          <w:rStyle w:val="None"/>
          <w:b w:val="1"/>
          <w:bCs w:val="1"/>
          <w:i w:val="1"/>
          <w:iCs w:val="1"/>
          <w:rtl w:val="0"/>
          <w:lang w:val="en-US"/>
        </w:rPr>
        <w:t>Ordnance Explosive Safety Support</w:t>
      </w:r>
      <w:r>
        <w:rPr>
          <w:rtl w:val="0"/>
        </w:rPr>
        <w:t xml:space="preserve">: An explosives safety submission (ESS) </w:t>
      </w:r>
      <w:r>
        <w:rPr>
          <w:rtl w:val="0"/>
        </w:rPr>
        <w:t>may be</w:t>
      </w:r>
      <w:r>
        <w:rPr>
          <w:rtl w:val="0"/>
        </w:rPr>
        <w:t xml:space="preserve"> required</w:t>
      </w:r>
      <w:r>
        <w:rPr>
          <w:rtl w:val="0"/>
        </w:rPr>
        <w:t xml:space="preserve"> if UXO is encountered</w:t>
      </w:r>
      <w:r>
        <w:rPr>
          <w:rtl w:val="0"/>
        </w:rPr>
        <w:t>.</w:t>
      </w:r>
    </w:p>
    <w:p>
      <w:pPr>
        <w:pStyle w:val="Body C"/>
      </w:pPr>
      <w:r>
        <w:rPr>
          <w:rStyle w:val="None"/>
          <w:b w:val="1"/>
          <w:bCs w:val="1"/>
          <w:i w:val="1"/>
          <w:iCs w:val="1"/>
          <w:rtl w:val="0"/>
          <w:lang w:val="en-US"/>
        </w:rPr>
        <w:t>Reporting</w:t>
      </w:r>
      <w:r>
        <w:rPr>
          <w:rtl w:val="0"/>
        </w:rPr>
        <w:t>: All Phase will submit a status report via e-mail every week to the Government Project Manager by close of business on the first working day of each week. We will submit a monthly Progress Report not later than the tenth day of the month.</w:t>
      </w:r>
    </w:p>
    <w:p>
      <w:pPr>
        <w:pStyle w:val="Body C"/>
      </w:pPr>
      <w:r>
        <w:rPr>
          <w:rStyle w:val="None"/>
          <w:b w:val="1"/>
          <w:bCs w:val="1"/>
          <w:i w:val="1"/>
          <w:iCs w:val="1"/>
          <w:rtl w:val="0"/>
          <w:lang w:val="en-US"/>
        </w:rPr>
        <w:t>Close-out</w:t>
      </w:r>
      <w:r>
        <w:rPr>
          <w:rtl w:val="0"/>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p>
    <w:p>
      <w:pPr>
        <w:pStyle w:val="Body C"/>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pPr>
      <w:r>
        <w:rPr>
          <w:rtl w:val="0"/>
        </w:rPr>
        <w:t>Our Quality Control Manager (QCM) will perform a walk-through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pPr>
      <w:r>
        <w:rPr>
          <w:rtl w:val="0"/>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suppressAutoHyphens w:val="1"/>
      </w:pPr>
      <w:bookmarkStart w:name="_Toc8" w:id="10"/>
      <w:r>
        <w:rPr>
          <w:rStyle w:val="None"/>
          <w:rtl w:val="0"/>
          <w:lang w:val="en-US"/>
        </w:rPr>
        <w:t>Preliminary Schedule</w:t>
      </w:r>
      <w:bookmarkEnd w:id="10"/>
    </w:p>
    <w:p>
      <w:pPr>
        <w:pStyle w:val="Body C"/>
      </w:pPr>
      <w:r>
        <w:rPr>
          <w:rtl w:val="0"/>
        </w:rPr>
        <w:t>In the attached appendix, we attach our work schedule in the form of a Gantt Chart. The schedule is broken down into four main work phases: (1) Start-up + Mobilization; (2) Hazmat Abatement + Salvage + Demolition, (3) Site Restoration + Demobilization; and (4) Project Close-out.</w:t>
      </w:r>
      <w:r>
        <w:rPr>
          <w:rtl w:val="0"/>
        </w:rPr>
        <w:t xml:space="preserve"> </w:t>
      </w:r>
      <w:r>
        <w:rPr>
          <w:rtl w:val="0"/>
        </w:rPr>
        <w:t>As described previously, All Phase will execute the project using an abatement crew consisting of a Supervisor overseeing laborers. The demolition crew will consist of a Supervisor plus operators and laborers. There is no stated order of priority in the SOW. Following the project startup phase, the base bid structures targeted will be systematically abated and demolished in the order shown in the schedule.</w:t>
      </w:r>
    </w:p>
    <w:p>
      <w:pPr>
        <w:pStyle w:val="Heading 2"/>
        <w:suppressAutoHyphens w:val="1"/>
      </w:pPr>
      <w:bookmarkStart w:name="_Toc9" w:id="11"/>
      <w:r>
        <w:rPr>
          <w:rStyle w:val="None"/>
          <w:rtl w:val="0"/>
          <w:lang w:val="en-US"/>
        </w:rPr>
        <w:t>Change Orders</w:t>
      </w:r>
      <w:bookmarkEnd w:id="11"/>
    </w:p>
    <w:p>
      <w:pPr>
        <w:pStyle w:val="Body C"/>
      </w:pPr>
      <w:r>
        <w:rPr>
          <w:rtl w:val="0"/>
        </w:rPr>
        <w:t>By closely reviewing the master schedule on a weekly basis, All Phase will anticipate impacts caused by owner changes, unforeseen site conditions, weather, etc. We can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rStyle w:val="None"/>
          <w:b w:val="1"/>
          <w:bCs w:val="1"/>
          <w:i w:val="1"/>
          <w:iCs w:val="1"/>
          <w:rtl w:val="0"/>
          <w:lang w:val="en-US"/>
        </w:rPr>
        <w:t>Unforeseen Conditions and Change Orders</w:t>
      </w:r>
      <w:r>
        <w:rPr>
          <w:rtl w:val="0"/>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if discovered (see Table 3). Our project team will coordinate closely with these experts whenever needed and regularly update the COR on any findings that pertain to unforeseen work conditions. We will factor permitting, wildlife and archeological concerns, etc.</w:t>
      </w:r>
      <w:r>
        <w:rPr>
          <w:rtl w:val="0"/>
        </w:rPr>
        <w:t>,</w:t>
      </w:r>
      <w:r>
        <w:rPr>
          <w:rtl w:val="0"/>
        </w:rPr>
        <w:t xml:space="preserve"> into our pre-demo surveys, inspections, and schedules as thoroughly as possible.</w:t>
      </w:r>
      <w:r>
        <w:rPr>
          <w:rtl w:val="0"/>
        </w:rPr>
        <w:t xml:space="preserve"> </w:t>
      </w:r>
      <w:r>
        <w:rPr>
          <w:rtl w:val="0"/>
        </w:rPr>
        <w:t>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0"/>
          <w:lang w:val="en-US"/>
        </w:rPr>
        <w:t>’</w:t>
      </w:r>
      <w:r>
        <w:rPr>
          <w:rtl w:val="0"/>
        </w:rPr>
        <w:t>s most accurate price estimate for the Change Order. Based on our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10" w:id="12"/>
      <w:r>
        <w:rPr>
          <w:rStyle w:val="None"/>
          <w:rtl w:val="0"/>
          <w:lang w:val="en-US"/>
        </w:rPr>
        <w:t>4. Demolition Approach</w:t>
      </w:r>
      <w:bookmarkEnd w:id="12"/>
    </w:p>
    <w:p>
      <w:pPr>
        <w:pStyle w:val="Body C"/>
      </w:pPr>
      <w:r>
        <w:rPr>
          <w:rtl w:val="0"/>
        </w:rPr>
        <w:t>For the demolition of the buildings go smoothly, we will draft a Project Management Plan (PMP) for the government</w:t>
      </w:r>
      <w:r>
        <w:rPr>
          <w:rStyle w:val="None"/>
          <w:rFonts w:ascii="Arial Unicode MS" w:hAnsi="Arial Unicode MS" w:hint="default"/>
          <w:rtl w:val="0"/>
          <w:lang w:val="en-US"/>
        </w:rPr>
        <w:t>’</w:t>
      </w:r>
      <w:r>
        <w:rPr>
          <w:rtl w:val="0"/>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Heading 2"/>
        <w:suppressAutoHyphens w:val="1"/>
      </w:pPr>
      <w:bookmarkStart w:name="_Toc11" w:id="13"/>
      <w:r>
        <w:rPr>
          <w:rStyle w:val="None"/>
          <w:rtl w:val="0"/>
          <w:lang w:val="en-US"/>
        </w:rPr>
        <w:t>Task Order-Specific Approach</w:t>
      </w:r>
      <w:bookmarkEnd w:id="13"/>
    </w:p>
    <w:p>
      <w:pPr>
        <w:pStyle w:val="Body C"/>
      </w:pPr>
      <w:r>
        <w:rPr>
          <w:rStyle w:val="None"/>
          <w:rtl w:val="0"/>
          <w:lang w:val="en-US"/>
        </w:rPr>
        <w:t xml:space="preserve">We distinguish each of the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and indicate how difficult we anticipate the required effort will be (Table 4).</w:t>
      </w:r>
      <w:r>
        <w:rPr>
          <w:rStyle w:val="None"/>
          <w:rtl w:val="0"/>
          <w:lang w:val="en-US"/>
        </w:rPr>
        <w:t xml:space="preserve"> </w:t>
      </w:r>
      <w:r>
        <w:rPr>
          <w:rtl w:val="0"/>
          <w:lang w:val="en-US"/>
        </w:rPr>
        <w:t>Prior to beginning work, All Phase will submit a site-specific demolition plan, drawings, and specifications for the execution of this project. The demolition activities for will be performed in accordance with the submitted and approved documents. All Phase will be responsible for controlling access to the site and for always maintaining a secure site.</w:t>
      </w:r>
      <w:r>
        <w:rPr>
          <w:rtl w:val="0"/>
          <w:lang w:val="en-US"/>
        </w:rPr>
        <w:t xml:space="preserve"> </w:t>
      </w:r>
      <w:r>
        <w:rPr>
          <w:rtl w:val="0"/>
          <w:lang w:val="en-US"/>
        </w:rPr>
        <w:t>In the interest of occupational safety and health, we will perform the work in accordance with EM 385-1-1 Section 23, Demolition, and other applicable sections. All Phase will provide and maintain shoring, bracing, or structural support to preserve stability and prevent unwanted movement or collapse of the structure or equipment.</w:t>
      </w:r>
      <w:r>
        <w:rPr>
          <w:rtl w:val="0"/>
          <w:lang w:val="en-US"/>
        </w:rPr>
        <w:t xml:space="preserve"> </w:t>
      </w:r>
      <w:r>
        <w:rPr>
          <w:rtl w:val="0"/>
          <w:lang w:val="en-US"/>
        </w:rPr>
        <w:t>Excavated material, i.e., soil found natural and uncontaminated, will be placed back in the excavated area. Cutting and removal of asphalt, concrete, concrete pipe, etc.</w:t>
      </w:r>
      <w:r>
        <w:rPr>
          <w:rtl w:val="0"/>
          <w:lang w:val="en-US"/>
        </w:rPr>
        <w:t>,</w:t>
      </w:r>
      <w:r>
        <w:rPr>
          <w:rtl w:val="0"/>
          <w:lang w:val="en-US"/>
        </w:rPr>
        <w:t xml:space="preserve"> will be required to be taken to an off-</w:t>
      </w:r>
      <w:r>
        <w:rPr>
          <w:rtl w:val="0"/>
          <w:lang w:val="en-US"/>
        </w:rPr>
        <w:t>site</w:t>
      </w:r>
      <w:r>
        <w:rPr>
          <w:rtl w:val="0"/>
          <w:lang w:val="en-US"/>
        </w:rPr>
        <w:t xml:space="preserve"> landfill. Construction debris will be taken to an appropriate landfill. All metals, and concrete, will be taken to a recycler.</w:t>
      </w:r>
    </w:p>
    <w:p>
      <w:pPr>
        <w:pStyle w:val="Heading 2"/>
        <w:keepNext w:val="0"/>
        <w:widowControl w:val="0"/>
        <w:suppressAutoHyphens w:val="1"/>
      </w:pPr>
      <w:bookmarkStart w:name="_Toc12" w:id="14"/>
      <w:r>
        <w:rPr>
          <w:rStyle w:val="None"/>
          <w:rtl w:val="0"/>
          <w:lang w:val="en-US"/>
        </w:rPr>
        <w:t>Table 4. Demolition Structure Types and Projected Difficulty Per Location</w:t>
      </w:r>
      <w:bookmarkEnd w:id="14"/>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r>
        <w:rPr>
          <w:rStyle w:val="None"/>
          <w:b w:val="1"/>
          <w:bCs w:val="1"/>
          <w:i w:val="1"/>
          <w:iCs w:val="1"/>
          <w:rtl w:val="0"/>
          <w:lang w:val="en-US"/>
        </w:rPr>
        <w:t>Manpower and Equipment</w:t>
      </w:r>
      <w:r>
        <w:rPr>
          <w:rtl w:val="0"/>
        </w:rPr>
        <w:t>: Effort required to salvage and recycle usable materials and demolish and restore the site is summarized in Table 5.</w:t>
      </w:r>
      <w:r>
        <w:rPr>
          <w:rtl w:val="0"/>
        </w:rPr>
        <w:t xml:space="preserve"> </w:t>
      </w: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an 80K# class demolition excavator, skid steers, and various trucks.</w:t>
      </w:r>
      <w:r>
        <w:rPr>
          <w:rtl w:val="0"/>
        </w:rPr>
        <w:t xml:space="preserve"> </w:t>
      </w:r>
      <w:r>
        <w:rPr>
          <w:rtl w:val="0"/>
        </w:rPr>
        <w:t>All of the work can be accomplished using an 80K# class excavator with various attachments and skid steers. Little hand work will be required. None of these demolition tasks should prove unusual or difficult.</w:t>
      </w:r>
    </w:p>
    <w:p>
      <w:pPr>
        <w:pStyle w:val="Heading 2"/>
        <w:suppressAutoHyphens w:val="1"/>
      </w:pPr>
      <w:bookmarkStart w:name="_Toc13" w:id="15"/>
      <w:r>
        <w:rPr>
          <w:rStyle w:val="None"/>
          <w:rtl w:val="0"/>
          <w:lang w:val="en-US"/>
        </w:rPr>
        <w:t>Table 5. Manpower and Major Equipment Needed</w:t>
      </w:r>
      <w:bookmarkEnd w:id="15"/>
    </w:p>
    <w:p>
      <w:pPr>
        <w:pStyle w:val="Body C"/>
      </w:pPr>
    </w:p>
    <w:p>
      <w:pPr>
        <w:pStyle w:val="Body C"/>
      </w:pPr>
    </w:p>
    <w:p>
      <w:pPr>
        <w:pStyle w:val="Body C"/>
      </w:pPr>
    </w:p>
    <w:p>
      <w:pPr>
        <w:pStyle w:val="Body C"/>
      </w:pPr>
    </w:p>
    <w:p>
      <w:pPr>
        <w:pStyle w:val="Heading"/>
        <w:keepNext w:val="0"/>
        <w:widowControl w:val="0"/>
        <w:suppressAutoHyphens w:val="1"/>
      </w:pPr>
      <w:bookmarkStart w:name="_Toc14" w:id="16"/>
      <w:r>
        <w:rPr>
          <w:rStyle w:val="None"/>
          <w:rtl w:val="0"/>
          <w:lang w:val="en-US"/>
        </w:rPr>
        <w:t>5. Debris Handling, Waste Diversion, Recycling</w:t>
      </w:r>
      <w:bookmarkEnd w:id="16"/>
    </w:p>
    <w:p>
      <w:pPr>
        <w:pStyle w:val="Body C"/>
        <w:spacing w:after="60"/>
        <w:jc w:val="left"/>
      </w:pPr>
      <w:r>
        <w:rPr>
          <w:rtl w:val="0"/>
          <w:lang w:val="en-US"/>
        </w:rPr>
        <w:t>All Phase is fastidious in its implementation of the 3R</w:t>
      </w:r>
      <w:r>
        <w:rPr>
          <w:rStyle w:val="None"/>
          <w:rFonts w:ascii="Arial Unicode MS" w:hAnsi="Arial Unicode MS" w:hint="default"/>
          <w:rtl w:val="0"/>
          <w:lang w:val="en-US"/>
        </w:rPr>
        <w:t>’</w:t>
      </w:r>
      <w:r>
        <w:rPr>
          <w:rtl w:val="0"/>
          <w:lang w:val="en-US"/>
        </w:rPr>
        <w:t>s:</w:t>
      </w:r>
    </w:p>
    <w:p>
      <w:pPr>
        <w:pStyle w:val="Body C"/>
        <w:spacing w:after="60"/>
        <w:ind w:left="785"/>
        <w:jc w:val="left"/>
      </w:pPr>
      <w:r>
        <w:rPr>
          <w:rtl w:val="0"/>
          <w:lang w:val="en-US"/>
        </w:rPr>
        <w:t xml:space="preserve">• </w:t>
      </w:r>
      <w:r>
        <w:rPr>
          <w:rtl w:val="0"/>
          <w:lang w:val="en-US"/>
        </w:rPr>
        <w:t>REDUCE: Make every effort to minimize the amount of waste generated</w:t>
      </w:r>
    </w:p>
    <w:p>
      <w:pPr>
        <w:pStyle w:val="Body C"/>
        <w:spacing w:after="60"/>
        <w:ind w:left="785"/>
        <w:jc w:val="left"/>
      </w:pPr>
      <w:r>
        <w:rPr>
          <w:rtl w:val="0"/>
          <w:lang w:val="en-US"/>
        </w:rPr>
        <w:t xml:space="preserve">• </w:t>
      </w:r>
      <w:r>
        <w:rPr>
          <w:rtl w:val="0"/>
          <w:lang w:val="en-US"/>
        </w:rPr>
        <w:t>REUSE: Segregate items that can potentially be reused</w:t>
      </w:r>
    </w:p>
    <w:p>
      <w:pPr>
        <w:pStyle w:val="Body C"/>
        <w:ind w:left="785"/>
      </w:pPr>
      <w:r>
        <w:rPr>
          <w:rtl w:val="0"/>
        </w:rPr>
        <w:t xml:space="preserve">• </w:t>
      </w:r>
      <w:r>
        <w:rPr>
          <w:rtl w:val="0"/>
        </w:rPr>
        <w:t>RECYCLE: Segregate recyclable items and place them in appropriate containers</w:t>
      </w:r>
    </w:p>
    <w:p>
      <w:pPr>
        <w:pStyle w:val="Heading 2"/>
        <w:suppressAutoHyphens w:val="1"/>
      </w:pPr>
      <w:bookmarkStart w:name="_Toc15" w:id="17"/>
      <w:r>
        <w:rPr>
          <w:rtl w:val="0"/>
        </w:rPr>
        <w:t>Debris Handling</w:t>
      </w:r>
      <w:bookmarkEnd w:id="17"/>
    </w:p>
    <w:p>
      <w:pPr>
        <w:pStyle w:val="Body C"/>
      </w:pPr>
      <w:r>
        <w:rPr>
          <w:rtl w:val="0"/>
        </w:rPr>
        <w:t>We will comply with the requirement to provide a waste management and diversion plan as required by the SOW. All concrete, brick, and masonry will be separated from the C&amp;D debris. Disposal will be a last resort only when recycling is not economically practical. All abatement and demolition materials will be exported off site to an appropriate waste management landfill (C&amp;D + ACM).</w:t>
      </w:r>
      <w:r>
        <w:rPr>
          <w:rtl w:val="0"/>
        </w:rPr>
        <w:t xml:space="preserve"> </w:t>
      </w:r>
      <w:r>
        <w:rPr>
          <w:rtl w:val="0"/>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pPr>
      <w:bookmarkStart w:name="_Toc16" w:id="18"/>
      <w:r>
        <w:rPr>
          <w:rStyle w:val="None"/>
          <w:rtl w:val="0"/>
          <w:lang w:val="en-US"/>
        </w:rPr>
        <w:t>Waste Diversion and Recycling</w:t>
      </w:r>
      <w:bookmarkEnd w:id="18"/>
    </w:p>
    <w:p>
      <w:pPr>
        <w:pStyle w:val="Body C"/>
      </w:pPr>
      <w:r>
        <w:rPr>
          <w:rtl w:val="0"/>
        </w:rPr>
        <w:t>All Phase</w:t>
      </w:r>
      <w:r>
        <w:rPr>
          <w:rStyle w:val="None"/>
          <w:rFonts w:ascii="Arial Unicode MS" w:hAnsi="Arial Unicode MS" w:hint="default"/>
          <w:rtl w:val="0"/>
          <w:lang w:val="en-US"/>
        </w:rPr>
        <w:t>’</w:t>
      </w:r>
      <w:r>
        <w:rPr>
          <w:rtl w:val="0"/>
        </w:rPr>
        <w:t>s intent is to maximize the economic recycling of materials. This maximizes our return on scrap value and minimizes the waste stream of materials that will go to landfill.</w:t>
      </w:r>
    </w:p>
    <w:p>
      <w:pPr>
        <w:pStyle w:val="Body C"/>
      </w:pPr>
      <w:r>
        <w:rPr>
          <w:rtl w:val="0"/>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pPr>
      <w:r>
        <w:rPr>
          <w:rtl w:val="0"/>
        </w:rPr>
        <w:t>We estimate that ___% of the demolition waste material by weight can be recycled as tabulated in Table 6. This should meet the minimum diversion goal for this task order. We project a $_____ salvage credit to the government for all types of scrapped metal.</w:t>
      </w:r>
    </w:p>
    <w:p>
      <w:pPr>
        <w:pStyle w:val="Heading 2"/>
        <w:pageBreakBefore w:val="1"/>
        <w:suppressAutoHyphens w:val="1"/>
      </w:pPr>
      <w:bookmarkStart w:name="_Toc17" w:id="19"/>
      <w:r>
        <w:rPr>
          <w:rStyle w:val="None"/>
          <w:rtl w:val="0"/>
          <w:lang w:val="en-US"/>
        </w:rPr>
        <w:t>Table 6. Demolition Waste Recycling and Salvage</w:t>
      </w:r>
      <w:bookmarkEnd w:id="19"/>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Heading"/>
        <w:suppressAutoHyphens w:val="1"/>
      </w:pPr>
      <w:bookmarkStart w:name="_Toc18" w:id="20"/>
      <w:r>
        <w:rPr>
          <w:rStyle w:val="None"/>
          <w:rtl w:val="0"/>
          <w:lang w:val="en-US"/>
        </w:rPr>
        <w:t>6. Site Security and Safety Approach</w:t>
      </w:r>
      <w:bookmarkEnd w:id="20"/>
    </w:p>
    <w:p>
      <w:pPr>
        <w:pStyle w:val="Body C"/>
      </w:pPr>
      <w:r>
        <w:rPr>
          <w:rtl w:val="0"/>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conduct an initial site security assessment to verify the conditions as laid out in the RFP. </w:t>
      </w:r>
    </w:p>
    <w:p>
      <w:pPr>
        <w:pStyle w:val="Heading 2"/>
        <w:suppressAutoHyphens w:val="1"/>
      </w:pPr>
      <w:bookmarkStart w:name="_Toc19" w:id="21"/>
      <w:r>
        <w:rPr>
          <w:rStyle w:val="None"/>
          <w:rtl w:val="0"/>
          <w:lang w:val="en-US"/>
        </w:rPr>
        <w:t>Site Security</w:t>
      </w:r>
      <w:bookmarkEnd w:id="21"/>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w:t>
      </w:r>
      <w:r>
        <w:rPr>
          <w:rtl w:val="0"/>
        </w:rPr>
        <w:t xml:space="preserve"> </w:t>
      </w:r>
      <w:r>
        <w:rPr>
          <w:rtl w:val="0"/>
        </w:rPr>
        <w:t>forms of valid government-issued identification, and this information will be logged into E-Verify. We will furnish an initial list of verified or eligible candidates to the COR within three working days of initial contract award.</w:t>
      </w:r>
    </w:p>
    <w:p>
      <w:pPr>
        <w:pStyle w:val="Body C"/>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0"/>
          <w:lang w:val="en-US"/>
        </w:rPr>
        <w:t xml:space="preserve">’ </w:t>
      </w:r>
      <w:r>
        <w:rPr>
          <w:rStyle w:val="None"/>
          <w:rtl w:val="0"/>
          <w:lang w:val="en-US"/>
        </w:rPr>
        <w:t xml:space="preserve">reporting for duty. Training certificates of completion will be delivered to the COR within five calendar days after completion of training. Contractor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20" w:id="22"/>
      <w:r>
        <w:rPr>
          <w:rStyle w:val="None"/>
          <w:rtl w:val="0"/>
          <w:lang w:val="en-US"/>
        </w:rPr>
        <w:t>Safety Approach</w:t>
      </w:r>
      <w:bookmarkEnd w:id="22"/>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pPr>
      <w:r>
        <w:rPr>
          <w:rStyle w:val="None"/>
          <w:rtl w:val="0"/>
          <w:lang w:val="en-US"/>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each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p>
      <w:pPr>
        <w:pStyle w:val="Heading 2"/>
        <w:rPr>
          <w:rStyle w:val="None"/>
          <w:lang w:val="en-US"/>
        </w:rPr>
      </w:pPr>
      <w:bookmarkStart w:name="_Toc21" w:id="23"/>
      <w:r>
        <w:rPr>
          <w:rStyle w:val="None"/>
          <w:rFonts w:cs="Arial Unicode MS" w:eastAsia="Arial Unicode MS"/>
          <w:rtl w:val="0"/>
          <w:lang w:val="en-US"/>
        </w:rPr>
        <w:t>Table 7. Preliminary Activity Hazard Analysis</w:t>
      </w:r>
      <w:bookmarkEnd w:id="23"/>
    </w:p>
    <w:tbl>
      <w:tblPr>
        <w:tblW w:w="92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75"/>
        <w:gridCol w:w="7610"/>
      </w:tblGrid>
      <w:tr>
        <w:tblPrEx>
          <w:shd w:val="clear" w:color="auto" w:fill="00a2ff"/>
        </w:tblPrEx>
        <w:trPr>
          <w:trHeight w:val="232" w:hRule="atLeast"/>
          <w:tblHeader/>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daily.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near machines or using other equipment that creates a noise hazard.</w:t>
            </w:r>
          </w:p>
        </w:tc>
      </w:tr>
      <w:tr>
        <w:tblPrEx>
          <w:shd w:val="clear" w:color="auto" w:fill="cadfff"/>
        </w:tblPrEx>
        <w:trPr>
          <w:trHeight w:val="8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 All equipment will be equipped with backup alarms. Drivers will always keep all workers on foot in sight, if you lose sight of someone, Stop!</w:t>
            </w:r>
          </w:p>
        </w:tc>
      </w:tr>
      <w:tr>
        <w:tblPrEx>
          <w:shd w:val="clear" w:color="auto" w:fill="cadfff"/>
        </w:tblPrEx>
        <w:trPr>
          <w:trHeight w:val="10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C"/>
      </w:pPr>
    </w:p>
    <w:p>
      <w:pPr>
        <w:pStyle w:val="Heading 2"/>
        <w:keepNext w:val="0"/>
        <w:widowControl w:val="0"/>
        <w:suppressAutoHyphens w:val="1"/>
        <w:ind w:left="324" w:hanging="324"/>
      </w:pPr>
    </w:p>
    <w:p>
      <w:pPr>
        <w:pStyle w:val="Body C"/>
      </w:pPr>
      <w:r>
        <w:rPr>
          <w:rStyle w:val="None"/>
          <w:b w:val="1"/>
          <w:bCs w:val="1"/>
          <w:i w:val="1"/>
          <w:iCs w:val="1"/>
          <w:rtl w:val="0"/>
          <w:lang w:val="en-US"/>
        </w:rPr>
        <w:t>General Site Safety Approach</w:t>
      </w:r>
      <w:r>
        <w:rPr>
          <w:rtl w:val="0"/>
        </w:rPr>
        <w:t xml:space="preserve">: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w:t>
      </w:r>
      <w:r>
        <w:rPr>
          <w:rtl w:val="0"/>
        </w:rPr>
        <w:t xml:space="preserve">state </w:t>
      </w:r>
      <w:r>
        <w:rPr>
          <w:rtl w:val="0"/>
        </w:rPr>
        <w:t>Department of Environmental Protection. We will make sure all abatement workers</w:t>
      </w:r>
      <w:r>
        <w:rPr>
          <w:rStyle w:val="None"/>
          <w:rFonts w:ascii="Arial Unicode MS" w:hAnsi="Arial Unicode MS" w:hint="default"/>
          <w:rtl w:val="0"/>
          <w:lang w:val="en-US"/>
        </w:rPr>
        <w:t xml:space="preserve">’ </w:t>
      </w:r>
      <w:r>
        <w:rPr>
          <w:rtl w:val="0"/>
        </w:rPr>
        <w:t>medical records, refresher training, EPA Training certificates, fitness tests, and certificate of worker acknowledgements are up to date.</w:t>
      </w:r>
    </w:p>
    <w:p>
      <w:pPr>
        <w:pStyle w:val="Body C"/>
      </w:pPr>
      <w:r>
        <w:rPr>
          <w:rtl w:val="0"/>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C"/>
      </w:pPr>
      <w:r>
        <w:rPr>
          <w:rStyle w:val="None"/>
          <w:b w:val="1"/>
          <w:bCs w:val="1"/>
          <w:i w:val="1"/>
          <w:iCs w:val="1"/>
          <w:rtl w:val="0"/>
          <w:lang w:val="en-US"/>
        </w:rPr>
        <w:t>Safety Training</w:t>
      </w:r>
      <w:r>
        <w:rPr>
          <w:rStyle w:val="None"/>
          <w:rtl w:val="0"/>
          <w:lang w:val="en-US"/>
        </w:rPr>
        <w:t xml:space="preserve">: All Phase employees are given an orientation program on Health and Safety Hazards associated with their particular aspect of employment. All employees are also given specific training for hazardous materials handling,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all new hazards and/or methods of handling. The Job-Site Superintendent will also conduct a 5-minute </w:t>
      </w:r>
      <w:r>
        <w:rPr>
          <w:rStyle w:val="None"/>
          <w:rFonts w:ascii="Arial Unicode MS" w:hAnsi="Arial Unicode MS" w:hint="default"/>
          <w:rtl w:val="1"/>
          <w:lang w:val="ar-SA" w:bidi="ar-SA"/>
        </w:rPr>
        <w:t>“</w:t>
      </w:r>
      <w:r>
        <w:rPr>
          <w:rStyle w:val="None"/>
          <w:rtl w:val="0"/>
          <w:lang w:val="en-US"/>
        </w:rPr>
        <w:t>toolbox</w:t>
      </w:r>
      <w:r>
        <w:rPr>
          <w:rStyle w:val="None"/>
          <w:rtl w:val="0"/>
          <w:lang w:val="en-US"/>
        </w:rPr>
        <w:t xml:space="preserve">” </w:t>
      </w:r>
      <w:r>
        <w:rPr>
          <w:rStyle w:val="None"/>
          <w:rtl w:val="0"/>
          <w:lang w:val="en-US"/>
        </w:rPr>
        <w:t>safety meeting each week during which hazards specific to their operation will be discussed.</w:t>
      </w:r>
    </w:p>
    <w:p>
      <w:pPr>
        <w:pStyle w:val="Body C"/>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pPr>
      <w:r>
        <w:rPr>
          <w:rStyle w:val="None"/>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PM, CO, and COR for necessary action. Compliance in the use of personal protective clothing and equipment is included in the daily inspection. The SSHO will conduct a formal monthly Safety and Health Survey, to include: Inspecting, locating, and correcting all unsafe conditions; and, Ensuring that all signs, traffic markings, equipment, machinery, are marked and painted to identify use and hazard. Colors and marking will conform to OSHA regulations. 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C"/>
      </w:pPr>
      <w:r>
        <w:rPr>
          <w:rStyle w:val="None"/>
          <w:b w:val="1"/>
          <w:bCs w:val="1"/>
          <w:i w:val="1"/>
          <w:iCs w:val="1"/>
          <w:rtl w:val="0"/>
          <w:lang w:val="en-US"/>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pPr>
      <w:r>
        <w:rPr>
          <w:rStyle w:val="None"/>
          <w:b w:val="1"/>
          <w:bCs w:val="1"/>
          <w:i w:val="1"/>
          <w:iCs w:val="1"/>
          <w:rtl w:val="0"/>
          <w:lang w:val="en-US"/>
        </w:rPr>
        <w:t>Accident Reporting and Record Keeping</w:t>
      </w:r>
      <w:r>
        <w:rPr>
          <w:rtl w:val="0"/>
        </w:rPr>
        <w:t>: On the job site, our Job-Site Superintendent will be responsible for recording and reporting all accident exposure and experience, including sub-contractors, incidental to the work. At a minimum, these records will include exposure work hours and a log of occupational injuries and illnesses in accordance with OSHA and specific agency requirements. All injuries and diagnosed occupational illnesses that result in a lost workday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w:suppressAutoHyphens w:val="1"/>
      </w:pPr>
      <w:bookmarkStart w:name="_Toc22" w:id="24"/>
      <w:r>
        <w:rPr>
          <w:rStyle w:val="None"/>
          <w:rtl w:val="0"/>
          <w:lang w:val="en-US"/>
        </w:rPr>
        <w:t>7. Site Restoration</w:t>
      </w:r>
      <w:bookmarkEnd w:id="24"/>
    </w:p>
    <w:p>
      <w:pPr>
        <w:pStyle w:val="Body C"/>
      </w:pPr>
      <w:r>
        <w:rPr>
          <w:rtl w:val="0"/>
        </w:rPr>
        <w:t xml:space="preserve">Site restoration for the base bid is scheduled to take place </w:t>
      </w:r>
      <w:r>
        <w:rPr>
          <w:rtl w:val="0"/>
        </w:rPr>
        <w:t>after demolition</w:t>
      </w:r>
      <w:r>
        <w:rPr>
          <w:rtl w:val="0"/>
        </w:rPr>
        <w:t>. We estimate that ___ CY of backfill will be needed to restore the finished surface as specified in the SOW. We will coordinate with the government to access fill material needed for this project. Fill and topsoil will be imported from a local vendor. Clean 2</w:t>
      </w:r>
      <w:r>
        <w:rPr>
          <w:rtl w:val="0"/>
        </w:rPr>
        <w:t xml:space="preserve">” </w:t>
      </w:r>
      <w:r>
        <w:rPr>
          <w:rtl w:val="0"/>
        </w:rPr>
        <w:t>minus concrete will be acceptable as fill.</w:t>
      </w:r>
    </w:p>
    <w:p>
      <w:pPr>
        <w:pStyle w:val="Body C"/>
      </w:pPr>
      <w:r>
        <w:rPr>
          <w:rtl w:val="0"/>
        </w:rPr>
        <w:t>Soils will be blended and graded to match the surrounding area with positive drainage and no ponding of water. Soil erosion blankets will be used on steep grades to always meet government requirements.</w:t>
      </w:r>
    </w:p>
    <w:p>
      <w:pPr>
        <w:pStyle w:val="Heading"/>
        <w:suppressAutoHyphens w:val="1"/>
      </w:pPr>
      <w:bookmarkStart w:name="_Toc23" w:id="25"/>
      <w:r>
        <w:rPr>
          <w:rStyle w:val="None"/>
          <w:rtl w:val="0"/>
          <w:lang w:val="fr-FR"/>
        </w:rPr>
        <w:t>8. Key Personnel</w:t>
      </w:r>
      <w:bookmarkEnd w:id="25"/>
    </w:p>
    <w:p>
      <w:pPr>
        <w:pStyle w:val="Body C"/>
      </w:pPr>
      <w:r>
        <w:rPr>
          <w:rtl w:val="0"/>
        </w:rPr>
        <w:t>Having scoped this project based on our experience with similar efforts, All Phase is assigning the following Key Personnel, shown in Table 8.</w:t>
      </w:r>
    </w:p>
    <w:p>
      <w:pPr>
        <w:pStyle w:val="Heading 2"/>
        <w:suppressAutoHyphens w:val="1"/>
      </w:pPr>
      <w:bookmarkStart w:name="_Toc24" w:id="26"/>
      <w:r>
        <w:rPr>
          <w:rStyle w:val="None"/>
          <w:rtl w:val="0"/>
          <w:lang w:val="en-US"/>
        </w:rPr>
        <w:t>Table 8. Key Personnel to be Assigned</w:t>
      </w:r>
      <w:bookmarkEnd w:id="26"/>
    </w:p>
    <w:p>
      <w:pPr>
        <w:pStyle w:val="Body C"/>
      </w:pPr>
    </w:p>
    <w:p>
      <w:pPr>
        <w:pStyle w:val="Body C"/>
      </w:pPr>
    </w:p>
    <w:p>
      <w:pPr>
        <w:pStyle w:val="Body C"/>
      </w:pPr>
    </w:p>
    <w:p>
      <w:pPr>
        <w:pStyle w:val="Body C"/>
      </w:pPr>
    </w:p>
    <w:p>
      <w:pPr>
        <w:pStyle w:val="Heading"/>
        <w:pageBreakBefore w:val="1"/>
        <w:suppressAutoHyphens w:val="1"/>
      </w:pPr>
      <w:bookmarkStart w:name="_Toc25" w:id="27"/>
      <w:r>
        <w:rPr>
          <w:rStyle w:val="None"/>
          <w:rtl w:val="0"/>
          <w:lang w:val="en-US"/>
        </w:rPr>
        <w:t>Appendix - Preliminary Project Schedule</w:t>
      </w:r>
      <w:bookmarkEnd w:id="27"/>
    </w:p>
    <w:p>
      <w:pPr>
        <w:pStyle w:val="Body A"/>
      </w:pPr>
    </w:p>
    <w:p>
      <w:pPr>
        <w:pStyle w:val="Body C"/>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8"/>
      <w:footerReference w:type="default" r:id="rId9"/>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 w:author="Tom Termini" w:date="2022-09-04T21:30:45Z">
    <w:p w14:paraId="1111FFFF">
      <w:pPr>
        <w:pStyle w:val="Default"/>
      </w:pPr>
    </w:p>
    <w:p w14:paraId="11120000">
      <w:pPr>
        <w:pStyle w:val="Default"/>
      </w:pPr>
      <w:r>
        <w:rPr>
          <w:rtl w:val="0"/>
        </w:rPr>
        <w:t>CIH</w:t>
      </w:r>
    </w:p>
  </w:comment>
  <w:comment w:id="5" w:author="Tom Termini" w:date="2022-08-26T22:12:00Z">
    <w:p w14:paraId="11120001">
      <w:pPr>
        <w:pStyle w:val="Default"/>
      </w:pPr>
    </w:p>
    <w:p w14:paraId="11120002">
      <w:pPr>
        <w:pStyle w:val="Default"/>
      </w:pPr>
      <w:r>
        <w:rPr>
          <w:rtl w:val="0"/>
        </w:rPr>
        <w:t>NEED VENDOR INFORMATION</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25</w:t>
    </w:r>
    <w:r>
      <w:rPr/>
      <w:fldChar w:fldCharType="end" w:fldLock="0"/>
    </w:r>
    <w:r>
      <w:rPr>
        <w:rtl w:val="0"/>
        <w:lang w:val="en-US"/>
      </w:rPr>
      <w:t xml:space="preserve"> of </w:t>
    </w:r>
    <w:r>
      <w:rPr/>
      <w:fldChar w:fldCharType="begin" w:fldLock="0"/>
    </w:r>
    <w:r>
      <w:instrText xml:space="preserve"> NUMPAGES </w:instrText>
    </w:r>
    <w:r>
      <w:rPr/>
      <w:fldChar w:fldCharType="separate" w:fldLock="0"/>
    </w:r>
    <w:r>
      <w:t>25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w:rPr>
        <w:rFonts w:ascii="Times New Roman" w:cs="Times New Roman" w:hAnsi="Times New Roman" w:eastAsia="Times New Roman"/>
        <w:sz w:val="18"/>
        <w:szCs w:val="18"/>
      </w:rP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 xml:space="preserve">Task Order </w:t>
    </w:r>
    <w:r>
      <w:rPr>
        <w:rFonts w:ascii="Times New Roman" w:hAnsi="Times New Roman"/>
        <w:sz w:val="18"/>
        <w:szCs w:val="18"/>
        <w:rtl w:val="0"/>
        <w:lang w:val="en-US"/>
      </w:rPr>
      <w:t>REV00</w:t>
    </w:r>
    <w:r>
      <w:rPr>
        <w:rFonts w:ascii="Times New Roman" w:hAnsi="Times New Roman"/>
        <w:sz w:val="18"/>
        <w:szCs w:val="18"/>
        <w:rtl w:val="0"/>
        <w:lang w:val="en-US"/>
      </w:rPr>
      <w:t xml:space="preserve"> </w:t>
      <w:br w:type="textWrapping"/>
    </w:r>
    <w:r>
      <w:rPr>
        <w:rFonts w:ascii="Times New Roman" w:hAnsi="Times New Roman"/>
        <w:sz w:val="18"/>
        <w:szCs w:val="18"/>
        <w:rtl w:val="0"/>
        <w:lang w:val="en-US"/>
      </w:rPr>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 xml:space="preserve">Task Order REV00 </w:t>
    </w:r>
    <w:r>
      <w:rPr>
        <w:rStyle w:val="None"/>
        <w:rFonts w:ascii="Times New Roman" w:cs="Times New Roman" w:hAnsi="Times New Roman" w:eastAsia="Times New Roman"/>
        <w:sz w:val="18"/>
        <w:szCs w:val="18"/>
      </w:rPr>
      <w:br w:type="textWrapping"/>
    </w:r>
    <w:r>
      <w:rPr>
        <w:rStyle w:val="None"/>
        <w:rFonts w:ascii="Times New Roman" w:hAnsi="Times New Roman"/>
        <w:sz w:val="18"/>
        <w:szCs w:val="18"/>
        <w:rtl w:val="0"/>
        <w:lang w:val="en-US"/>
      </w:rPr>
      <w:t>All Phase Services, Inc.</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1">
    <w:name w:val="Hyperlink.1"/>
    <w:basedOn w:val="None"/>
    <w:next w:val="Hyperlink.1"/>
    <w:rPr>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C">
    <w:name w:val="Body C"/>
    <w:next w:val="Body C"/>
    <w:pPr>
      <w:keepNext w:val="0"/>
      <w:keepLines w:val="0"/>
      <w:pageBreakBefore w:val="0"/>
      <w:widowControl w:val="1"/>
      <w:shd w:val="clear" w:color="auto" w:fill="auto"/>
      <w:suppressAutoHyphens w:val="1"/>
      <w:bidi w:val="0"/>
      <w:spacing w:before="0" w:after="18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