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004838 </w:t>
      </w:r>
      <w:r>
        <w:rPr>
          <w:b w:val="1"/>
          <w:bCs w:val="1"/>
          <w:sz w:val="28"/>
          <w:szCs w:val="28"/>
        </w:rPr>
        <w:br w:type="textWrapping"/>
      </w:r>
      <w:r>
        <w:rPr>
          <w:b w:val="1"/>
          <w:bCs w:val="1"/>
          <w:sz w:val="28"/>
          <w:szCs w:val="28"/>
          <w:rtl w:val="0"/>
          <w:lang w:val="en-US"/>
        </w:rPr>
        <w:t xml:space="preserve">for FY22 Bragg Abatement, Demolition and Site Restoration </w:t>
      </w:r>
    </w:p>
    <w:p>
      <w:pPr>
        <w:pStyle w:val="Body A"/>
        <w:jc w:val="center"/>
      </w:pPr>
      <w:r>
        <w:rPr>
          <w:rtl w:val="0"/>
          <w:lang w:val="en-US"/>
        </w:rPr>
        <w:t xml:space="preserve">Submitted on: </w:t>
      </w:r>
      <w:r>
        <w:rPr>
          <w:rtl w:val="0"/>
          <w:lang w:val="en-US"/>
        </w:rPr>
        <w:t>23</w:t>
      </w:r>
      <w:r>
        <w:rPr>
          <w:rtl w:val="0"/>
          <w:lang w:val="en-US"/>
        </w:rPr>
        <w:t xml:space="preserve">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w:t>
      </w:r>
      <w:r>
        <mc:AlternateContent>
          <mc:Choice Requires="wps">
            <w:drawing>
              <wp:anchor distT="152400" distB="152400" distL="152400" distR="152400" simplePos="0" relativeHeight="251659264" behindDoc="0" locked="0" layoutInCell="1" allowOverlap="1">
                <wp:simplePos x="0" y="0"/>
                <wp:positionH relativeFrom="page">
                  <wp:posOffset>914402</wp:posOffset>
                </wp:positionH>
                <wp:positionV relativeFrom="page">
                  <wp:posOffset>7354866</wp:posOffset>
                </wp:positionV>
                <wp:extent cx="5943600" cy="1410100"/>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Style w:val="None"/>
                                <w:rFonts w:ascii="Arial Narrow" w:cs="Arial Narrow" w:hAnsi="Arial Narrow" w:eastAsia="Arial Narrow"/>
                                <w:sz w:val="16"/>
                                <w:szCs w:val="16"/>
                              </w:rPr>
                            </w:pPr>
                            <w:r>
                              <w:rPr>
                                <w:rStyle w:val="None"/>
                                <w:rFonts w:ascii="Arial Narrow" w:hAnsi="Arial Narrow"/>
                                <w:sz w:val="16"/>
                                <w:szCs w:val="16"/>
                                <w:rtl w:val="0"/>
                                <w:lang w:val="en-US"/>
                              </w:rPr>
                              <w:t>NOTICE</w:t>
                            </w:r>
                          </w:p>
                          <w:p>
                            <w:pPr>
                              <w:pStyle w:val="Default"/>
                              <w:widowControl w:val="0"/>
                              <w:spacing w:before="0" w:after="160" w:line="240" w:lineRule="auto"/>
                              <w:jc w:val="both"/>
                              <w:rPr>
                                <w:rStyle w:val="None"/>
                                <w:rFonts w:ascii="Arial Narrow" w:cs="Arial Narrow" w:hAnsi="Arial Narrow" w:eastAsia="Arial Narrow"/>
                                <w:caps w:val="1"/>
                                <w:sz w:val="16"/>
                                <w:szCs w:val="16"/>
                              </w:rPr>
                            </w:pPr>
                            <w:r>
                              <w:rPr>
                                <w:rStyle w:val="None"/>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Style w:val="None"/>
                                <w:rFonts w:ascii="Arial Narrow" w:hAnsi="Arial Narrow" w:hint="default"/>
                                <w:caps w:val="1"/>
                                <w:sz w:val="16"/>
                                <w:szCs w:val="16"/>
                                <w:rtl w:val="0"/>
                                <w:lang w:val="en-US"/>
                              </w:rPr>
                              <w:t>—</w:t>
                            </w:r>
                            <w:r>
                              <w:rPr>
                                <w:rStyle w:val="None"/>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Style w:val="None"/>
                                <w:rFonts w:ascii="Arial Narrow" w:hAnsi="Arial Narrow"/>
                                <w:caps w:val="1"/>
                                <w:sz w:val="16"/>
                                <w:szCs w:val="16"/>
                                <w:rtl w:val="0"/>
                                <w:lang w:val="en-US"/>
                              </w:rPr>
                              <w:t>Use or disclosure of data contained on this sheet is subject to the restriction on the title page of this documen</w:t>
                            </w:r>
                            <w:r>
                              <w:rPr>
                                <w:rStyle w:val="None"/>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79.1pt;width:468.0pt;height:11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Style w:val="None"/>
                          <w:rFonts w:ascii="Arial Narrow" w:cs="Arial Narrow" w:hAnsi="Arial Narrow" w:eastAsia="Arial Narrow"/>
                          <w:sz w:val="16"/>
                          <w:szCs w:val="16"/>
                        </w:rPr>
                      </w:pPr>
                      <w:r>
                        <w:rPr>
                          <w:rStyle w:val="None"/>
                          <w:rFonts w:ascii="Arial Narrow" w:hAnsi="Arial Narrow"/>
                          <w:sz w:val="16"/>
                          <w:szCs w:val="16"/>
                          <w:rtl w:val="0"/>
                          <w:lang w:val="en-US"/>
                        </w:rPr>
                        <w:t>NOTICE</w:t>
                      </w:r>
                    </w:p>
                    <w:p>
                      <w:pPr>
                        <w:pStyle w:val="Default"/>
                        <w:widowControl w:val="0"/>
                        <w:spacing w:before="0" w:after="160" w:line="240" w:lineRule="auto"/>
                        <w:jc w:val="both"/>
                        <w:rPr>
                          <w:rStyle w:val="None"/>
                          <w:rFonts w:ascii="Arial Narrow" w:cs="Arial Narrow" w:hAnsi="Arial Narrow" w:eastAsia="Arial Narrow"/>
                          <w:caps w:val="1"/>
                          <w:sz w:val="16"/>
                          <w:szCs w:val="16"/>
                        </w:rPr>
                      </w:pPr>
                      <w:r>
                        <w:rPr>
                          <w:rStyle w:val="None"/>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Style w:val="None"/>
                          <w:rFonts w:ascii="Arial Narrow" w:hAnsi="Arial Narrow" w:hint="default"/>
                          <w:caps w:val="1"/>
                          <w:sz w:val="16"/>
                          <w:szCs w:val="16"/>
                          <w:rtl w:val="0"/>
                          <w:lang w:val="en-US"/>
                        </w:rPr>
                        <w:t>—</w:t>
                      </w:r>
                      <w:r>
                        <w:rPr>
                          <w:rStyle w:val="None"/>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Style w:val="None"/>
                          <w:rFonts w:ascii="Arial Narrow" w:hAnsi="Arial Narrow"/>
                          <w:caps w:val="1"/>
                          <w:sz w:val="16"/>
                          <w:szCs w:val="16"/>
                          <w:rtl w:val="0"/>
                          <w:lang w:val="en-US"/>
                        </w:rPr>
                        <w:t>Use or disclosure of data contained on this sheet is subject to the restriction on the title page of this documen</w:t>
                      </w:r>
                      <w:r>
                        <w:rPr>
                          <w:rStyle w:val="None"/>
                          <w:rFonts w:ascii="Arial Narrow" w:hAnsi="Arial Narrow"/>
                          <w:b w:val="1"/>
                          <w:bCs w:val="1"/>
                          <w:caps w:val="1"/>
                          <w:sz w:val="16"/>
                          <w:szCs w:val="16"/>
                          <w:rtl w:val="0"/>
                          <w:lang w:val="en-US"/>
                        </w:rPr>
                        <w:t>T.</w:t>
                      </w:r>
                    </w:p>
                  </w:txbxContent>
                </v:textbox>
                <w10:wrap type="topAndBottom" side="bothSides" anchorx="page" anchory="page"/>
              </v:shape>
            </w:pict>
          </mc:Fallback>
        </mc:AlternateContent>
      </w:r>
      <w:r>
        <w:drawing>
          <wp:anchor distT="0" distB="0" distL="0" distR="0" simplePos="0" relativeHeight="251661312" behindDoc="0" locked="0" layoutInCell="1" allowOverlap="1">
            <wp:simplePos x="0" y="0"/>
            <wp:positionH relativeFrom="page">
              <wp:posOffset>2958772</wp:posOffset>
            </wp:positionH>
            <wp:positionV relativeFrom="page">
              <wp:posOffset>4863346</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4">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reneda.d.kelley@usace.army.mil</w:t>
      </w:r>
      <w:r>
        <w:rPr/>
        <w:fldChar w:fldCharType="end" w:fldLock="0"/>
      </w:r>
      <w:r>
        <w:rPr>
          <w:rtl w:val="0"/>
          <w:lang w:val="en-US"/>
        </w:rPr>
        <w:t xml:space="preserve">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r>
        <w:drawing>
          <wp:anchor distT="12700" distB="12700" distL="12700" distR="12700" simplePos="0" relativeHeight="251660288" behindDoc="0" locked="0" layoutInCell="1" allowOverlap="1">
            <wp:simplePos x="0" y="0"/>
            <wp:positionH relativeFrom="margin">
              <wp:posOffset>2131179</wp:posOffset>
            </wp:positionH>
            <wp:positionV relativeFrom="line">
              <wp:posOffset>291190</wp:posOffset>
            </wp:positionV>
            <wp:extent cx="1668542" cy="1668542"/>
            <wp:effectExtent l="0" t="0" r="0" b="0"/>
            <wp:wrapTopAndBottom distT="12700" distB="127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1668542" cy="1668542"/>
                    </a:xfrm>
                    <a:prstGeom prst="rect">
                      <a:avLst/>
                    </a:prstGeom>
                    <a:ln w="12700" cap="flat">
                      <a:noFill/>
                      <a:miter lim="400000"/>
                    </a:ln>
                    <a:effectLst/>
                  </pic:spPr>
                </pic:pic>
              </a:graphicData>
            </a:graphic>
          </wp:anchor>
        </w:drawing>
      </w:r>
    </w:p>
    <w:p>
      <w:pPr>
        <w:pStyle w:val="Body A"/>
        <w:jc w:val="center"/>
        <w:rPr>
          <w:rStyle w:val="None"/>
          <w:b w:val="1"/>
          <w:bCs w:val="1"/>
        </w:rPr>
      </w:pPr>
      <w:r>
        <w:rPr>
          <w:rtl w:val="0"/>
        </w:rPr>
        <w:br w:type="textWrapping"/>
        <w:t xml:space="preserve"> </w:t>
      </w:r>
      <w:r>
        <w:rPr>
          <w:rStyle w:val="None"/>
          <w:b w:val="1"/>
          <w:bCs w:val="1"/>
          <w:rtl w:val="0"/>
          <w:lang w:val="en-US"/>
        </w:rPr>
        <w:t>Submitted by:</w:t>
      </w:r>
    </w:p>
    <w:p>
      <w:pPr>
        <w:pStyle w:val="Body A"/>
        <w:jc w:val="center"/>
        <w:rPr>
          <w:rStyle w:val="None"/>
          <w:b w:val="1"/>
          <w:bCs w:val="1"/>
        </w:rPr>
      </w:pPr>
      <w:r>
        <w:rPr>
          <w:rStyle w:val="None"/>
          <w:b w:val="1"/>
          <w:bCs w:val="1"/>
          <w:sz w:val="28"/>
          <w:szCs w:val="28"/>
          <w:rtl w:val="0"/>
          <w:lang w:val="en-US"/>
        </w:rPr>
        <w:t>All Phase Services, Inc.</w:t>
      </w:r>
      <w:r>
        <w:rPr>
          <w:rStyle w:val="None"/>
          <w:b w:val="1"/>
          <w:bCs w:val="1"/>
          <w:sz w:val="28"/>
          <w:szCs w:val="28"/>
        </w:rPr>
        <w:br w:type="textWrapping"/>
      </w:r>
      <w:r>
        <w:rPr>
          <w:rStyle w:val="None"/>
          <w:b w:val="1"/>
          <w:bCs w:val="1"/>
          <w:rtl w:val="0"/>
          <w:lang w:val="en-US"/>
        </w:rPr>
        <w:t>SW 5th Avenue | Delray Beach FL 33444 US</w:t>
      </w:r>
      <w:r>
        <w:rPr>
          <w:rStyle w:val="None"/>
          <w:b w:val="1"/>
          <w:bCs w:val="1"/>
        </w:rPr>
        <w:br w:type="textWrapping"/>
      </w:r>
      <w:r>
        <w:rPr>
          <w:rStyle w:val="None"/>
          <w:b w:val="1"/>
          <w:bCs w:val="1"/>
          <w:rtl w:val="0"/>
          <w:lang w:val="en-US"/>
        </w:rPr>
        <w:t>POC Name: Carlos Martins / President</w:t>
      </w:r>
      <w:r>
        <w:rPr>
          <w:rStyle w:val="None"/>
          <w:b w:val="1"/>
          <w:bCs w:val="1"/>
        </w:rPr>
        <w:br w:type="textWrapping"/>
      </w:r>
      <w:r>
        <w:rPr>
          <w:rStyle w:val="None"/>
          <w:b w:val="1"/>
          <w:bCs w:val="1"/>
          <w:rtl w:val="0"/>
          <w:lang w:val="en-US"/>
        </w:rPr>
        <w:t xml:space="preserve">Email: carlos@allphase.org34 </w:t>
      </w:r>
      <w:r>
        <w:rPr>
          <w:rStyle w:val="None"/>
          <w:b w:val="1"/>
          <w:bCs w:val="1"/>
        </w:rPr>
        <w:br w:type="textWrapping"/>
      </w:r>
      <w:r>
        <w:rPr>
          <w:rStyle w:val="None"/>
          <w:b w:val="1"/>
          <w:bCs w:val="1"/>
          <w:rtl w:val="0"/>
          <w:lang w:val="en-US"/>
        </w:rPr>
        <w:t>Phone: 561-620-8222 or 561-756-6647 | Web: www.allphaseenv.com</w:t>
      </w:r>
    </w:p>
    <w:p>
      <w:pPr>
        <w:pStyle w:val="Body A"/>
        <w:pageBreakBefore w:val="1"/>
        <w:rPr>
          <w:rStyle w:val="None"/>
          <w:sz w:val="22"/>
          <w:szCs w:val="22"/>
        </w:rPr>
      </w:pPr>
      <w:r>
        <w:rPr>
          <w:rStyle w:val="None"/>
          <w:b w:val="1"/>
          <w:bCs w:val="1"/>
          <w:rtl w:val="0"/>
          <w:lang w:val="en-US"/>
        </w:rPr>
        <w:t>Cover Letter</w:t>
      </w:r>
      <w:r>
        <w:br w:type="textWrapping"/>
      </w:r>
    </w:p>
    <w:p>
      <w:pPr>
        <w:pStyle w:val="Body A"/>
        <w:spacing w:after="120" w:line="240" w:lineRule="auto"/>
        <w:jc w:val="right"/>
        <w:rPr>
          <w:sz w:val="23"/>
          <w:szCs w:val="23"/>
        </w:rPr>
      </w:pPr>
      <w:r>
        <w:rPr>
          <w:sz w:val="23"/>
          <w:szCs w:val="23"/>
          <w:rtl w:val="0"/>
          <w:lang w:val="en-US"/>
        </w:rPr>
        <w:t>23</w:t>
      </w:r>
      <w:r>
        <w:rPr>
          <w:sz w:val="23"/>
          <w:szCs w:val="23"/>
          <w:rtl w:val="0"/>
          <w:lang w:val="en-US"/>
        </w:rPr>
        <w:t>-September-2022</w:t>
      </w:r>
    </w:p>
    <w:p>
      <w:pPr>
        <w:pStyle w:val="Body A"/>
        <w:spacing w:after="120" w:line="240" w:lineRule="auto"/>
        <w:rPr>
          <w:sz w:val="23"/>
          <w:szCs w:val="23"/>
        </w:rPr>
      </w:pPr>
      <w:r>
        <w:rPr>
          <w:sz w:val="23"/>
          <w:szCs w:val="23"/>
          <w:rtl w:val="0"/>
          <w:lang w:val="en-US"/>
        </w:rPr>
        <w:t xml:space="preserve">To: US Army Corps of Engineers, </w:t>
      </w:r>
      <w:r>
        <w:rPr>
          <w:sz w:val="23"/>
          <w:szCs w:val="23"/>
        </w:rPr>
        <w:br w:type="textWrapping"/>
      </w:r>
      <w:r>
        <w:rPr>
          <w:sz w:val="23"/>
          <w:szCs w:val="23"/>
          <w:rtl w:val="0"/>
          <w:lang w:val="en-US"/>
        </w:rPr>
        <w:t>Engineering and Support Center, Huntsville (CEHNC)</w:t>
      </w:r>
      <w:r>
        <w:rPr>
          <w:sz w:val="23"/>
          <w:szCs w:val="23"/>
        </w:rPr>
        <w:br w:type="textWrapping"/>
      </w:r>
      <w:r>
        <w:rPr>
          <w:sz w:val="23"/>
          <w:szCs w:val="23"/>
          <w:rtl w:val="0"/>
          <w:lang w:val="en-US"/>
        </w:rPr>
        <w:t>Atten: Reneda Kelley, Contracting Officer</w:t>
      </w:r>
    </w:p>
    <w:p>
      <w:pPr>
        <w:pStyle w:val="Body A"/>
        <w:spacing w:after="120" w:line="240" w:lineRule="auto"/>
        <w:jc w:val="right"/>
        <w:rPr>
          <w:sz w:val="23"/>
          <w:szCs w:val="23"/>
        </w:rPr>
      </w:pPr>
      <w:r>
        <w:rPr>
          <w:sz w:val="23"/>
          <w:szCs w:val="23"/>
          <w:rtl w:val="0"/>
          <w:lang w:val="en-US"/>
        </w:rPr>
        <w:t xml:space="preserve">re: </w:t>
      </w:r>
      <w:r>
        <w:rPr>
          <w:sz w:val="23"/>
          <w:szCs w:val="23"/>
          <w:rtl w:val="0"/>
          <w:lang w:val="en-US"/>
        </w:rPr>
        <w:t>Task Order PANHES-22-P-0000 004838</w:t>
      </w:r>
    </w:p>
    <w:p>
      <w:pPr>
        <w:pStyle w:val="Body A"/>
        <w:spacing w:after="120" w:line="240" w:lineRule="auto"/>
        <w:rPr>
          <w:sz w:val="23"/>
          <w:szCs w:val="23"/>
        </w:rPr>
      </w:pPr>
      <w:r>
        <w:rPr>
          <w:sz w:val="23"/>
          <w:szCs w:val="23"/>
          <w:rtl w:val="0"/>
          <w:lang w:val="en-US"/>
        </w:rPr>
        <w:t>Dear Sir/Madam:</w:t>
      </w:r>
    </w:p>
    <w:p>
      <w:pPr>
        <w:pStyle w:val="Body A"/>
        <w:spacing w:after="120" w:line="240" w:lineRule="auto"/>
        <w:rPr>
          <w:sz w:val="23"/>
          <w:szCs w:val="23"/>
        </w:rPr>
      </w:pPr>
      <w:r>
        <w:rPr>
          <w:sz w:val="23"/>
          <w:szCs w:val="23"/>
          <w:rtl w:val="0"/>
          <w:lang w:val="en-US"/>
        </w:rPr>
        <w:t xml:space="preserve">All Phase Services, Inc. is pleased to submit this proposal in response to Task Order REV00 </w:t>
      </w:r>
      <w:r>
        <w:rPr>
          <w:sz w:val="23"/>
          <w:szCs w:val="23"/>
        </w:rPr>
        <w:br w:type="textWrapping"/>
      </w:r>
      <w:r>
        <w:rPr>
          <w:sz w:val="23"/>
          <w:szCs w:val="23"/>
          <w:rtl w:val="0"/>
          <w:lang w:val="en-US"/>
        </w:rPr>
        <w:t>for demolition at Fort Bragg, North Carolina. Our proposal conforms to the instructions and requirements of the solicitation and addresses the Task Order SOW. We acknowledge receipt of associated maps and Site Survey Report, and Q&amp;A</w:t>
      </w:r>
      <w:r>
        <w:rPr>
          <w:sz w:val="23"/>
          <w:szCs w:val="23"/>
          <w:rtl w:val="0"/>
          <w:lang w:val="en-US"/>
        </w:rPr>
        <w:t>’</w:t>
      </w:r>
      <w:r>
        <w:rPr>
          <w:sz w:val="23"/>
          <w:szCs w:val="23"/>
          <w:rtl w:val="0"/>
          <w:lang w:val="en-US"/>
        </w:rPr>
        <w:t>s, as well as the RFP, including all amendments up to received 06-September-2022. All Phase takes no exceptions to the terms, conditions, and provisions contained therein. Furthermore, we make no assumptions within this proposal that are intended to offset any risk onto the Government.</w:t>
        <w:br w:type="textWrapping"/>
      </w:r>
      <w:commentRangeStart w:id="0"/>
    </w:p>
    <w:p>
      <w:pPr>
        <w:pStyle w:val="Body A"/>
        <w:spacing w:after="120" w:line="240" w:lineRule="auto"/>
        <w:rPr>
          <w:sz w:val="23"/>
          <w:szCs w:val="23"/>
        </w:rPr>
      </w:pPr>
      <w:r>
        <w:rPr>
          <w:sz w:val="23"/>
          <w:szCs w:val="23"/>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br w:type="textWrapping"/>
      </w:r>
      <w:commentRangeEnd w:id="0"/>
      <w:r>
        <w:commentReference w:id="0"/>
      </w:r>
    </w:p>
    <w:p>
      <w:pPr>
        <w:pStyle w:val="Body A"/>
        <w:spacing w:after="120" w:line="240" w:lineRule="auto"/>
        <w:rPr>
          <w:sz w:val="23"/>
          <w:szCs w:val="23"/>
        </w:rPr>
      </w:pPr>
      <w:r>
        <w:rPr>
          <w:sz w:val="23"/>
          <w:szCs w:val="23"/>
          <w:rtl w:val="0"/>
          <w:lang w:val="en-US"/>
        </w:rPr>
        <w:t>Eric Newman, Pre-Construction Manager of All Phase Services, Inc. will be the point of contact for this proposal with full authority to negotiate and sign the contract resulting from this procurement on All Phase</w:t>
      </w:r>
      <w:r>
        <w:rPr>
          <w:sz w:val="23"/>
          <w:szCs w:val="23"/>
          <w:rtl w:val="0"/>
          <w:lang w:val="en-US"/>
        </w:rPr>
        <w:t>’</w:t>
      </w:r>
      <w:r>
        <w:rPr>
          <w:sz w:val="23"/>
          <w:szCs w:val="23"/>
          <w:rtl w:val="0"/>
          <w:lang w:val="en-US"/>
        </w:rPr>
        <w:t xml:space="preserve">s behalf, with contact information provided, below. Sal Rabah, President of All Phase, will be the primary POC. </w:t>
      </w:r>
    </w:p>
    <w:p>
      <w:pPr>
        <w:pStyle w:val="Body A"/>
        <w:keepNext w:val="1"/>
        <w:spacing w:after="120" w:line="240" w:lineRule="auto"/>
        <w:rPr>
          <w:sz w:val="23"/>
          <w:szCs w:val="23"/>
        </w:rPr>
      </w:pPr>
      <w:r>
        <w:rPr>
          <w:sz w:val="23"/>
          <w:szCs w:val="23"/>
          <w:rtl w:val="0"/>
          <w:lang w:val="en-US"/>
        </w:rPr>
        <w:t>Respectfully,</w:t>
      </w:r>
    </w:p>
    <w:p>
      <w:pPr>
        <w:pStyle w:val="Body A"/>
        <w:keepNext w:val="1"/>
        <w:spacing w:after="120" w:line="240" w:lineRule="auto"/>
        <w:rPr>
          <w:sz w:val="23"/>
          <w:szCs w:val="23"/>
        </w:rPr>
      </w:pPr>
    </w:p>
    <w:p>
      <w:pPr>
        <w:pStyle w:val="Body A"/>
        <w:spacing w:after="120" w:line="240" w:lineRule="auto"/>
        <w:rPr>
          <w:sz w:val="23"/>
          <w:szCs w:val="23"/>
        </w:rPr>
      </w:pPr>
      <w:r>
        <w:rPr>
          <w:sz w:val="23"/>
          <w:szCs w:val="23"/>
          <w:rtl w:val="0"/>
          <w:lang w:val="en-US"/>
        </w:rPr>
        <w:t>/S/</w:t>
      </w:r>
    </w:p>
    <w:p>
      <w:pPr>
        <w:pStyle w:val="Body A"/>
        <w:spacing w:after="120" w:line="240" w:lineRule="auto"/>
        <w:rPr>
          <w:sz w:val="23"/>
          <w:szCs w:val="23"/>
        </w:rPr>
      </w:pPr>
    </w:p>
    <w:p>
      <w:pPr>
        <w:pStyle w:val="Body A"/>
        <w:spacing w:after="120" w:line="240" w:lineRule="auto"/>
        <w:rPr>
          <w:sz w:val="23"/>
          <w:szCs w:val="23"/>
        </w:rPr>
      </w:pPr>
      <w:r>
        <w:rPr>
          <w:rStyle w:val="None"/>
          <w:b w:val="1"/>
          <w:bCs w:val="1"/>
          <w:sz w:val="23"/>
          <w:szCs w:val="23"/>
          <w:rtl w:val="0"/>
          <w:lang w:val="en-US"/>
        </w:rPr>
        <w:t xml:space="preserve">Sal Rabah, President </w:t>
      </w:r>
      <w:r>
        <w:rPr>
          <w:rStyle w:val="None"/>
          <w:b w:val="1"/>
          <w:bCs w:val="1"/>
          <w:sz w:val="23"/>
          <w:szCs w:val="23"/>
          <w:rtl w:val="0"/>
          <w:lang w:val="en-US"/>
        </w:rPr>
        <w:t xml:space="preserve">– </w:t>
      </w:r>
      <w:r>
        <w:rPr>
          <w:rStyle w:val="None"/>
          <w:b w:val="1"/>
          <w:bCs w:val="1"/>
          <w:sz w:val="23"/>
          <w:szCs w:val="23"/>
          <w:rtl w:val="0"/>
          <w:lang w:val="en-US"/>
        </w:rPr>
        <w:t>Primary POC</w:t>
      </w:r>
      <w:r>
        <w:rPr>
          <w:sz w:val="23"/>
          <w:szCs w:val="23"/>
        </w:rPr>
        <w:br w:type="textWrapping"/>
      </w:r>
      <w:r>
        <w:rPr>
          <w:sz w:val="23"/>
          <w:szCs w:val="23"/>
          <w:rtl w:val="0"/>
          <w:lang w:val="en-US"/>
        </w:rPr>
        <w:t>All Phase Services, Inc.</w:t>
      </w:r>
      <w:r>
        <w:rPr>
          <w:sz w:val="23"/>
          <w:szCs w:val="23"/>
        </w:rPr>
        <w:br w:type="textWrapping"/>
      </w:r>
      <w:r>
        <w:rPr>
          <w:sz w:val="23"/>
          <w:szCs w:val="23"/>
          <w:rtl w:val="0"/>
          <w:lang w:val="en-US"/>
        </w:rPr>
        <w:t>34 SW 5th Avenue</w:t>
      </w:r>
      <w:r>
        <w:rPr>
          <w:sz w:val="23"/>
          <w:szCs w:val="23"/>
        </w:rPr>
        <w:br w:type="textWrapping"/>
      </w:r>
      <w:r>
        <w:rPr>
          <w:sz w:val="23"/>
          <w:szCs w:val="23"/>
          <w:rtl w:val="0"/>
          <w:lang w:val="en-US"/>
        </w:rPr>
        <w:t>Delray Beach, FL 33444</w:t>
      </w:r>
      <w:r>
        <w:rPr>
          <w:sz w:val="23"/>
          <w:szCs w:val="23"/>
        </w:rPr>
        <w:br w:type="textWrapping"/>
      </w:r>
      <w:r>
        <w:rPr>
          <w:sz w:val="23"/>
          <w:szCs w:val="23"/>
          <w:rtl w:val="0"/>
          <w:lang w:val="en-US"/>
        </w:rPr>
        <w:t>561-620-8222 | Fax 866-260-2024</w:t>
      </w:r>
      <w:r>
        <w:rPr>
          <w:sz w:val="23"/>
          <w:szCs w:val="23"/>
        </w:rPr>
        <w:br w:type="textWrapping"/>
      </w:r>
      <w:r>
        <w:rPr>
          <w:sz w:val="23"/>
          <w:szCs w:val="23"/>
          <w:rtl w:val="0"/>
          <w:lang w:val="en-US"/>
        </w:rPr>
        <w:t xml:space="preserve">Email: </w:t>
      </w:r>
      <w:r>
        <w:rPr>
          <w:rStyle w:val="Hyperlink.1"/>
          <w:sz w:val="23"/>
          <w:szCs w:val="23"/>
        </w:rPr>
        <w:fldChar w:fldCharType="begin" w:fldLock="0"/>
      </w:r>
      <w:r>
        <w:rPr>
          <w:rStyle w:val="Hyperlink.1"/>
          <w:sz w:val="23"/>
          <w:szCs w:val="23"/>
        </w:rPr>
        <w:instrText xml:space="preserve"> HYPERLINK "mailto:sal@allphase.org"</w:instrText>
      </w:r>
      <w:r>
        <w:rPr>
          <w:rStyle w:val="Hyperlink.1"/>
          <w:sz w:val="23"/>
          <w:szCs w:val="23"/>
        </w:rPr>
        <w:fldChar w:fldCharType="separate" w:fldLock="0"/>
      </w:r>
      <w:r>
        <w:rPr>
          <w:rStyle w:val="Hyperlink.1"/>
          <w:sz w:val="23"/>
          <w:szCs w:val="23"/>
          <w:rtl w:val="0"/>
          <w:lang w:val="en-US"/>
        </w:rPr>
        <w:t>sal@allphase.org</w:t>
      </w:r>
      <w:r>
        <w:rPr>
          <w:sz w:val="23"/>
          <w:szCs w:val="23"/>
        </w:rPr>
        <w:fldChar w:fldCharType="end" w:fldLock="0"/>
      </w:r>
      <w:r>
        <w:rPr>
          <w:sz w:val="23"/>
          <w:szCs w:val="23"/>
        </w:rPr>
        <w:br w:type="textWrapping"/>
      </w:r>
    </w:p>
    <w:p>
      <w:pPr>
        <w:pStyle w:val="Body A"/>
        <w:spacing w:after="120" w:line="240" w:lineRule="auto"/>
        <w:rPr>
          <w:sz w:val="23"/>
          <w:szCs w:val="23"/>
        </w:rPr>
      </w:pPr>
      <w:r>
        <w:rPr>
          <w:rStyle w:val="None"/>
          <w:b w:val="1"/>
          <w:bCs w:val="1"/>
          <w:sz w:val="23"/>
          <w:szCs w:val="23"/>
          <w:rtl w:val="0"/>
          <w:lang w:val="en-US"/>
        </w:rPr>
        <w:t xml:space="preserve">Eric Newman, Pre-Construction Manager </w:t>
      </w:r>
      <w:r>
        <w:rPr>
          <w:rStyle w:val="None"/>
          <w:b w:val="1"/>
          <w:bCs w:val="1"/>
          <w:sz w:val="23"/>
          <w:szCs w:val="23"/>
          <w:rtl w:val="0"/>
          <w:lang w:val="en-US"/>
        </w:rPr>
        <w:t xml:space="preserve">– </w:t>
      </w:r>
      <w:r>
        <w:rPr>
          <w:rStyle w:val="None"/>
          <w:b w:val="1"/>
          <w:bCs w:val="1"/>
          <w:sz w:val="23"/>
          <w:szCs w:val="23"/>
          <w:rtl w:val="0"/>
          <w:lang w:val="en-US"/>
        </w:rPr>
        <w:t>Alternate POC</w:t>
      </w:r>
      <w:r>
        <w:rPr>
          <w:sz w:val="23"/>
          <w:szCs w:val="23"/>
        </w:rPr>
        <w:br w:type="textWrapping"/>
      </w:r>
      <w:r>
        <w:rPr>
          <w:sz w:val="23"/>
          <w:szCs w:val="23"/>
          <w:rtl w:val="0"/>
          <w:lang w:val="en-US"/>
        </w:rPr>
        <w:t>O: 561.272.0944 | C: 941.302.6562</w:t>
      </w:r>
      <w:r>
        <w:rPr>
          <w:sz w:val="23"/>
          <w:szCs w:val="23"/>
        </w:rPr>
        <w:br w:type="textWrapping"/>
      </w:r>
      <w:r>
        <w:rPr>
          <w:sz w:val="23"/>
          <w:szCs w:val="23"/>
          <w:rtl w:val="0"/>
          <w:lang w:val="en-US"/>
        </w:rPr>
        <w:t>Email: Eric.newman@allphase.org</w:t>
      </w:r>
    </w:p>
    <w:p>
      <w:pPr>
        <w:pStyle w:val="Body A"/>
        <w:pageBreakBefore w:val="1"/>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Table 1. Hazardous Material Abatement Projected Difficulty per Location </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Table 4. Demolition Structure Types and Projected Difficulty Per Location </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 xml:space="preserve">Table 6. Demolition Waste Recycling and Salvage </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Appendix - Schedule of Structures to be Demolished</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_Toc26 \h </w:instrText>
      </w:r>
      <w:r>
        <w:rPr/>
        <w:fldChar w:fldCharType="separate" w:fldLock="0"/>
      </w:r>
      <w:r>
        <w:rPr>
          <w:rFonts w:cs="Arial Unicode MS" w:eastAsia="Arial Unicode MS"/>
          <w:rtl w:val="0"/>
        </w:rPr>
        <w:t>28</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Style w:val="None"/>
          <w:rtl w:val="0"/>
          <w:lang w:val="en-US"/>
        </w:rPr>
        <w:t>Technical Approach</w:t>
      </w:r>
      <w:bookmarkEnd w:id="1"/>
    </w:p>
    <w:p>
      <w:pPr>
        <w:pStyle w:val="Body C"/>
      </w:pPr>
      <w:r>
        <w:rPr>
          <w:rtl w:val="0"/>
        </w:rPr>
        <w:t>All Phase will provide all personnel, tools and equipment, and expertise for demolition services at Fort Bragg, North Carolina.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Style w:val="None"/>
          <w:rFonts w:ascii="Arial Unicode MS" w:hAnsi="Arial Unicode MS" w:hint="default"/>
          <w:rtl w:val="0"/>
          <w:lang w:val="en-US"/>
        </w:rPr>
        <w:t>’</w:t>
      </w:r>
      <w:r>
        <w:rPr>
          <w:rtl w:val="0"/>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5"/>
        <w:gridCol w:w="5014"/>
        <w:gridCol w:w="1007"/>
        <w:gridCol w:w="1333"/>
      </w:tblGrid>
      <w:tr>
        <w:tblPrEx>
          <w:shd w:val="clear" w:color="auto" w:fill="00a2ff"/>
        </w:tblPrEx>
        <w:trPr>
          <w:trHeight w:val="248" w:hRule="atLeast"/>
          <w:tblHeader/>
        </w:trPr>
        <w:tc>
          <w:tcPr>
            <w:tcW w:type="dxa" w:w="9359"/>
            <w:gridSpan w:val="4"/>
            <w:tcBorders>
              <w:top w:val="nil"/>
              <w:left w:val="nil"/>
              <w:bottom w:val="single" w:color="919191" w:sz="6" w:space="0" w:shadow="0" w:frame="0"/>
              <w:right w:val="nil"/>
            </w:tcBorders>
            <w:shd w:val="clear" w:color="auto" w:fill="auto"/>
            <w:tcMar>
              <w:top w:type="dxa" w:w="80"/>
              <w:left w:type="dxa" w:w="80"/>
              <w:bottom w:type="dxa" w:w="80"/>
              <w:right w:type="dxa" w:w="80"/>
            </w:tcMar>
            <w:vAlign w:val="center"/>
          </w:tcPr>
          <w:p>
            <w:pPr>
              <w:pStyle w:val="Body"/>
              <w:jc w:val="center"/>
            </w:pPr>
            <w:r>
              <w:rPr>
                <w:rStyle w:val="None"/>
                <w:b w:val="1"/>
                <w:bCs w:val="1"/>
                <w:sz w:val="22"/>
                <w:szCs w:val="22"/>
                <w:rtl w:val="0"/>
                <w:lang w:val="en-US"/>
              </w:rPr>
              <w:t xml:space="preserve">Structures </w:t>
            </w:r>
            <w:r>
              <w:rPr>
                <w:rStyle w:val="None"/>
                <w:b w:val="1"/>
                <w:bCs w:val="1"/>
                <w:sz w:val="22"/>
                <w:szCs w:val="22"/>
                <w:rtl w:val="0"/>
                <w:lang w:val="en-US"/>
              </w:rPr>
              <w:t xml:space="preserve">for </w:t>
            </w:r>
            <w:r>
              <w:rPr>
                <w:rStyle w:val="None"/>
                <w:b w:val="1"/>
                <w:bCs w:val="1"/>
                <w:sz w:val="22"/>
                <w:szCs w:val="22"/>
                <w:rtl w:val="0"/>
                <w:lang w:val="en-US"/>
              </w:rPr>
              <w:t xml:space="preserve">Demolition </w:t>
            </w:r>
            <w:r>
              <w:rPr>
                <w:rStyle w:val="None"/>
                <w:b w:val="1"/>
                <w:bCs w:val="1"/>
                <w:sz w:val="22"/>
                <w:szCs w:val="22"/>
                <w:rtl w:val="0"/>
                <w:lang w:val="en-US"/>
              </w:rPr>
              <w:t>(base bid)</w:t>
            </w:r>
          </w:p>
        </w:tc>
      </w:tr>
      <w:tr>
        <w:tblPrEx>
          <w:shd w:val="clear" w:color="auto" w:fill="00a2ff"/>
        </w:tblPrEx>
        <w:trPr>
          <w:trHeight w:val="207"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Number</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UOM</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 of Units</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H4654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H5117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32,184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H4952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32,184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H5245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H5454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43,067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H5752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32,316 </w:t>
            </w:r>
          </w:p>
        </w:tc>
      </w:tr>
      <w:tr>
        <w:tblPrEx>
          <w:shd w:val="clear" w:color="auto" w:fill="cadfff"/>
        </w:tblPrEx>
        <w:trPr>
          <w:trHeight w:val="20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H5812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SF</w:t>
            </w:r>
          </w:p>
        </w:tc>
        <w:tc>
          <w:tcPr>
            <w:tcW w:type="dxa" w:w="1332"/>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pPr>
            <w:r>
              <w:rPr>
                <w:rStyle w:val="None"/>
                <w:sz w:val="18"/>
                <w:szCs w:val="18"/>
                <w:rtl w:val="0"/>
                <w:lang w:val="en-US"/>
              </w:rPr>
              <w:t xml:space="preserve"> </w:t>
              <w:tab/>
              <w:t xml:space="preserve">42,912 </w:t>
            </w:r>
          </w:p>
        </w:tc>
      </w:tr>
      <w:tr>
        <w:tblPrEx>
          <w:shd w:val="clear" w:color="auto" w:fill="cadfff"/>
        </w:tblPrEx>
        <w:trPr>
          <w:trHeight w:val="207" w:hRule="atLeast"/>
        </w:trPr>
        <w:tc>
          <w:tcPr>
            <w:tcW w:type="dxa" w:w="9359"/>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jc w:val="center"/>
            </w:pPr>
            <w:r>
              <w:rPr>
                <w:rStyle w:val="None"/>
                <w:b w:val="1"/>
                <w:bCs w:val="1"/>
                <w:sz w:val="18"/>
                <w:szCs w:val="18"/>
                <w:rtl w:val="0"/>
                <w:lang w:val="en-US"/>
              </w:rPr>
              <w:t>(see appendix for optional structures)</w:t>
            </w:r>
          </w:p>
        </w:tc>
      </w:tr>
    </w:tbl>
    <w:p>
      <w:pPr>
        <w:pStyle w:val="Body C"/>
        <w:ind w:left="108" w:hanging="108"/>
        <w:jc w:val="left"/>
      </w:pPr>
    </w:p>
    <w:p>
      <w:pPr>
        <w:pStyle w:val="Body C"/>
      </w:pP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control.We understand the requirements to be for All Phase to provide all design services, labor, tools, equipment, and services necessary to demolish the buildings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tl w:val="0"/>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PWS.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2"/>
      <w:r>
        <w:rPr>
          <w:rStyle w:val="None"/>
          <w:rtl w:val="0"/>
          <w:lang w:val="en-US"/>
        </w:rPr>
        <w:t>Table 1. Hazardous Material Abatement Projected Difficulty per Location</w:t>
      </w:r>
      <w:r>
        <w:rPr>
          <w:rStyle w:val="None"/>
          <w:rtl w:val="0"/>
          <w:lang w:val="en-US"/>
        </w:rPr>
        <w:t xml:space="preserve"> </w:t>
      </w:r>
      <w:bookmarkEnd w:id="2"/>
    </w:p>
    <w:p>
      <w:pPr>
        <w:pStyle w:val="Body C"/>
      </w:pPr>
      <w:r>
        <w:drawing>
          <wp:anchor distT="0" distB="0" distL="0" distR="0" simplePos="0" relativeHeight="251662336" behindDoc="0" locked="0" layoutInCell="1" allowOverlap="1">
            <wp:simplePos x="0" y="0"/>
            <wp:positionH relativeFrom="margin">
              <wp:posOffset>285350</wp:posOffset>
            </wp:positionH>
            <wp:positionV relativeFrom="line">
              <wp:posOffset>244908</wp:posOffset>
            </wp:positionV>
            <wp:extent cx="5360199" cy="3107892"/>
            <wp:effectExtent l="0" t="0" r="0" b="0"/>
            <wp:wrapThrough wrapText="bothSides" distL="0" distR="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360199" cy="3107892"/>
                    </a:xfrm>
                    <a:prstGeom prst="rect">
                      <a:avLst/>
                    </a:prstGeom>
                    <a:ln w="12700" cap="flat">
                      <a:noFill/>
                      <a:miter lim="400000"/>
                    </a:ln>
                    <a:effectLst/>
                  </pic:spPr>
                </pic:pic>
              </a:graphicData>
            </a:graphic>
          </wp:anchor>
        </w:drawing>
      </w:r>
    </w:p>
    <w:p>
      <w:pPr>
        <w:pStyle w:val="Body C"/>
      </w:pPr>
    </w:p>
    <w:p>
      <w:pPr>
        <w:pStyle w:val="Body C"/>
      </w:pPr>
    </w:p>
    <w:p>
      <w:pPr>
        <w:pStyle w:val="Body C"/>
      </w:pPr>
      <w:r>
        <w:rPr>
          <w:rtl w:val="0"/>
        </w:rPr>
        <w:t>Manpower and PCM sampling needs are estimated in Table 2; this table only lists structures shown to contain ACM in the pre-demolition reports. The abatement team will consist of a supervisor and trained abatement workers. This team will systematically move from structure to structure removing hazardous materials and enabling subsequent site preparation and demolition. ORM labor is included in Table 5 (demolition section).</w:t>
      </w:r>
      <w:r>
        <w:rPr>
          <w:rtl w:val="0"/>
        </w:rPr>
        <w:t xml:space="preserve"> All Phase will consult the </w:t>
      </w:r>
      <w:r>
        <w:rPr>
          <w:rtl w:val="0"/>
        </w:rPr>
        <w:t>Fort Bragg record of fiber reinforcement containing ACM in cementitious materials</w:t>
      </w:r>
      <w:r>
        <w:rPr>
          <w:rtl w:val="0"/>
        </w:rPr>
        <w:t>,</w:t>
      </w:r>
      <w:r>
        <w:rPr>
          <w:rtl w:val="0"/>
        </w:rPr>
        <w:t xml:space="preserve"> including concrete. </w:t>
      </w:r>
    </w:p>
    <w:p>
      <w:pPr>
        <w:pStyle w:val="Heading 2"/>
        <w:suppressAutoHyphens w:val="1"/>
      </w:pPr>
      <w:bookmarkStart w:name="_Toc2" w:id="3"/>
      <w:r>
        <w:rPr>
          <w:rStyle w:val="None"/>
          <w:rtl w:val="0"/>
          <w:lang w:val="en-US"/>
        </w:rPr>
        <w:t>Table 2. Hazardous Material Abatement Manpower Projection</w:t>
      </w:r>
      <w:r>
        <w:rPr>
          <w:rStyle w:val="None"/>
          <w:lang w:val="en-US"/>
        </w:rPr>
        <w:drawing>
          <wp:anchor distT="0" distB="0" distL="0" distR="0" simplePos="0" relativeHeight="251663360" behindDoc="0" locked="0" layoutInCell="1" allowOverlap="1">
            <wp:simplePos x="0" y="0"/>
            <wp:positionH relativeFrom="margin">
              <wp:posOffset>-6350</wp:posOffset>
            </wp:positionH>
            <wp:positionV relativeFrom="line">
              <wp:posOffset>304999</wp:posOffset>
            </wp:positionV>
            <wp:extent cx="5943600" cy="2438201"/>
            <wp:effectExtent l="0" t="0" r="0" b="0"/>
            <wp:wrapThrough wrapText="bothSides" distL="0" distR="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2438201"/>
                    </a:xfrm>
                    <a:prstGeom prst="rect">
                      <a:avLst/>
                    </a:prstGeom>
                    <a:ln w="12700" cap="flat">
                      <a:noFill/>
                      <a:miter lim="400000"/>
                    </a:ln>
                    <a:effectLst/>
                  </pic:spPr>
                </pic:pic>
              </a:graphicData>
            </a:graphic>
          </wp:anchor>
        </w:drawing>
      </w:r>
      <w:r>
        <w:rPr>
          <w:rStyle w:val="None"/>
          <w:rtl w:val="0"/>
          <w:lang w:val="en-US"/>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keepNext w:val="0"/>
        <w:widowControl w:val="0"/>
        <w:suppressAutoHyphens w:val="1"/>
      </w:pPr>
      <w:bookmarkStart w:name="_Toc3" w:id="4"/>
      <w:r>
        <w:rPr>
          <w:rStyle w:val="None"/>
          <w:rtl w:val="0"/>
          <w:lang w:val="en-US"/>
        </w:rPr>
        <w:t>Table 3. Subcontractors, Consultants, Vendors, And Waste Handlers</w:t>
      </w:r>
      <w:bookmarkEnd w:id="4"/>
    </w:p>
    <w:p>
      <w:pPr>
        <w:pStyle w:val="Heading 2"/>
        <w:keepNext w:val="0"/>
        <w:widowControl w:val="0"/>
        <w:suppressAutoHyphens w:val="1"/>
        <w:ind w:left="324" w:hanging="324"/>
      </w:pPr>
    </w:p>
    <w:tbl>
      <w:tblPr>
        <w:tblW w:w="913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7"/>
        <w:gridCol w:w="2685"/>
        <w:gridCol w:w="1922"/>
        <w:gridCol w:w="2470"/>
      </w:tblGrid>
      <w:tr>
        <w:tblPrEx>
          <w:shd w:val="clear" w:color="auto" w:fill="4472c4"/>
        </w:tblPrEx>
        <w:trPr>
          <w:trHeight w:val="222" w:hRule="atLeast"/>
          <w:tblHeader/>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9a1fe"/>
            <w:tcMar>
              <w:top w:type="dxa" w:w="80"/>
              <w:left w:type="dxa" w:w="80"/>
              <w:bottom w:type="dxa" w:w="80"/>
              <w:right w:type="dxa" w:w="80"/>
            </w:tcMar>
            <w:vAlign w:val="center"/>
          </w:tcPr>
          <w:p>
            <w:pPr>
              <w:pStyle w:val="Body"/>
              <w:suppressAutoHyphens w:val="1"/>
              <w:spacing w:after="160" w:line="259" w:lineRule="auto"/>
              <w:jc w:val="center"/>
            </w:pPr>
            <w:r>
              <w:rPr>
                <w:rStyle w:val="None"/>
                <w:b w:val="1"/>
                <w:bCs w:val="1"/>
                <w:sz w:val="20"/>
                <w:szCs w:val="20"/>
                <w:rtl w:val="0"/>
                <w:lang w:val="en-US"/>
              </w:rPr>
              <w:t>Name</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9a1fe"/>
            <w:tcMar>
              <w:top w:type="dxa" w:w="80"/>
              <w:left w:type="dxa" w:w="80"/>
              <w:bottom w:type="dxa" w:w="80"/>
              <w:right w:type="dxa" w:w="80"/>
            </w:tcMar>
            <w:vAlign w:val="center"/>
          </w:tcPr>
          <w:p>
            <w:pPr>
              <w:pStyle w:val="Body"/>
              <w:suppressAutoHyphens w:val="1"/>
              <w:jc w:val="center"/>
            </w:pPr>
            <w:r>
              <w:rPr>
                <w:rStyle w:val="None"/>
                <w:b w:val="1"/>
                <w:bCs w:val="1"/>
                <w:sz w:val="20"/>
                <w:szCs w:val="20"/>
                <w:rtl w:val="0"/>
                <w:lang w:val="en-US"/>
              </w:rPr>
              <w:t>Address</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9a1fe"/>
            <w:tcMar>
              <w:top w:type="dxa" w:w="80"/>
              <w:left w:type="dxa" w:w="80"/>
              <w:bottom w:type="dxa" w:w="80"/>
              <w:right w:type="dxa" w:w="80"/>
            </w:tcMar>
            <w:vAlign w:val="center"/>
          </w:tcPr>
          <w:p>
            <w:pPr>
              <w:pStyle w:val="Body"/>
              <w:suppressAutoHyphens w:val="1"/>
              <w:jc w:val="center"/>
            </w:pPr>
            <w:r>
              <w:rPr>
                <w:rStyle w:val="None"/>
                <w:b w:val="1"/>
                <w:bCs w:val="1"/>
                <w:sz w:val="20"/>
                <w:szCs w:val="20"/>
                <w:rtl w:val="0"/>
                <w:lang w:val="en-US"/>
              </w:rPr>
              <w:t>Distance</w:t>
            </w: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9a1fe"/>
            <w:tcMar>
              <w:top w:type="dxa" w:w="80"/>
              <w:left w:type="dxa" w:w="80"/>
              <w:bottom w:type="dxa" w:w="80"/>
              <w:right w:type="dxa" w:w="80"/>
            </w:tcMar>
            <w:vAlign w:val="center"/>
          </w:tcPr>
          <w:p>
            <w:pPr>
              <w:pStyle w:val="Body"/>
              <w:suppressAutoHyphens w:val="1"/>
              <w:jc w:val="center"/>
            </w:pPr>
            <w:r>
              <w:rPr>
                <w:rStyle w:val="None"/>
                <w:b w:val="1"/>
                <w:bCs w:val="1"/>
                <w:sz w:val="20"/>
                <w:szCs w:val="20"/>
                <w:rtl w:val="0"/>
                <w:lang w:val="en-US"/>
              </w:rPr>
              <w:t>Cost</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z w:val="20"/>
                <w:szCs w:val="20"/>
                <w:rtl w:val="0"/>
                <w:lang w:val="en-US"/>
              </w:rPr>
              <w:t>Omni Source Metal Recycling</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445 Glidden St.</w:t>
            </w:r>
          </w:p>
          <w:p>
            <w:pPr>
              <w:pStyle w:val="Body"/>
              <w:suppressAutoHyphens w:val="1"/>
              <w:bidi w:val="0"/>
              <w:ind w:left="0" w:right="0" w:firstLine="0"/>
              <w:jc w:val="left"/>
              <w:rPr>
                <w:rtl w:val="0"/>
              </w:rPr>
            </w:pPr>
            <w:r>
              <w:rPr>
                <w:rStyle w:val="None"/>
                <w:sz w:val="20"/>
                <w:szCs w:val="20"/>
                <w:rtl w:val="0"/>
                <w:lang w:val="en-US"/>
              </w:rPr>
              <w:t>Fayetteville, NC28301</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13.1 miles 23 min</w:t>
            </w: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$5.50/100 lbs.</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z w:val="20"/>
                <w:szCs w:val="20"/>
                <w:rtl w:val="0"/>
                <w:lang w:val="en-US"/>
              </w:rPr>
              <w:t>Cumberland County Landfill</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698 St Ann St</w:t>
            </w:r>
          </w:p>
          <w:p>
            <w:pPr>
              <w:pStyle w:val="Body"/>
              <w:suppressAutoHyphens w:val="1"/>
              <w:bidi w:val="0"/>
              <w:ind w:left="0" w:right="0" w:firstLine="0"/>
              <w:jc w:val="left"/>
              <w:rPr>
                <w:rtl w:val="0"/>
              </w:rPr>
            </w:pPr>
            <w:r>
              <w:rPr>
                <w:rStyle w:val="None"/>
                <w:sz w:val="20"/>
                <w:szCs w:val="20"/>
                <w:rtl w:val="0"/>
                <w:lang w:val="en-US"/>
              </w:rPr>
              <w:t>Fayetteville, NC 28301</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8.0 miles</w:t>
            </w:r>
          </w:p>
          <w:p>
            <w:pPr>
              <w:pStyle w:val="Body"/>
              <w:suppressAutoHyphens w:val="1"/>
              <w:bidi w:val="0"/>
              <w:ind w:left="0" w:right="0" w:firstLine="0"/>
              <w:jc w:val="left"/>
              <w:rPr>
                <w:rtl w:val="0"/>
              </w:rPr>
            </w:pPr>
            <w:r>
              <w:rPr>
                <w:rStyle w:val="None"/>
                <w:sz w:val="20"/>
                <w:szCs w:val="20"/>
                <w:rtl w:val="0"/>
                <w:lang w:val="en-US"/>
              </w:rPr>
              <w:t>17 min</w:t>
            </w: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Inert debris -clean concrete/ bricks ***no rebar</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$18.00 ton</w:t>
            </w:r>
          </w:p>
          <w:p>
            <w:pPr>
              <w:pStyle w:val="Body"/>
              <w:suppressAutoHyphens w:val="1"/>
              <w:bidi w:val="0"/>
              <w:ind w:left="0" w:right="0" w:firstLine="0"/>
              <w:jc w:val="left"/>
              <w:rPr>
                <w:rtl w:val="0"/>
              </w:rPr>
            </w:pPr>
            <w:r>
              <w:rPr>
                <w:rStyle w:val="None"/>
                <w:sz w:val="20"/>
                <w:szCs w:val="20"/>
                <w:rtl w:val="0"/>
                <w:lang w:val="en-US"/>
              </w:rPr>
              <w:t>$0.90 per 100#</w:t>
            </w:r>
          </w:p>
        </w:tc>
      </w:tr>
      <w:tr>
        <w:tblPrEx>
          <w:shd w:val="clear" w:color="auto" w:fill="cdd4e9"/>
        </w:tblPrEx>
        <w:trPr>
          <w:trHeight w:val="22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Crushed Rock</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$14/ton or $0.70/100#</w:t>
            </w:r>
          </w:p>
        </w:tc>
      </w:tr>
      <w:tr>
        <w:tblPrEx>
          <w:shd w:val="clear" w:color="auto" w:fill="cdd4e9"/>
        </w:tblPrEx>
        <w:trPr>
          <w:trHeight w:val="22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Compost/Mulch</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$40/cubic yard</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C&amp;D (clean)</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$36.00/ton</w:t>
            </w:r>
          </w:p>
          <w:p>
            <w:pPr>
              <w:pStyle w:val="Body"/>
              <w:suppressAutoHyphens w:val="1"/>
              <w:bidi w:val="0"/>
              <w:ind w:left="0" w:right="0" w:firstLine="0"/>
              <w:jc w:val="left"/>
              <w:rPr>
                <w:rtl w:val="0"/>
              </w:rPr>
            </w:pPr>
            <w:r>
              <w:rPr>
                <w:rStyle w:val="None"/>
                <w:sz w:val="20"/>
                <w:szCs w:val="20"/>
                <w:rtl w:val="0"/>
                <w:lang w:val="en-US"/>
              </w:rPr>
              <w:t>$1.80 per 100 lbs.</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C&amp;D w/other debris</w:t>
            </w:r>
          </w:p>
          <w:p>
            <w:pPr>
              <w:pStyle w:val="Body"/>
              <w:suppressAutoHyphens w:val="1"/>
              <w:bidi w:val="0"/>
              <w:ind w:left="0" w:right="0" w:firstLine="0"/>
              <w:jc w:val="left"/>
              <w:rPr>
                <w:rtl w:val="0"/>
              </w:rPr>
            </w:pPr>
            <w:r>
              <w:rPr>
                <w:rStyle w:val="None"/>
                <w:sz w:val="20"/>
                <w:szCs w:val="20"/>
                <w:rtl w:val="0"/>
                <w:lang w:val="en-US"/>
              </w:rPr>
              <w:t>(carpet/furniture)</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$300.00 per load</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Shingles (clean)</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$22.00/ton</w:t>
            </w:r>
          </w:p>
          <w:p>
            <w:pPr>
              <w:pStyle w:val="Body"/>
              <w:suppressAutoHyphens w:val="1"/>
              <w:bidi w:val="0"/>
              <w:ind w:left="0" w:right="0" w:firstLine="0"/>
              <w:jc w:val="left"/>
              <w:rPr>
                <w:rtl w:val="0"/>
              </w:rPr>
            </w:pPr>
            <w:r>
              <w:rPr>
                <w:rStyle w:val="None"/>
                <w:sz w:val="20"/>
                <w:szCs w:val="20"/>
                <w:rtl w:val="0"/>
                <w:lang w:val="en-US"/>
              </w:rPr>
              <w:t>$1.00 per 100 lbs.</w:t>
            </w:r>
          </w:p>
        </w:tc>
      </w:tr>
      <w:tr>
        <w:tblPrEx>
          <w:shd w:val="clear" w:color="auto" w:fill="cdd4e9"/>
        </w:tblPrEx>
        <w:trPr>
          <w:trHeight w:val="4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z w:val="20"/>
                <w:szCs w:val="20"/>
                <w:rtl w:val="0"/>
                <w:lang w:val="en-US"/>
              </w:rPr>
              <w:t>Shingles (mixed w/ other debris)</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$36.00/ton</w:t>
            </w:r>
          </w:p>
          <w:p>
            <w:pPr>
              <w:pStyle w:val="Body"/>
              <w:suppressAutoHyphens w:val="1"/>
              <w:bidi w:val="0"/>
              <w:ind w:left="0" w:right="0" w:firstLine="0"/>
              <w:jc w:val="left"/>
              <w:rPr>
                <w:rtl w:val="0"/>
              </w:rPr>
            </w:pPr>
            <w:r>
              <w:rPr>
                <w:rStyle w:val="None"/>
                <w:sz w:val="20"/>
                <w:szCs w:val="20"/>
                <w:rtl w:val="0"/>
                <w:lang w:val="en-US"/>
              </w:rPr>
              <w:t>$1.80 per 100#</w:t>
            </w:r>
          </w:p>
        </w:tc>
      </w:tr>
      <w:tr>
        <w:tblPrEx>
          <w:shd w:val="clear" w:color="auto" w:fill="cdd4e9"/>
        </w:tblPrEx>
        <w:trPr>
          <w:trHeight w:val="66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z w:val="20"/>
                <w:szCs w:val="20"/>
                <w:rtl w:val="0"/>
                <w:lang w:val="en-US"/>
              </w:rPr>
              <w:t>Elite Concrete Finishing (trucking)</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 xml:space="preserve">6840 Brasswood Drive </w:t>
            </w:r>
          </w:p>
          <w:p>
            <w:pPr>
              <w:pStyle w:val="Body"/>
              <w:suppressAutoHyphens w:val="1"/>
              <w:bidi w:val="0"/>
              <w:ind w:left="0" w:right="0" w:firstLine="0"/>
              <w:jc w:val="left"/>
              <w:rPr>
                <w:rtl w:val="0"/>
              </w:rPr>
            </w:pPr>
            <w:r>
              <w:rPr>
                <w:rStyle w:val="None"/>
                <w:sz w:val="20"/>
                <w:szCs w:val="20"/>
                <w:rtl w:val="0"/>
                <w:lang w:val="en-US"/>
              </w:rPr>
              <w:t>Fayetteville, NC 28314</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54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bidi w:val="0"/>
              <w:ind w:left="0" w:right="0" w:firstLine="0"/>
              <w:jc w:val="left"/>
              <w:rPr>
                <w:rtl w:val="0"/>
              </w:rPr>
            </w:pPr>
            <w:r>
              <w:rPr>
                <w:rStyle w:val="None"/>
                <w:b w:val="1"/>
                <w:bCs w:val="1"/>
                <w:sz w:val="20"/>
                <w:szCs w:val="20"/>
                <w:rtl w:val="0"/>
                <w:lang w:val="en-US"/>
              </w:rPr>
              <w:t>WHI Sand and Gravel</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2311 Clinton Road</w:t>
            </w:r>
          </w:p>
          <w:p>
            <w:pPr>
              <w:pStyle w:val="Body"/>
              <w:suppressAutoHyphens w:val="1"/>
              <w:bidi w:val="0"/>
              <w:ind w:left="0" w:right="0" w:firstLine="0"/>
              <w:jc w:val="left"/>
              <w:rPr>
                <w:rtl w:val="0"/>
              </w:rPr>
            </w:pPr>
            <w:r>
              <w:rPr>
                <w:rStyle w:val="None"/>
                <w:sz w:val="20"/>
                <w:szCs w:val="20"/>
                <w:rtl w:val="0"/>
                <w:lang w:val="en-US"/>
              </w:rPr>
              <w:t>Fayetteville, NC 283.12</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14.4 miles</w:t>
            </w:r>
          </w:p>
          <w:p>
            <w:pPr>
              <w:pStyle w:val="Body"/>
              <w:suppressAutoHyphens w:val="1"/>
              <w:bidi w:val="0"/>
              <w:ind w:left="0" w:right="0" w:firstLine="0"/>
              <w:jc w:val="left"/>
              <w:rPr>
                <w:rtl w:val="0"/>
              </w:rPr>
            </w:pPr>
            <w:r>
              <w:rPr>
                <w:rStyle w:val="None"/>
                <w:sz w:val="20"/>
                <w:szCs w:val="20"/>
                <w:rtl w:val="0"/>
                <w:lang w:val="en-US"/>
              </w:rPr>
              <w:t>26 min</w:t>
            </w: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Topsoil $30.80 cu. yd.</w:t>
            </w:r>
          </w:p>
          <w:p>
            <w:pPr>
              <w:pStyle w:val="Body"/>
              <w:suppressAutoHyphens w:val="1"/>
              <w:bidi w:val="0"/>
              <w:ind w:left="0" w:right="0" w:firstLine="0"/>
              <w:jc w:val="left"/>
              <w:rPr>
                <w:sz w:val="20"/>
                <w:szCs w:val="20"/>
                <w:rtl w:val="0"/>
              </w:rPr>
            </w:pPr>
            <w:r>
              <w:rPr>
                <w:rStyle w:val="None"/>
                <w:sz w:val="20"/>
                <w:szCs w:val="20"/>
                <w:rtl w:val="0"/>
                <w:lang w:val="en-US"/>
              </w:rPr>
              <w:t>Sand/Clay fill $19.50 cu.yd.</w:t>
            </w:r>
          </w:p>
          <w:p>
            <w:pPr>
              <w:pStyle w:val="Body"/>
              <w:suppressAutoHyphens w:val="1"/>
              <w:bidi w:val="0"/>
              <w:ind w:left="0" w:right="0" w:firstLine="0"/>
              <w:jc w:val="left"/>
              <w:rPr>
                <w:rtl w:val="0"/>
              </w:rPr>
            </w:pPr>
            <w:r>
              <w:rPr>
                <w:rStyle w:val="None"/>
                <w:sz w:val="20"/>
                <w:szCs w:val="20"/>
                <w:rtl w:val="0"/>
                <w:lang w:val="en-US"/>
              </w:rPr>
              <w:t>Based on 2000 cu.yds. topoil and 1000 cu. yds backfill (Carlos)</w:t>
            </w:r>
            <w:r>
              <w:rPr>
                <w:sz w:val="20"/>
                <w:szCs w:val="20"/>
              </w:rPr>
            </w:r>
          </w:p>
        </w:tc>
      </w:tr>
      <w:tr>
        <w:tblPrEx>
          <w:shd w:val="clear" w:color="auto" w:fill="cdd4e9"/>
        </w:tblPrEx>
        <w:trPr>
          <w:trHeight w:val="662" w:hRule="atLeast"/>
        </w:trPr>
        <w:tc>
          <w:tcPr>
            <w:tcW w:type="dxa" w:w="2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0"/>
                <w:szCs w:val="20"/>
                <w:rtl w:val="0"/>
                <w:lang w:val="en-US"/>
              </w:rPr>
              <w:t>Snow Hill Turf Farm</w:t>
            </w:r>
            <w:r>
              <w:rPr>
                <w:b w:val="1"/>
                <w:bCs w:val="1"/>
                <w:sz w:val="20"/>
                <w:szCs w:val="20"/>
                <w:rtl w:val="0"/>
                <w:lang w:val="en-US"/>
              </w:rPr>
              <w:t xml:space="preserve"> (</w:t>
            </w:r>
            <w:r>
              <w:rPr>
                <w:rStyle w:val="None"/>
                <w:b w:val="1"/>
                <w:bCs w:val="1"/>
                <w:sz w:val="20"/>
                <w:szCs w:val="20"/>
                <w:rtl w:val="0"/>
                <w:lang w:val="en-US"/>
              </w:rPr>
              <w:t>Sod</w:t>
            </w:r>
            <w:r>
              <w:rPr>
                <w:rStyle w:val="None"/>
                <w:b w:val="1"/>
                <w:bCs w:val="1"/>
                <w:sz w:val="20"/>
                <w:szCs w:val="20"/>
                <w:rtl w:val="0"/>
                <w:lang w:val="en-US"/>
              </w:rPr>
              <w:t>)</w:t>
            </w:r>
          </w:p>
        </w:tc>
        <w:tc>
          <w:tcPr>
            <w:tcW w:type="dxa" w:w="2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bidi w:val="0"/>
              <w:ind w:left="0" w:right="0" w:firstLine="0"/>
              <w:jc w:val="left"/>
              <w:rPr>
                <w:rtl w:val="0"/>
              </w:rPr>
            </w:pPr>
            <w:r>
              <w:rPr>
                <w:rStyle w:val="None"/>
                <w:sz w:val="20"/>
                <w:szCs w:val="20"/>
                <w:rtl w:val="0"/>
                <w:lang w:val="en-US"/>
              </w:rPr>
              <w:t>1004 Cedar Creek Rd Fayetteville, NC 28312</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59" w:lineRule="auto"/>
            </w:pPr>
            <w:r>
              <w:rPr>
                <w:rStyle w:val="None"/>
                <w:sz w:val="20"/>
                <w:szCs w:val="20"/>
                <w:rtl w:val="0"/>
                <w:lang w:val="en-US"/>
              </w:rPr>
              <w:t>27.4 miles/26 min</w:t>
            </w:r>
          </w:p>
        </w:tc>
        <w:tc>
          <w:tcPr>
            <w:tcW w:type="dxa" w:w="2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rPr>
                <w:sz w:val="20"/>
                <w:szCs w:val="20"/>
              </w:rPr>
            </w:pPr>
            <w:r>
              <w:rPr>
                <w:rStyle w:val="None"/>
                <w:sz w:val="20"/>
                <w:szCs w:val="20"/>
                <w:rtl w:val="0"/>
                <w:lang w:val="en-US"/>
              </w:rPr>
              <w:t>$202.25/per pallet</w:t>
            </w:r>
          </w:p>
          <w:p>
            <w:pPr>
              <w:pStyle w:val="Body"/>
              <w:suppressAutoHyphens w:val="1"/>
              <w:bidi w:val="0"/>
              <w:ind w:left="0" w:right="0" w:firstLine="0"/>
              <w:jc w:val="left"/>
              <w:rPr>
                <w:rtl w:val="0"/>
              </w:rPr>
            </w:pPr>
            <w:r>
              <w:rPr>
                <w:rStyle w:val="None"/>
                <w:sz w:val="20"/>
                <w:szCs w:val="20"/>
                <w:rtl w:val="0"/>
                <w:lang w:val="en-US"/>
              </w:rPr>
              <w:t xml:space="preserve">450 sq. Ft. </w:t>
            </w:r>
          </w:p>
        </w:tc>
      </w:tr>
    </w:tbl>
    <w:p>
      <w:pPr>
        <w:pStyle w:val="Heading 2"/>
        <w:keepNext w:val="0"/>
        <w:widowControl w:val="0"/>
        <w:suppressAutoHyphens w:val="1"/>
        <w:ind w:left="216" w:hanging="216"/>
      </w:pPr>
    </w:p>
    <w:p>
      <w:pPr>
        <w:pStyle w:val="Body C"/>
      </w:pPr>
    </w:p>
    <w:p>
      <w:pPr>
        <w:pStyle w:val="Heading"/>
        <w:suppressAutoHyphens w:val="1"/>
      </w:pPr>
      <w:bookmarkStart w:name="_Toc4" w:id="5"/>
      <w:r>
        <w:rPr>
          <w:rStyle w:val="None"/>
          <w:rtl w:val="0"/>
          <w:lang w:val="en-US"/>
        </w:rPr>
        <w:t>1. Project Planning</w:t>
      </w:r>
      <w:bookmarkEnd w:id="5"/>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 after receipt of the NTP.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6"/>
      <w:r>
        <w:rPr>
          <w:rStyle w:val="None"/>
          <w:rtl w:val="0"/>
          <w:lang w:val="en-US"/>
        </w:rPr>
        <w:t>2. Abatement Approach and Disposal</w:t>
      </w:r>
      <w:bookmarkEnd w:id="6"/>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extensive 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r>
        <w:rPr>
          <w:rtl w:val="0"/>
        </w:rPr>
        <w:t xml:space="preserve"> We </w:t>
      </w:r>
      <w:r>
        <w:rPr>
          <w:rtl w:val="0"/>
        </w:rPr>
        <w:t>will test concrete materials for ACM reinforcing fibers</w:t>
      </w:r>
      <w:r>
        <w:rPr>
          <w:rtl w:val="0"/>
        </w:rPr>
        <w:t>.</w:t>
      </w:r>
    </w:p>
    <w:p>
      <w:pPr>
        <w:pStyle w:val="Heading 2"/>
        <w:suppressAutoHyphens w:val="1"/>
      </w:pPr>
      <w:bookmarkStart w:name="_Toc6" w:id="7"/>
      <w:r>
        <w:rPr>
          <w:rStyle w:val="None"/>
          <w:rtl w:val="0"/>
          <w:lang w:val="en-US"/>
        </w:rPr>
        <w:t>Abatement and Disposal of Asbestos Containing Material</w:t>
      </w:r>
      <w:bookmarkEnd w:id="7"/>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 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 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lang w:val="en-US"/>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0"/>
          <w:lang w:val="en-US"/>
        </w:rPr>
        <w:t xml:space="preserve">’ </w:t>
      </w:r>
      <w:r>
        <w:rPr>
          <w:rtl w:val="0"/>
          <w:lang w:val="en-US"/>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8"/>
      <w:r>
        <w:rPr>
          <w:rStyle w:val="None"/>
          <w:rtl w:val="0"/>
          <w:lang w:val="en-US"/>
        </w:rPr>
        <w:t>3. Project Execution</w:t>
      </w:r>
      <w:bookmarkEnd w:id="8"/>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w:t>
      </w:r>
      <w:r>
        <w:rPr>
          <w:rStyle w:val="None"/>
          <w:rtl w:val="0"/>
          <w:lang w:val="en-US"/>
        </w:rPr>
        <w:t xml:space="preserve">m including </w:t>
      </w:r>
      <w:r>
        <w:rPr>
          <w:rStyle w:val="None"/>
          <w:rtl w:val="0"/>
          <w:lang w:val="en-US"/>
        </w:rPr>
        <w:t>utilities previously disconnected by others</w:t>
      </w:r>
      <w:r>
        <w:rPr>
          <w:rStyle w:val="None"/>
          <w:rtl w:val="0"/>
          <w:lang w:val="en-US"/>
        </w:rPr>
        <w:t xml:space="preserve">. </w:t>
      </w:r>
      <w:r>
        <w:rPr>
          <w:rStyle w:val="None"/>
          <w:rtl w:val="0"/>
          <w:lang w:val="en-US"/>
        </w:rPr>
        <w:t>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An explosives safety submission (ESS) may be required if UXO is encountered.</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Style w:val="None"/>
          <w:rtl w:val="0"/>
          <w:lang w:val="en-US"/>
        </w:rPr>
        <w:t>Preliminary Schedule</w:t>
      </w:r>
      <w:bookmarkEnd w:id="9"/>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 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0"/>
      <w:r>
        <w:rPr>
          <w:rStyle w:val="None"/>
          <w:rtl w:val="0"/>
          <w:lang w:val="en-US"/>
        </w:rPr>
        <w:t>Change Orders</w:t>
      </w:r>
      <w:bookmarkEnd w:id="10"/>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Style w:val="None"/>
          <w:rtl w:val="0"/>
          <w:lang w:val="en-US"/>
        </w:rPr>
        <w:t>4. Demolition Approach</w:t>
      </w:r>
      <w:bookmarkEnd w:id="11"/>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r>
        <w:rPr>
          <w:rtl w:val="0"/>
        </w:rPr>
        <w:t xml:space="preserve"> The equipment we will use for this project are:</w:t>
      </w:r>
    </w:p>
    <w:p>
      <w:pPr>
        <w:pStyle w:val="Heading 2"/>
        <w:suppressAutoHyphens w:val="1"/>
      </w:pPr>
      <w:bookmarkStart w:name="_Toc11" w:id="12"/>
      <w:r>
        <w:rPr>
          <w:rStyle w:val="None"/>
          <w:rtl w:val="0"/>
          <w:lang w:val="en-US"/>
        </w:rPr>
        <w:t>Task Order-Specific Approach</w:t>
      </w:r>
      <w:bookmarkEnd w:id="12"/>
    </w:p>
    <w:p>
      <w:pPr>
        <w:pStyle w:val="Body C"/>
        <w:rPr>
          <w:rStyle w:val="None"/>
          <w:lang w:val="en-US"/>
        </w:rPr>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 xml:space="preserve">and indicate how difficult we anticipate the required effort will be (Table 4). Prior to beginning work, All Phase will submit a site-specific demolition plan, drawings, and specifications for the execution of this project. The demolition activities for will be performed in accordance with the submitted and approved documents. All Phase will be responsible for controlling access to the site and for always maintaining a secure site. 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 Excavated material, i.e., soil found natural and uncontaminated, will be placed back in the excavated area. Cutting and removal of asphalt, concrete, concrete pipe, etc., will be required to be taken to an off-site landfill. </w:t>
      </w:r>
    </w:p>
    <w:p>
      <w:pPr>
        <w:pStyle w:val="Body C"/>
      </w:pPr>
      <w:r>
        <w:rPr>
          <w:rStyle w:val="None"/>
          <w:rtl w:val="0"/>
          <w:lang w:val="en-US"/>
        </w:rPr>
        <w:t>Construction debris will be taken to an appropriate landfill. All metals, and concrete, will be taken to a recycler.</w:t>
      </w:r>
      <w:r>
        <w:rPr>
          <w:rStyle w:val="None"/>
          <w:rtl w:val="0"/>
          <w:lang w:val="en-US"/>
        </w:rPr>
        <w:t xml:space="preserve"> </w:t>
      </w:r>
      <w:r>
        <w:rPr>
          <w:rStyle w:val="None"/>
          <w:rtl w:val="0"/>
          <w:lang w:val="en-US"/>
        </w:rPr>
        <w:t xml:space="preserve">For the base task (Volar Barracks), all foundations and other underground features </w:t>
      </w:r>
      <w:r>
        <w:rPr>
          <w:rStyle w:val="None"/>
          <w:rtl w:val="0"/>
          <w:lang w:val="en-US"/>
        </w:rPr>
        <w:t xml:space="preserve"> will </w:t>
      </w:r>
      <w:r>
        <w:rPr>
          <w:rStyle w:val="None"/>
          <w:rtl w:val="0"/>
          <w:lang w:val="en-US"/>
        </w:rPr>
        <w:t xml:space="preserve">be completely removed as part of the demolition requirements. For the remaining facilities, foundation removal shall be completed to a maximum depth of 4 feet below surrounding grade. </w:t>
      </w:r>
      <w:r>
        <w:rPr>
          <w:rStyle w:val="None"/>
          <w:rtl w:val="0"/>
          <w:lang w:val="en-US"/>
        </w:rPr>
        <w:t>F</w:t>
      </w:r>
      <w:r>
        <w:rPr>
          <w:rStyle w:val="None"/>
          <w:rtl w:val="0"/>
          <w:lang w:val="en-US"/>
        </w:rPr>
        <w:t xml:space="preserve">eatures that extend greater than four feet below surrounding grade </w:t>
      </w:r>
      <w:r>
        <w:rPr>
          <w:rStyle w:val="None"/>
          <w:rtl w:val="0"/>
          <w:lang w:val="en-US"/>
        </w:rPr>
        <w:t>will</w:t>
      </w:r>
      <w:r>
        <w:rPr>
          <w:rStyle w:val="None"/>
          <w:rtl w:val="0"/>
          <w:lang w:val="en-US"/>
        </w:rPr>
        <w:t xml:space="preserve"> be demolished down to four feet below grade, cut off, perforated to allow flow of ground water, and abandoned in place. </w:t>
      </w:r>
      <w:r>
        <w:rPr>
          <w:rStyle w:val="None"/>
          <w:rtl w:val="0"/>
          <w:lang w:val="en-US"/>
        </w:rPr>
        <w:t xml:space="preserve">All Phase will follow the specific instructions in the revised RFP letter concerning: </w:t>
      </w:r>
      <w:r>
        <w:rPr>
          <w:rStyle w:val="None"/>
          <w:rtl w:val="0"/>
          <w:lang w:val="en-US"/>
        </w:rPr>
        <w:t>VOLAR Barracks, Base</w:t>
      </w:r>
      <w:r>
        <w:rPr>
          <w:rStyle w:val="None"/>
          <w:rtl w:val="0"/>
          <w:lang w:val="en-US"/>
        </w:rPr>
        <w:t xml:space="preserve">; </w:t>
      </w:r>
      <w:r>
        <w:rPr>
          <w:rStyle w:val="None"/>
          <w:rtl w:val="0"/>
          <w:lang w:val="en-US"/>
        </w:rPr>
        <w:t>Pool Facilities 238, 239, 75012, and 75015</w:t>
      </w:r>
      <w:r>
        <w:rPr>
          <w:rStyle w:val="None"/>
          <w:rtl w:val="0"/>
          <w:lang w:val="en-US"/>
        </w:rPr>
        <w:t>; WWII Wood; and, Modular Village.</w:t>
      </w:r>
    </w:p>
    <w:p>
      <w:pPr>
        <w:pStyle w:val="Heading 2"/>
        <w:keepNext w:val="0"/>
        <w:pageBreakBefore w:val="1"/>
        <w:widowControl w:val="0"/>
        <w:suppressAutoHyphens w:val="1"/>
      </w:pPr>
      <w:bookmarkStart w:name="_Toc12" w:id="13"/>
      <w:r>
        <w:rPr>
          <w:rStyle w:val="None"/>
          <w:rtl w:val="0"/>
          <w:lang w:val="en-US"/>
        </w:rPr>
        <w:t>Table 4. Demolition Structure Types and Projected Difficulty Per Location</w:t>
      </w:r>
      <w:r>
        <w:rPr>
          <w:rStyle w:val="None"/>
          <w:lang w:val="en-US"/>
        </w:rPr>
        <w:drawing>
          <wp:anchor distT="0" distB="0" distL="0" distR="0" simplePos="0" relativeHeight="251664384" behindDoc="0" locked="0" layoutInCell="1" allowOverlap="1">
            <wp:simplePos x="0" y="0"/>
            <wp:positionH relativeFrom="margin">
              <wp:posOffset>388876</wp:posOffset>
            </wp:positionH>
            <wp:positionV relativeFrom="line">
              <wp:posOffset>253999</wp:posOffset>
            </wp:positionV>
            <wp:extent cx="5153148" cy="3246483"/>
            <wp:effectExtent l="0" t="0" r="0" b="0"/>
            <wp:wrapThrough wrapText="bothSides" distL="0" distR="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153148" cy="3246483"/>
                    </a:xfrm>
                    <a:prstGeom prst="rect">
                      <a:avLst/>
                    </a:prstGeom>
                    <a:ln w="12700" cap="flat">
                      <a:noFill/>
                      <a:miter lim="400000"/>
                    </a:ln>
                    <a:effectLst/>
                  </pic:spPr>
                </pic:pic>
              </a:graphicData>
            </a:graphic>
          </wp:anchor>
        </w:drawing>
      </w:r>
      <w:r>
        <w:rPr>
          <w:rStyle w:val="None"/>
          <w:rtl w:val="0"/>
          <w:lang w:val="en-US"/>
        </w:rPr>
        <w:t xml:space="preserve"> </w:t>
      </w:r>
      <w:bookmarkEnd w:id="13"/>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 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 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4"/>
      <w:r>
        <w:rPr>
          <w:rStyle w:val="None"/>
          <w:rtl w:val="0"/>
          <w:lang w:val="en-US"/>
        </w:rPr>
        <w:t>Table 5. Manpower and Major Equipment Needed</w:t>
      </w:r>
      <w:r>
        <w:rPr>
          <w:rStyle w:val="None"/>
          <w:lang w:val="en-US"/>
        </w:rPr>
        <w:drawing>
          <wp:anchor distT="0" distB="0" distL="0" distR="0" simplePos="0" relativeHeight="251665408" behindDoc="0" locked="0" layoutInCell="1" allowOverlap="1">
            <wp:simplePos x="0" y="0"/>
            <wp:positionH relativeFrom="margin">
              <wp:posOffset>-6349</wp:posOffset>
            </wp:positionH>
            <wp:positionV relativeFrom="line">
              <wp:posOffset>243839</wp:posOffset>
            </wp:positionV>
            <wp:extent cx="5943600" cy="2016468"/>
            <wp:effectExtent l="0" t="0" r="0" b="0"/>
            <wp:wrapThrough wrapText="bothSides" distL="0" distR="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2016468"/>
                    </a:xfrm>
                    <a:prstGeom prst="rect">
                      <a:avLst/>
                    </a:prstGeom>
                    <a:ln w="12700" cap="flat">
                      <a:noFill/>
                      <a:miter lim="400000"/>
                    </a:ln>
                    <a:effectLst/>
                  </pic:spPr>
                </pic:pic>
              </a:graphicData>
            </a:graphic>
          </wp:anchor>
        </w:drawing>
      </w:r>
      <w:r>
        <w:rPr>
          <w:rStyle w:val="None"/>
          <w:rtl w:val="0"/>
          <w:lang w:val="en-US"/>
        </w:rPr>
        <w:t xml:space="preserve"> </w:t>
      </w:r>
      <w:bookmarkEnd w:id="14"/>
    </w:p>
    <w:p>
      <w:pPr>
        <w:pStyle w:val="Body C"/>
      </w:pPr>
    </w:p>
    <w:p>
      <w:pPr>
        <w:pStyle w:val="Heading"/>
        <w:keepNext w:val="0"/>
        <w:pageBreakBefore w:val="1"/>
        <w:widowControl w:val="0"/>
        <w:suppressAutoHyphens w:val="1"/>
      </w:pPr>
      <w:bookmarkStart w:name="_Toc14" w:id="15"/>
      <w:r>
        <w:rPr>
          <w:rStyle w:val="None"/>
          <w:rtl w:val="0"/>
          <w:lang w:val="en-US"/>
        </w:rPr>
        <w:t>5. Debris Handling, Waste Diversion, Recycling</w:t>
      </w:r>
      <w:bookmarkEnd w:id="15"/>
    </w:p>
    <w:p>
      <w:pPr>
        <w:pStyle w:val="Body C"/>
        <w:spacing w:after="60"/>
        <w:jc w:val="left"/>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firstLine="0"/>
        <w:jc w:val="left"/>
      </w:pPr>
      <w:r>
        <w:rPr>
          <w:rtl w:val="0"/>
          <w:lang w:val="en-US"/>
        </w:rPr>
        <w:t xml:space="preserve">• </w:t>
      </w:r>
      <w:r>
        <w:rPr>
          <w:rtl w:val="0"/>
          <w:lang w:val="en-US"/>
        </w:rPr>
        <w:t>REDUCE: Make every effort to minimize the amount of waste generated</w:t>
      </w:r>
    </w:p>
    <w:p>
      <w:pPr>
        <w:pStyle w:val="Body C"/>
        <w:spacing w:after="60"/>
        <w:ind w:left="785" w:firstLine="0"/>
        <w:jc w:val="left"/>
      </w:pPr>
      <w:r>
        <w:rPr>
          <w:rtl w:val="0"/>
          <w:lang w:val="en-US"/>
        </w:rPr>
        <w:t xml:space="preserve">• </w:t>
      </w:r>
      <w:r>
        <w:rPr>
          <w:rtl w:val="0"/>
          <w:lang w:val="en-US"/>
        </w:rPr>
        <w:t>REUSE: Segregate items that can potentially be reused</w:t>
      </w:r>
    </w:p>
    <w:p>
      <w:pPr>
        <w:pStyle w:val="Body C"/>
        <w:ind w:left="785" w:firstLine="0"/>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r>
        <w:rPr>
          <w:rtl w:val="0"/>
        </w:rPr>
        <w:t xml:space="preserve"> We will </w:t>
      </w:r>
      <w:r>
        <w:rPr>
          <w:rtl w:val="0"/>
        </w:rPr>
        <w:t xml:space="preserve">be responsible for removal packaging and transport of the appliances and furniture indicated in the Volar barracks facilities for reuse elsewhere on the installation. All Furniture, Appliances, Washers and Dryers must be turned in to the Furniture Management Office (FMO) Warehouse. </w:t>
      </w:r>
    </w:p>
    <w:p>
      <w:pPr>
        <w:pStyle w:val="Heading 2"/>
        <w:suppressAutoHyphens w:val="1"/>
      </w:pPr>
      <w:bookmarkStart w:name="_Toc16" w:id="17"/>
      <w:r>
        <w:rPr>
          <w:rStyle w:val="None"/>
          <w:rtl w:val="0"/>
          <w:lang w:val="en-US"/>
        </w:rPr>
        <w:t>Waste Diversion and Recycling</w:t>
      </w:r>
      <w:bookmarkEnd w:id="17"/>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t>
      </w:r>
      <w:r>
        <w:rPr>
          <w:rtl w:val="0"/>
        </w:rPr>
        <w:t xml:space="preserve"> </w:t>
      </w:r>
      <w:r>
        <w:rPr>
          <w:rtl w:val="0"/>
        </w:rPr>
        <w:t xml:space="preserve">Suitable concrete, brick, block, asphalt, metals, and trees and tree limbs that meet Federal, State, and local standards for re-cycle/re-use must go directly to the Lamont Landfill re-cycling facility. </w:t>
      </w:r>
      <w:r>
        <w:rPr>
          <w:rtl w:val="0"/>
        </w:rPr>
        <w:t xml:space="preserve">All Pahse </w:t>
      </w:r>
      <w:r>
        <w:rPr>
          <w:rtl w:val="0"/>
        </w:rPr>
        <w:t>will transport trees and tree limbs to the DPW landfill. No tree stumps are allowed</w:t>
      </w:r>
      <w:r>
        <w:rPr>
          <w:rtl w:val="0"/>
        </w:rPr>
        <w:t>, and t</w:t>
      </w:r>
      <w:r>
        <w:rPr>
          <w:rtl w:val="0"/>
        </w:rPr>
        <w:t xml:space="preserve">rees </w:t>
      </w:r>
      <w:r>
        <w:rPr>
          <w:rtl w:val="0"/>
        </w:rPr>
        <w:t>cuttings</w:t>
      </w:r>
      <w:r>
        <w:rPr>
          <w:rtl w:val="0"/>
        </w:rPr>
        <w:t xml:space="preserve"> will be sized to lengths not exceeding six feet. </w:t>
      </w:r>
    </w:p>
    <w:p>
      <w:pPr>
        <w:pStyle w:val="Body C"/>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w:t>
      </w:r>
      <w:r>
        <w:rPr>
          <w:rtl w:val="0"/>
        </w:rPr>
        <w:t>88</w:t>
      </w:r>
      <w:r>
        <w:rPr>
          <w:rtl w:val="0"/>
        </w:rPr>
        <w:t>% of the demolition waste material by weight can be recycled as tabulated in Table 6. This should meet the minimum diversion goal for this task order. We project a $52</w:t>
      </w:r>
      <w:r>
        <w:rPr>
          <w:rtl w:val="0"/>
        </w:rPr>
        <w:t>,</w:t>
      </w:r>
      <w:r>
        <w:rPr>
          <w:rtl w:val="0"/>
        </w:rPr>
        <w:t>500 salvage credit to the government for all types of scrapped metal.</w:t>
      </w:r>
    </w:p>
    <w:p>
      <w:pPr>
        <w:pStyle w:val="Heading 2"/>
        <w:pageBreakBefore w:val="1"/>
        <w:suppressAutoHyphens w:val="1"/>
      </w:pPr>
      <w:bookmarkStart w:name="_Toc17" w:id="18"/>
      <w:r>
        <w:rPr>
          <w:rStyle w:val="None"/>
          <w:rtl w:val="0"/>
          <w:lang w:val="en-US"/>
        </w:rPr>
        <w:t>Table 6. Demolition Waste Recycling and Salvage</w:t>
      </w:r>
      <w:r>
        <w:rPr>
          <w:rStyle w:val="None"/>
          <w:lang w:val="en-US"/>
        </w:rPr>
        <w:drawing>
          <wp:anchor distT="0" distB="0" distL="0" distR="0" simplePos="0" relativeHeight="251666432" behindDoc="0" locked="0" layoutInCell="1" allowOverlap="1">
            <wp:simplePos x="0" y="0"/>
            <wp:positionH relativeFrom="margin">
              <wp:posOffset>171158</wp:posOffset>
            </wp:positionH>
            <wp:positionV relativeFrom="line">
              <wp:posOffset>214466</wp:posOffset>
            </wp:positionV>
            <wp:extent cx="5588583" cy="4832894"/>
            <wp:effectExtent l="0" t="0" r="0" b="0"/>
            <wp:wrapThrough wrapText="bothSides" distL="0" distR="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588583" cy="4832894"/>
                    </a:xfrm>
                    <a:prstGeom prst="rect">
                      <a:avLst/>
                    </a:prstGeom>
                    <a:ln w="12700" cap="flat">
                      <a:noFill/>
                      <a:miter lim="400000"/>
                    </a:ln>
                    <a:effectLst/>
                  </pic:spPr>
                </pic:pic>
              </a:graphicData>
            </a:graphic>
          </wp:anchor>
        </w:drawing>
      </w:r>
      <w:r>
        <w:rPr>
          <w:rStyle w:val="None"/>
          <w:rtl w:val="0"/>
          <w:lang w:val="en-US"/>
        </w:rPr>
        <w:t xml:space="preserve"> </w:t>
      </w:r>
      <w:bookmarkEnd w:id="18"/>
    </w:p>
    <w:p>
      <w:pPr>
        <w:pStyle w:val="Body C"/>
      </w:pPr>
    </w:p>
    <w:p>
      <w:pPr>
        <w:pStyle w:val="Heading"/>
        <w:suppressAutoHyphens w:val="1"/>
      </w:pPr>
      <w:bookmarkStart w:name="_Toc18" w:id="19"/>
      <w:r>
        <w:rPr>
          <w:rStyle w:val="None"/>
          <w:rtl w:val="0"/>
          <w:lang w:val="en-US"/>
        </w:rPr>
        <w:t>6. Site Security and Safety Approach</w:t>
      </w:r>
      <w:bookmarkEnd w:id="19"/>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0"/>
      <w:r>
        <w:rPr>
          <w:rStyle w:val="None"/>
          <w:rtl w:val="0"/>
          <w:lang w:val="en-US"/>
        </w:rPr>
        <w:t>Site Security</w:t>
      </w:r>
      <w:bookmarkEnd w:id="20"/>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Style w:val="None"/>
          <w:rtl w:val="0"/>
          <w:lang w:val="en-US"/>
        </w:rPr>
        <w:t>Safety Approach</w:t>
      </w:r>
      <w:bookmarkEnd w:id="21"/>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2"/>
      <w:r>
        <w:rPr>
          <w:rStyle w:val="None"/>
          <w:rtl w:val="0"/>
          <w:lang w:val="en-US"/>
        </w:rPr>
        <w:t>Table 7. Preliminary Activity Hazard Analysis</w:t>
      </w:r>
      <w:bookmarkEnd w:id="22"/>
    </w:p>
    <w:tbl>
      <w:tblPr>
        <w:tblW w:w="92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4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4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108" w:hanging="108"/>
      </w:pPr>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state 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Style w:val="None"/>
          <w:rtl w:val="0"/>
          <w:lang w:val="en-US"/>
        </w:rPr>
        <w:t>7. Site Restoration</w:t>
      </w:r>
      <w:bookmarkEnd w:id="23"/>
    </w:p>
    <w:p>
      <w:pPr>
        <w:pStyle w:val="Body C"/>
      </w:pPr>
      <w:r>
        <w:rPr>
          <w:rtl w:val="0"/>
        </w:rPr>
        <w:t>Site restoration for the base bid is scheduled to take place after demolition.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always meet government requirements.</w:t>
      </w:r>
    </w:p>
    <w:p>
      <w:pPr>
        <w:pStyle w:val="Heading"/>
        <w:pageBreakBefore w:val="1"/>
        <w:suppressAutoHyphens w:val="1"/>
      </w:pPr>
      <w:bookmarkStart w:name="_Toc23" w:id="24"/>
      <w:r>
        <w:rPr>
          <w:rStyle w:val="None"/>
          <w:rtl w:val="0"/>
          <w:lang w:val="fr-FR"/>
        </w:rPr>
        <w:t>8. Key Personnel</w:t>
      </w:r>
      <w:bookmarkEnd w:id="24"/>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5"/>
      <w:r>
        <w:rPr>
          <w:rStyle w:val="None"/>
          <w:rtl w:val="0"/>
          <w:lang w:val="en-US"/>
        </w:rPr>
        <w:t>Table 8. Key Personnel to be Assigned</w:t>
      </w:r>
      <w:bookmarkEnd w:id="25"/>
    </w:p>
    <w:tbl>
      <w:tblPr>
        <w:tblW w:w="908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676"/>
        <w:gridCol w:w="6404"/>
      </w:tblGrid>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Project Manager</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Lind, Eric</w:t>
            </w:r>
          </w:p>
        </w:tc>
      </w:tr>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Program Manager</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Newman, Eric</w:t>
            </w:r>
          </w:p>
        </w:tc>
      </w:tr>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Superintendent</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Perez, Jorge</w:t>
            </w:r>
          </w:p>
        </w:tc>
      </w:tr>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Quality Control Manager</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Soto, Alberto</w:t>
            </w:r>
          </w:p>
        </w:tc>
      </w:tr>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Safety Officer</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Soto, Alberto</w:t>
            </w:r>
          </w:p>
        </w:tc>
      </w:tr>
      <w:tr>
        <w:tblPrEx>
          <w:shd w:val="clear" w:color="auto" w:fill="auto"/>
        </w:tblPrEx>
        <w:trPr>
          <w:trHeight w:val="272" w:hRule="atLeast"/>
        </w:trPr>
        <w:tc>
          <w:tcPr>
            <w:tcW w:type="dxa" w:w="2676"/>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pPr>
            <w:r>
              <w:rPr>
                <w:rFonts w:ascii="Arial" w:hAnsi="Arial"/>
                <w:b w:val="1"/>
                <w:bCs w:val="1"/>
                <w:rtl w:val="0"/>
              </w:rPr>
              <w:t>Clerk</w:t>
            </w:r>
          </w:p>
        </w:tc>
        <w:tc>
          <w:tcPr>
            <w:tcW w:type="dxa" w:w="6403"/>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Arial" w:hAnsi="Arial"/>
                <w:rtl w:val="0"/>
              </w:rPr>
              <w:t>Osorio, Clementina D</w:t>
            </w:r>
          </w:p>
        </w:tc>
      </w:tr>
    </w:tbl>
    <w:p>
      <w:pPr>
        <w:pStyle w:val="Body C"/>
      </w:pPr>
    </w:p>
    <w:p>
      <w:pPr>
        <w:pStyle w:val="Body C"/>
      </w:pPr>
    </w:p>
    <w:p>
      <w:pPr>
        <w:pStyle w:val="Body C"/>
      </w:pPr>
    </w:p>
    <w:p>
      <w:pPr>
        <w:pStyle w:val="Heading"/>
        <w:pageBreakBefore w:val="1"/>
      </w:pPr>
      <w:bookmarkStart w:name="_Toc25" w:id="26"/>
      <w:r>
        <w:rPr>
          <w:rtl w:val="0"/>
          <w:lang w:val="en-US"/>
        </w:rPr>
        <w:t>Appendix - Schedule of Structures to be Demolished</w:t>
      </w:r>
      <w:bookmarkEnd w:id="26"/>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5"/>
        <w:gridCol w:w="5014"/>
        <w:gridCol w:w="1007"/>
        <w:gridCol w:w="1334"/>
      </w:tblGrid>
      <w:tr>
        <w:tblPrEx>
          <w:shd w:val="clear" w:color="auto" w:fill="00a2ff"/>
        </w:tblPrEx>
        <w:trPr>
          <w:trHeight w:val="248" w:hRule="atLeast"/>
          <w:tblHeader/>
        </w:trPr>
        <w:tc>
          <w:tcPr>
            <w:tcW w:type="dxa" w:w="9360"/>
            <w:gridSpan w:val="4"/>
            <w:tcBorders>
              <w:top w:val="nil"/>
              <w:left w:val="nil"/>
              <w:bottom w:val="single" w:color="919191" w:sz="6" w:space="0" w:shadow="0" w:frame="0"/>
              <w:right w:val="nil"/>
            </w:tcBorders>
            <w:shd w:val="clear" w:color="auto" w:fill="auto"/>
            <w:tcMar>
              <w:top w:type="dxa" w:w="80"/>
              <w:left w:type="dxa" w:w="80"/>
              <w:bottom w:type="dxa" w:w="80"/>
              <w:right w:type="dxa" w:w="80"/>
            </w:tcMar>
            <w:vAlign w:val="center"/>
          </w:tcPr>
          <w:p>
            <w:pPr>
              <w:pStyle w:val="Body"/>
              <w:jc w:val="center"/>
            </w:pPr>
            <w:r>
              <w:rPr>
                <w:rStyle w:val="None"/>
                <w:b w:val="1"/>
                <w:bCs w:val="1"/>
                <w:sz w:val="22"/>
                <w:szCs w:val="22"/>
                <w:rtl w:val="0"/>
                <w:lang w:val="en-US"/>
              </w:rPr>
              <w:t>Requirements - Demolition of Structures</w:t>
            </w:r>
          </w:p>
        </w:tc>
      </w:tr>
      <w:tr>
        <w:tblPrEx>
          <w:shd w:val="clear" w:color="auto" w:fill="00a2ff"/>
        </w:tblPrEx>
        <w:trPr>
          <w:trHeight w:val="207" w:hRule="atLeast"/>
          <w:tblHeader/>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Number</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Facility Type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pPr>
            <w:r>
              <w:rPr>
                <w:rStyle w:val="None"/>
                <w:sz w:val="18"/>
                <w:szCs w:val="18"/>
                <w:rtl w:val="0"/>
                <w:lang w:val="en-US"/>
              </w:rPr>
              <w:t>UOM</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00a2ff"/>
            <w:tcMar>
              <w:top w:type="dxa" w:w="80"/>
              <w:left w:type="dxa" w:w="80"/>
              <w:bottom w:type="dxa" w:w="80"/>
              <w:right w:type="dxa" w:w="80"/>
            </w:tcMar>
            <w:vAlign w:val="center"/>
          </w:tcPr>
          <w:p>
            <w:pPr>
              <w:pStyle w:val="Body C"/>
              <w:jc w:val="right"/>
            </w:pPr>
            <w:r>
              <w:rPr>
                <w:rStyle w:val="None"/>
                <w:sz w:val="18"/>
                <w:szCs w:val="18"/>
                <w:rtl w:val="0"/>
                <w:lang w:val="en-US"/>
              </w:rPr>
              <w:t># of Units</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H4654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H5117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32,184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H4952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32,184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H5245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H5454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43,067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H5752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32,316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H5812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Volar Barracks</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42,912 </w:t>
            </w:r>
          </w:p>
        </w:tc>
      </w:tr>
      <w:tr>
        <w:tblPrEx>
          <w:shd w:val="clear" w:color="auto" w:fill="cadfff"/>
        </w:tblPrEx>
        <w:trPr>
          <w:trHeight w:val="227"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1</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1,195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A5636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1,341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1,339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1,339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1,341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1,346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1,030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A5735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992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1,296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M2359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M2360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2,360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M2545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M2653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M5044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3,466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M5051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7,670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J1303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49,424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M6150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2,892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M6450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M6733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2,537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M6746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M6748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M6750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M6751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4,720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13151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481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21414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6,312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21817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4,658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69241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1,600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91765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3,685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C7845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WWII Wood</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4,515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D2919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11,361 </w:t>
            </w:r>
          </w:p>
        </w:tc>
      </w:tr>
      <w:tr>
        <w:tblPrEx>
          <w:shd w:val="clear" w:color="auto" w:fill="cadfff"/>
        </w:tblPrEx>
        <w:trPr>
          <w:trHeight w:val="227"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2</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P2341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D1910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1,188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E4325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13,682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N5204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144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15632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270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238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1,275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239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140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8,500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X6088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252 </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75012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75015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Other</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EA</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 xml:space="preserve"> </w:t>
              <w:tab/>
              <w:t xml:space="preserve">1 </w:t>
            </w:r>
          </w:p>
        </w:tc>
      </w:tr>
      <w:tr>
        <w:tblPrEx>
          <w:shd w:val="clear" w:color="auto" w:fill="cadfff"/>
        </w:tblPrEx>
        <w:trPr>
          <w:trHeight w:val="227" w:hRule="atLeast"/>
        </w:trPr>
        <w:tc>
          <w:tcPr>
            <w:tcW w:type="dxa" w:w="9360"/>
            <w:gridSpan w:val="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7fd0ff"/>
            <w:tcMar>
              <w:top w:type="dxa" w:w="80"/>
              <w:left w:type="dxa" w:w="80"/>
              <w:bottom w:type="dxa" w:w="80"/>
              <w:right w:type="dxa" w:w="80"/>
            </w:tcMar>
            <w:vAlign w:val="center"/>
          </w:tcPr>
          <w:p>
            <w:pPr>
              <w:pStyle w:val="Body C"/>
              <w:spacing w:after="0"/>
              <w:jc w:val="center"/>
            </w:pPr>
            <w:r>
              <w:rPr>
                <w:rStyle w:val="None"/>
                <w:b w:val="1"/>
                <w:bCs w:val="1"/>
                <w:sz w:val="20"/>
                <w:szCs w:val="20"/>
                <w:rtl w:val="0"/>
                <w:lang w:val="en-US"/>
              </w:rPr>
              <w:t>Option 3</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A6273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15,540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A6372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15,540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31910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32010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32011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32111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32209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32212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32312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32411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32413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32525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11,147</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32614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32615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32718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32821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32922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33012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33021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33121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33221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33321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33418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33421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33519</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33520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33620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33621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7,600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33718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1,700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31328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31418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31420</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31424</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31428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6,300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31727</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7,040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31821</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31822</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31823</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31825</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5,500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6,144</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31828</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7,000</w:t>
            </w:r>
          </w:p>
        </w:tc>
      </w:tr>
      <w:tr>
        <w:tblPrEx>
          <w:shd w:val="clear" w:color="auto" w:fill="cadfff"/>
        </w:tblPrEx>
        <w:trPr>
          <w:trHeight w:val="227" w:hRule="atLeast"/>
        </w:trPr>
        <w:tc>
          <w:tcPr>
            <w:tcW w:type="dxa" w:w="2005"/>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32126</w:t>
            </w:r>
          </w:p>
        </w:tc>
        <w:tc>
          <w:tcPr>
            <w:tcW w:type="dxa" w:w="5014"/>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Mod Village</w:t>
            </w:r>
          </w:p>
        </w:tc>
        <w:tc>
          <w:tcPr>
            <w:tcW w:type="dxa" w:w="1007"/>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pPr>
            <w:r>
              <w:rPr>
                <w:rStyle w:val="None"/>
                <w:sz w:val="20"/>
                <w:szCs w:val="20"/>
                <w:rtl w:val="0"/>
                <w:lang w:val="en-US"/>
              </w:rPr>
              <w:t>SF</w:t>
            </w:r>
          </w:p>
        </w:tc>
        <w:tc>
          <w:tcPr>
            <w:tcW w:type="dxa" w:w="1333"/>
            <w:tcBorders>
              <w:top w:val="single" w:color="919191" w:sz="6" w:space="0" w:shadow="0" w:frame="0"/>
              <w:left w:val="single" w:color="919191" w:sz="6" w:space="0" w:shadow="0" w:frame="0"/>
              <w:bottom w:val="single" w:color="919191" w:sz="6" w:space="0" w:shadow="0" w:frame="0"/>
              <w:right w:val="single" w:color="919191" w:sz="6" w:space="0" w:shadow="0" w:frame="0"/>
            </w:tcBorders>
            <w:shd w:val="clear" w:color="auto" w:fill="auto"/>
            <w:tcMar>
              <w:top w:type="dxa" w:w="80"/>
              <w:left w:type="dxa" w:w="80"/>
              <w:bottom w:type="dxa" w:w="80"/>
              <w:right w:type="dxa" w:w="80"/>
            </w:tcMar>
            <w:vAlign w:val="center"/>
          </w:tcPr>
          <w:p>
            <w:pPr>
              <w:pStyle w:val="Body C"/>
              <w:spacing w:after="0"/>
              <w:jc w:val="right"/>
            </w:pPr>
            <w:r>
              <w:rPr>
                <w:rStyle w:val="None"/>
                <w:sz w:val="20"/>
                <w:szCs w:val="20"/>
                <w:rtl w:val="0"/>
                <w:lang w:val="en-US"/>
              </w:rPr>
              <w:t>200</w:t>
            </w:r>
          </w:p>
        </w:tc>
      </w:tr>
    </w:tbl>
    <w:p>
      <w:pPr>
        <w:pStyle w:val="Body C"/>
      </w:pPr>
    </w:p>
    <w:p>
      <w:pPr>
        <w:pStyle w:val="Heading"/>
        <w:pageBreakBefore w:val="1"/>
        <w:suppressAutoHyphens w:val="1"/>
      </w:pPr>
      <w:bookmarkStart w:name="_Toc26" w:id="27"/>
      <w:r>
        <w:rPr>
          <w:rStyle w:val="None"/>
          <w:rtl w:val="0"/>
          <w:lang w:val="en-US"/>
        </w:rPr>
        <w:t>Appendix - Preliminary Project Schedule</w:t>
      </w:r>
      <w:bookmarkEnd w:id="27"/>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9-21T11:42:55Z">
    <w:p w14:paraId="1111FFFF">
      <w:pPr>
        <w:pStyle w:val="Default"/>
      </w:pPr>
    </w:p>
    <w:p w14:paraId="11120000">
      <w:pPr>
        <w:pStyle w:val="Default"/>
      </w:pPr>
      <w:r>
        <w:rPr>
          <w:rtl w:val="0"/>
        </w:rPr>
        <w:t>insert totals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 xml:space="preserve">Task Order PANHES-22-P-0000 004838 </w:t>
    </w:r>
    <w:r>
      <w:rPr>
        <w:rFonts w:ascii="Times New Roman" w:cs="Times New Roman" w:hAnsi="Times New Roman" w:eastAsia="Times New Roman"/>
        <w:sz w:val="18"/>
        <w:szCs w:val="18"/>
      </w:rPr>
      <w:br w:type="textWrapping"/>
    </w:r>
    <w:r>
      <w:rPr>
        <w:rFonts w:ascii="Times New Roman" w:hAnsi="Times New Roman"/>
        <w:sz w:val="18"/>
        <w:szCs w:val="18"/>
        <w:rtl w:val="0"/>
        <w:lang w:val="en-US"/>
      </w:rPr>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 xml:space="preserve">Task Order PANHES-22-P-0000 004838 </w:t>
    </w:r>
    <w:r>
      <w:rPr>
        <w:rStyle w:val="None"/>
        <w:rFonts w:ascii="Times New Roman" w:cs="Times New Roman" w:hAnsi="Times New Roman" w:eastAsia="Times New Roman"/>
        <w:sz w:val="18"/>
        <w:szCs w:val="18"/>
      </w:rPr>
      <w:br w:type="textWrapping"/>
    </w:r>
    <w:r>
      <w:rPr>
        <w:rStyle w:val="None"/>
        <w:rFonts w:ascii="Times New Roman" w:hAnsi="Times New Roman"/>
        <w:sz w:val="18"/>
        <w:szCs w:val="18"/>
        <w:rtl w:val="0"/>
        <w:lang w:val="en-US"/>
      </w:rPr>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0"/>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