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automated ads content guidelines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Responsive display ads</w:t>
      </w:r>
    </w:p>
    <w:p w:rsidR="00000000" w:rsidDel="00000000" w:rsidP="00000000" w:rsidRDefault="00000000" w:rsidRPr="00000000" w14:paraId="00000005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up to 15 images, min 2 images at least one landscape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1.91:1 for landscape 1:1 for square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Higher quality is better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</w:t>
      </w:r>
      <w:r w:rsidDel="00000000" w:rsidR="00000000" w:rsidRPr="00000000">
        <w:rPr>
          <w:sz w:val="24"/>
          <w:szCs w:val="24"/>
          <w:rtl w:val="0"/>
        </w:rPr>
        <w:t xml:space="preserve"> use images that include a mirror image.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</w:t>
      </w:r>
      <w:r w:rsidDel="00000000" w:rsidR="00000000" w:rsidRPr="00000000">
        <w:rPr>
          <w:sz w:val="24"/>
          <w:szCs w:val="24"/>
          <w:rtl w:val="0"/>
        </w:rPr>
        <w:t xml:space="preserve"> round edges or use borders.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</w:t>
      </w:r>
      <w:r w:rsidDel="00000000" w:rsidR="00000000" w:rsidRPr="00000000">
        <w:rPr>
          <w:sz w:val="24"/>
          <w:szCs w:val="24"/>
          <w:rtl w:val="0"/>
        </w:rPr>
        <w:t xml:space="preserve"> use inverted colors or excessive filters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</w:t>
      </w:r>
      <w:r w:rsidDel="00000000" w:rsidR="00000000" w:rsidRPr="00000000">
        <w:rPr>
          <w:sz w:val="24"/>
          <w:szCs w:val="24"/>
          <w:rtl w:val="0"/>
        </w:rPr>
        <w:t xml:space="preserve"> use images that are hard to see or appear washed out.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</w:t>
      </w:r>
      <w:r w:rsidDel="00000000" w:rsidR="00000000" w:rsidRPr="00000000">
        <w:rPr>
          <w:sz w:val="24"/>
          <w:szCs w:val="24"/>
          <w:rtl w:val="0"/>
        </w:rPr>
        <w:t xml:space="preserve"> use blurry images.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overlay a logo on top of an image, as this can be repetitive in certain ad layouts. Images where the logo is integrated in the photograph are OK.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overlaid text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Buttons (which promise non-existent functionality like “play”, “download” or “close”) violate Google’s Google Ads policy.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Blank space should not take up more than 80% of the image.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collage images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displaying products over digital composite backgrounds, including an all-white background.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Logos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both 1:1 and 4:1 aspect ratios, avoid text, centre it, transparent background preferred, whitespace padding should be 1/16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of the logo size</w:t>
      </w:r>
    </w:p>
    <w:p w:rsidR="00000000" w:rsidDel="00000000" w:rsidP="00000000" w:rsidRDefault="00000000" w:rsidRPr="00000000" w14:paraId="000000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Certain special considerations apply to assets used for videos: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use logos on the borders of images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use text on borders of images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use multiple images that look the same — only pick one</w:t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 formats</w:t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format: .mov or .mp4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Dimensions: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Landscape/horizontal: 1280 × 720, 1920 × 1080, or 1440 × 1080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Portrait/vertical: 720 × 1280, 1080 × 1920, or 1080 × 1440 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Square: 720 × 720, 1080 × 1080, 1920 × 1920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ratio: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Landscape/horizontal: 16:9 or 4:3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Portrait/vertical: 9:16 or 3:4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Codec: H.264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Rate: 23.98 or 29.97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Bitrate: At least 20 Mbps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Length: 15 or 30 seconds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size: Up to 1GB (per the Campaign Manager 360 file size limit)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 bars: No black bars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Letterboxing: No letterboxing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Audio: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Codec: PCM (preferred) or AAC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Bitrate: At least 192 Kbps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Bit: 16 or 24 bit only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rate: 48 kHz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Audio settings: Required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Loudness aligned with IAB US spec of -24LKFS +/- 2LKFS (Campaign Manager 360 will normalize to target loudness of -24 LKFS)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Companion creatives: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Companion banner size 20K.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Companion can be an image or HTML5.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Companion banner animation time should be 15 seconds.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Companion banner 18-24 FPS.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300 × 250, 728 × 90, and 300 × 60 companion banner options.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findings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0" w:line="288" w:lineRule="auto"/>
        <w:rPr>
          <w:b w:val="1"/>
          <w:sz w:val="24"/>
          <w:szCs w:val="24"/>
        </w:rPr>
      </w:pPr>
      <w:bookmarkStart w:colFirst="0" w:colLast="0" w:name="_welcv5bpf5q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Study: Which digital ad formats are most effective?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https://martech.org/study-which-digital-ad-formats-are-most-effective/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300 x 250 and 728 x 90 receive more impressions than other ad formats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Half-page ads and large rectangles receive higher CTRs than other ad formats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Large-format in-article ads are just as effective as Instagram ads.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ads had a 50% viewability rate.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study determined that mobile web ads offer a lucrative format for amplifying social efforts within existing contextual environments.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line="335.99999999999994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Mobile ads 2x more effective than desktop ads.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line="335.99999999999994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“Breakout” and “Sidekick” ad units – which display as a fixed block at the bottom of articles – ranked third in ad effectiveness at 3.9% with 90% viewability.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Desktop banners second-lowest ad effectiveness of all platforms.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Sidebar banner ads on desktop had an 80% viewability rate, they were only looked at an average of 1.9% of the total session time and represented 2% ad effectiveness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Among the respondents who were exposed to at least one ad, pinned mobile web ads and large format in-article ads outperformed the other platforms in ad recall by 29%.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Effective Display Advertising: Improving Engagement with Suitable Creative Formats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https://www.nim.org/sites/default/files/medien/2327/dokumente/bruce_vol_9_no_1_english_.pdf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Animated formats are superior to static formats in most settings.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They have a higher recall, attract user attention, and create favor- ability for the advertised brand.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Static formats can still be effective for price ads and retargeting.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Retargeted ads are effective only if they offer price incentives.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