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004330 </w:t>
      </w:r>
      <w:r>
        <w:rPr>
          <w:b w:val="1"/>
          <w:bCs w:val="1"/>
          <w:sz w:val="28"/>
          <w:szCs w:val="28"/>
        </w:rPr>
        <w:br w:type="textWrapping"/>
      </w:r>
      <w:r>
        <w:rPr>
          <w:b w:val="1"/>
          <w:bCs w:val="1"/>
          <w:sz w:val="28"/>
          <w:szCs w:val="28"/>
          <w:rtl w:val="0"/>
          <w:lang w:val="en-US"/>
        </w:rPr>
        <w:t xml:space="preserve">for FY22 Fort Stewart, GA Demolition </w:t>
      </w:r>
    </w:p>
    <w:p>
      <w:pPr>
        <w:pStyle w:val="Body A"/>
        <w:jc w:val="center"/>
      </w:pPr>
      <w:r>
        <w:rPr>
          <w:rtl w:val="0"/>
          <w:lang w:val="en-US"/>
        </w:rPr>
        <w:t>Submitted on: 23 September 2022, 12:00 local time</w:t>
      </w:r>
    </w:p>
    <w:p>
      <w:pPr>
        <w:pStyle w:val="Body A"/>
        <w:jc w:val="center"/>
      </w:pPr>
      <w:r>
        <w:rPr>
          <w:rtl w:val="0"/>
          <w:lang w:val="en-US"/>
        </w:rPr>
        <w:t xml:space="preserve">Submitted to: US Army Corps of Engineers, Engineering and Support Center, </w:t>
      </w:r>
      <w:r>
        <w:br w:type="textWrapping"/>
      </w:r>
      <w:r>
        <w:rPr>
          <w:rtl w:val="0"/>
          <w:lang w:val="en-US"/>
        </w:rPr>
        <w:t>Hu</w:t>
      </w:r>
      <w:r>
        <mc:AlternateContent>
          <mc:Choice Requires="wps">
            <w:drawing>
              <wp:anchor distT="152400" distB="152400" distL="152400" distR="152400" simplePos="0" relativeHeight="251659264" behindDoc="0" locked="0" layoutInCell="1" allowOverlap="1">
                <wp:simplePos x="0" y="0"/>
                <wp:positionH relativeFrom="page">
                  <wp:posOffset>914402</wp:posOffset>
                </wp:positionH>
                <wp:positionV relativeFrom="page">
                  <wp:posOffset>7354865</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79.1pt;width:468.0pt;height:11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anchory="page"/>
              </v:shape>
            </w:pict>
          </mc:Fallback>
        </mc:AlternateContent>
      </w:r>
      <w:r>
        <w:rPr>
          <w:rtl w:val="0"/>
          <w:lang w:val="en-US"/>
        </w:rPr>
        <w:t>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reneda.d.kelley@usace.army.mil</w:t>
      </w:r>
      <w:r>
        <w:rPr/>
        <w:fldChar w:fldCharType="end" w:fldLock="0"/>
      </w:r>
      <w:r>
        <w:rPr>
          <w:rtl w:val="0"/>
          <w:lang w:val="en-US"/>
        </w:rPr>
        <w:t xml:space="preserve"> |</w:t>
      </w:r>
      <w:r>
        <w:rPr>
          <w:rtl w:val="0"/>
          <w:lang w:val="en-US"/>
        </w:rPr>
        <w:t xml:space="preserve">  </w:t>
      </w:r>
      <w:r>
        <w:rPr>
          <w:rStyle w:val="Hyperlink.1"/>
        </w:rPr>
        <w:fldChar w:fldCharType="begin" w:fldLock="0"/>
      </w:r>
      <w:r>
        <w:rPr>
          <w:rStyle w:val="Hyperlink.1"/>
        </w:rPr>
        <w:instrText xml:space="preserve"> HYPERLINK "mailto:darrell.d.walker@usace.army.mil"</w:instrText>
      </w:r>
      <w:r>
        <w:rPr>
          <w:rStyle w:val="Hyperlink.1"/>
        </w:rPr>
        <w:fldChar w:fldCharType="separate" w:fldLock="0"/>
      </w:r>
      <w:r>
        <w:rPr>
          <w:rStyle w:val="Hyperlink.1"/>
          <w:rtl w:val="0"/>
          <w:lang w:val="en-US"/>
        </w:rPr>
        <w:t>d</w:t>
      </w:r>
      <w:r>
        <w:rPr>
          <w:rStyle w:val="Hyperlink.1"/>
          <w:rtl w:val="0"/>
          <w:lang w:val="en-US"/>
        </w:rPr>
        <w:t>arrell.d.walker@usace.army.mil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r>
        <w:drawing>
          <wp:anchor distT="12700" distB="12700" distL="12700" distR="12700" simplePos="0" relativeHeight="251660288" behindDoc="0" locked="0" layoutInCell="1" allowOverlap="1">
            <wp:simplePos x="0" y="0"/>
            <wp:positionH relativeFrom="page">
              <wp:posOffset>3045579</wp:posOffset>
            </wp:positionH>
            <wp:positionV relativeFrom="line">
              <wp:posOffset>291190</wp:posOffset>
            </wp:positionV>
            <wp:extent cx="1668542" cy="1668542"/>
            <wp:effectExtent l="0" t="0" r="0" b="0"/>
            <wp:wrapTopAndBottom distT="12700" distB="127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p>
    <w:p>
      <w:pPr>
        <w:pStyle w:val="Body A"/>
        <w:jc w:val="center"/>
        <w:rPr>
          <w:rStyle w:val="None"/>
          <w:b w:val="1"/>
          <w:bCs w:val="1"/>
        </w:rPr>
      </w:pPr>
      <w:r>
        <w:rPr>
          <w:rtl w:val="0"/>
        </w:rPr>
        <w:br w:type="textWrapping"/>
        <w:t xml:space="preserve"> </w:t>
      </w:r>
      <w:r>
        <w:rPr>
          <w:rStyle w:val="None"/>
          <w:b w:val="1"/>
          <w:bCs w:val="1"/>
          <w:rtl w:val="0"/>
          <w:lang w:val="en-US"/>
        </w:rPr>
        <w:t>Submitted by:</w:t>
      </w:r>
      <w:r>
        <w:rPr>
          <w:rStyle w:val="None"/>
          <w:b w:val="1"/>
          <w:bCs w:val="1"/>
        </w:rPr>
        <w:drawing>
          <wp:anchor distT="0" distB="0" distL="0" distR="0" simplePos="0" relativeHeight="251661312" behindDoc="0" locked="0" layoutInCell="1" allowOverlap="1">
            <wp:simplePos x="0" y="0"/>
            <wp:positionH relativeFrom="margin">
              <wp:posOffset>2044374</wp:posOffset>
            </wp:positionH>
            <wp:positionV relativeFrom="line">
              <wp:posOffset>272943</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p>
    <w:p>
      <w:pPr>
        <w:pStyle w:val="Body A"/>
        <w:jc w:val="center"/>
        <w:rPr>
          <w:rStyle w:val="None"/>
          <w:b w:val="1"/>
          <w:bCs w:val="1"/>
        </w:rPr>
      </w:pPr>
      <w:r>
        <w:rPr>
          <w:rStyle w:val="None"/>
          <w:b w:val="1"/>
          <w:bCs w:val="1"/>
          <w:sz w:val="28"/>
          <w:szCs w:val="28"/>
          <w:rtl w:val="0"/>
          <w:lang w:val="en-US"/>
        </w:rPr>
        <w:t>All Phase Services, Inc.</w:t>
      </w:r>
      <w:r>
        <w:rPr>
          <w:rStyle w:val="None"/>
          <w:b w:val="1"/>
          <w:bCs w:val="1"/>
          <w:sz w:val="28"/>
          <w:szCs w:val="28"/>
        </w:rPr>
        <w:br w:type="textWrapping"/>
      </w:r>
      <w:r>
        <w:rPr>
          <w:rStyle w:val="None"/>
          <w:b w:val="1"/>
          <w:bCs w:val="1"/>
          <w:rtl w:val="0"/>
          <w:lang w:val="en-US"/>
        </w:rPr>
        <w:t>SW 5th Avenue | Delray Beach FL 33444 US</w:t>
      </w:r>
      <w:r>
        <w:rPr>
          <w:rStyle w:val="None"/>
          <w:b w:val="1"/>
          <w:bCs w:val="1"/>
        </w:rPr>
        <w:br w:type="textWrapping"/>
      </w:r>
      <w:r>
        <w:rPr>
          <w:rStyle w:val="None"/>
          <w:b w:val="1"/>
          <w:bCs w:val="1"/>
          <w:rtl w:val="0"/>
          <w:lang w:val="en-US"/>
        </w:rPr>
        <w:t>POC Name: Carlos Martins / President</w:t>
      </w:r>
      <w:r>
        <w:rPr>
          <w:rStyle w:val="None"/>
          <w:b w:val="1"/>
          <w:bCs w:val="1"/>
        </w:rPr>
        <w:br w:type="textWrapping"/>
      </w:r>
      <w:r>
        <w:rPr>
          <w:rStyle w:val="None"/>
          <w:b w:val="1"/>
          <w:bCs w:val="1"/>
          <w:rtl w:val="0"/>
          <w:lang w:val="en-US"/>
        </w:rPr>
        <w:t>Email: carlos@allphase.org</w:t>
      </w:r>
      <w:r>
        <w:rPr>
          <w:rStyle w:val="None"/>
          <w:b w:val="1"/>
          <w:bCs w:val="1"/>
        </w:rPr>
        <w:br w:type="textWrapping"/>
      </w:r>
      <w:r>
        <w:rPr>
          <w:rStyle w:val="None"/>
          <w:b w:val="1"/>
          <w:bCs w:val="1"/>
          <w:rtl w:val="0"/>
          <w:lang w:val="en-US"/>
        </w:rPr>
        <w:t>Phone: 561-620-8222 or 561-756-6647 | Web: www.allphaseenv.com</w:t>
      </w:r>
    </w:p>
    <w:p>
      <w:pPr>
        <w:pStyle w:val="Body A"/>
        <w:pageBreakBefore w:val="1"/>
        <w:rPr>
          <w:rStyle w:val="None"/>
          <w:sz w:val="22"/>
          <w:szCs w:val="22"/>
        </w:rPr>
      </w:pPr>
      <w:r>
        <w:rPr>
          <w:rStyle w:val="None"/>
          <w:b w:val="1"/>
          <w:bCs w:val="1"/>
          <w:rtl w:val="0"/>
          <w:lang w:val="en-US"/>
        </w:rPr>
        <w:t>Cover Letter</w:t>
      </w:r>
      <w:r>
        <w:br w:type="textWrapping"/>
      </w:r>
    </w:p>
    <w:p>
      <w:pPr>
        <w:pStyle w:val="Body A"/>
        <w:spacing w:after="120" w:line="240" w:lineRule="auto"/>
        <w:jc w:val="right"/>
        <w:rPr>
          <w:rStyle w:val="None"/>
          <w:sz w:val="23"/>
          <w:szCs w:val="23"/>
        </w:rPr>
      </w:pPr>
      <w:r>
        <w:rPr>
          <w:rStyle w:val="None"/>
          <w:sz w:val="23"/>
          <w:szCs w:val="23"/>
          <w:rtl w:val="0"/>
          <w:lang w:val="en-US"/>
        </w:rPr>
        <w:t>23-September-2022</w:t>
      </w:r>
    </w:p>
    <w:p>
      <w:pPr>
        <w:pStyle w:val="Body A"/>
        <w:spacing w:after="120" w:line="240" w:lineRule="auto"/>
        <w:rPr>
          <w:rStyle w:val="None"/>
          <w:sz w:val="23"/>
          <w:szCs w:val="23"/>
        </w:rPr>
      </w:pPr>
      <w:r>
        <w:rPr>
          <w:rStyle w:val="None"/>
          <w:sz w:val="23"/>
          <w:szCs w:val="23"/>
          <w:rtl w:val="0"/>
          <w:lang w:val="en-US"/>
        </w:rPr>
        <w:t xml:space="preserve">To: US Army Corps of Engineers, </w:t>
      </w:r>
      <w:r>
        <w:rPr>
          <w:rStyle w:val="None"/>
          <w:sz w:val="23"/>
          <w:szCs w:val="23"/>
        </w:rPr>
        <w:br w:type="textWrapping"/>
      </w:r>
      <w:r>
        <w:rPr>
          <w:rStyle w:val="None"/>
          <w:sz w:val="23"/>
          <w:szCs w:val="23"/>
          <w:rtl w:val="0"/>
          <w:lang w:val="en-US"/>
        </w:rPr>
        <w:t>Engineering and Support Center, Huntsville (CEHNC)</w:t>
      </w:r>
      <w:r>
        <w:rPr>
          <w:rStyle w:val="None"/>
          <w:sz w:val="23"/>
          <w:szCs w:val="23"/>
        </w:rPr>
        <w:br w:type="textWrapping"/>
      </w:r>
      <w:r>
        <w:rPr>
          <w:rStyle w:val="None"/>
          <w:sz w:val="23"/>
          <w:szCs w:val="23"/>
          <w:rtl w:val="0"/>
          <w:lang w:val="en-US"/>
        </w:rPr>
        <w:t>Atten: Reneda Kelley, Contracting Officer</w:t>
      </w:r>
    </w:p>
    <w:p>
      <w:pPr>
        <w:pStyle w:val="Body A"/>
        <w:spacing w:after="120" w:line="240" w:lineRule="auto"/>
        <w:jc w:val="right"/>
        <w:rPr>
          <w:rStyle w:val="None"/>
          <w:sz w:val="23"/>
          <w:szCs w:val="23"/>
        </w:rPr>
      </w:pPr>
      <w:r>
        <w:rPr>
          <w:rStyle w:val="None"/>
          <w:sz w:val="23"/>
          <w:szCs w:val="23"/>
          <w:rtl w:val="0"/>
          <w:lang w:val="en-US"/>
        </w:rPr>
        <w:t xml:space="preserve">re: Task Order PANHES-22-P-0000 004330 </w:t>
      </w:r>
    </w:p>
    <w:p>
      <w:pPr>
        <w:pStyle w:val="Body A"/>
        <w:spacing w:after="120" w:line="240" w:lineRule="auto"/>
        <w:rPr>
          <w:rStyle w:val="None"/>
          <w:sz w:val="23"/>
          <w:szCs w:val="23"/>
        </w:rPr>
      </w:pPr>
      <w:r>
        <w:rPr>
          <w:rStyle w:val="None"/>
          <w:sz w:val="23"/>
          <w:szCs w:val="23"/>
          <w:rtl w:val="0"/>
          <w:lang w:val="en-US"/>
        </w:rPr>
        <w:t>Dear Sir/Madam:</w:t>
      </w:r>
    </w:p>
    <w:p>
      <w:pPr>
        <w:pStyle w:val="Body A"/>
        <w:spacing w:after="120" w:line="240" w:lineRule="auto"/>
        <w:rPr>
          <w:rStyle w:val="None"/>
          <w:sz w:val="23"/>
          <w:szCs w:val="23"/>
        </w:rPr>
      </w:pPr>
      <w:r>
        <w:rPr>
          <w:rStyle w:val="None"/>
          <w:sz w:val="23"/>
          <w:szCs w:val="23"/>
          <w:rtl w:val="0"/>
          <w:lang w:val="en-US"/>
        </w:rPr>
        <w:t>All Phase Services, Inc. is pleased to submit this proposal in response to Task Order PANHES-22-P-0000 004330 for demolition at Fort Stewart, G</w:t>
      </w:r>
      <w:r>
        <w:rPr>
          <w:rStyle w:val="None"/>
          <w:sz w:val="23"/>
          <w:szCs w:val="23"/>
          <w:rtl w:val="0"/>
          <w:lang w:val="en-US"/>
        </w:rPr>
        <w:t>eorgia</w:t>
      </w:r>
      <w:r>
        <w:rPr>
          <w:rStyle w:val="None"/>
          <w:sz w:val="23"/>
          <w:szCs w:val="23"/>
          <w:rtl w:val="0"/>
          <w:lang w:val="en-US"/>
        </w:rPr>
        <w:t xml:space="preserve">. </w:t>
      </w:r>
    </w:p>
    <w:p>
      <w:pPr>
        <w:pStyle w:val="Body A"/>
        <w:spacing w:after="120" w:line="240" w:lineRule="auto"/>
        <w:rPr>
          <w:rStyle w:val="None"/>
          <w:sz w:val="23"/>
          <w:szCs w:val="23"/>
        </w:rPr>
      </w:pPr>
      <w:r>
        <w:rPr>
          <w:rStyle w:val="None"/>
          <w:sz w:val="23"/>
          <w:szCs w:val="23"/>
          <w:rtl w:val="0"/>
          <w:lang w:val="en-US"/>
        </w:rPr>
        <w:t>Our proposal conforms to the instructions and requirements of the solicitation and addresses the Task Order SOW. We acknowledge receipt of associated maps and Site Survey Report, and Q&amp;A</w:t>
      </w:r>
      <w:r>
        <w:rPr>
          <w:rStyle w:val="None"/>
          <w:sz w:val="23"/>
          <w:szCs w:val="23"/>
          <w:rtl w:val="0"/>
          <w:lang w:val="en-US"/>
        </w:rPr>
        <w:t>’</w:t>
      </w:r>
      <w:r>
        <w:rPr>
          <w:rStyle w:val="None"/>
          <w:sz w:val="23"/>
          <w:szCs w:val="23"/>
          <w:rtl w:val="0"/>
          <w:lang w:val="en-US"/>
        </w:rPr>
        <w:t xml:space="preserve">s, as well as the RFP, including all amendments up to received </w:t>
      </w:r>
      <w:r>
        <w:rPr>
          <w:rStyle w:val="None"/>
          <w:sz w:val="23"/>
          <w:szCs w:val="23"/>
          <w:rtl w:val="0"/>
          <w:lang w:val="en-US"/>
        </w:rPr>
        <w:t>22</w:t>
      </w:r>
      <w:r>
        <w:rPr>
          <w:rStyle w:val="None"/>
          <w:sz w:val="23"/>
          <w:szCs w:val="23"/>
          <w:rtl w:val="0"/>
          <w:lang w:val="en-US"/>
        </w:rPr>
        <w:t>-September-2022. All Phase takes no exceptions to the terms, conditions, and provisions contained therein. Furthermore, we make no assumptions within this proposal that are intended to offset any risk onto the Government.</w:t>
      </w:r>
      <w:r>
        <w:rPr>
          <w:rStyle w:val="None"/>
          <w:sz w:val="23"/>
          <w:szCs w:val="23"/>
        </w:rPr>
        <w:br w:type="textWrapping"/>
      </w:r>
      <w:commentRangeStart w:id="0"/>
    </w:p>
    <w:p>
      <w:pPr>
        <w:pStyle w:val="Body A"/>
        <w:spacing w:after="120" w:line="240" w:lineRule="auto"/>
        <w:rPr>
          <w:rStyle w:val="None"/>
          <w:sz w:val="23"/>
          <w:szCs w:val="23"/>
        </w:rPr>
      </w:pPr>
      <w:r>
        <w:rPr>
          <w:rStyle w:val="None"/>
          <w:sz w:val="23"/>
          <w:szCs w:val="23"/>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r>
        <w:rPr>
          <w:rStyle w:val="None"/>
          <w:sz w:val="23"/>
          <w:szCs w:val="23"/>
        </w:rPr>
        <w:br w:type="textWrapping"/>
      </w:r>
      <w:commentRangeEnd w:id="0"/>
      <w:r>
        <w:commentReference w:id="0"/>
      </w:r>
    </w:p>
    <w:p>
      <w:pPr>
        <w:pStyle w:val="Body A"/>
        <w:spacing w:after="120" w:line="240" w:lineRule="auto"/>
        <w:rPr>
          <w:rStyle w:val="None"/>
          <w:sz w:val="23"/>
          <w:szCs w:val="23"/>
        </w:rPr>
      </w:pPr>
      <w:r>
        <w:rPr>
          <w:rStyle w:val="None"/>
          <w:sz w:val="23"/>
          <w:szCs w:val="23"/>
          <w:rtl w:val="0"/>
          <w:lang w:val="en-US"/>
        </w:rPr>
        <w:t>Eric Newman, Pre-Construction Manager of All Phase Services, Inc. will be the point of contact for this proposal with full authority to negotiate and sign the contract resulting from this procurement on All Phase</w:t>
      </w:r>
      <w:r>
        <w:rPr>
          <w:rStyle w:val="None"/>
          <w:sz w:val="23"/>
          <w:szCs w:val="23"/>
          <w:rtl w:val="0"/>
          <w:lang w:val="en-US"/>
        </w:rPr>
        <w:t>’</w:t>
      </w:r>
      <w:r>
        <w:rPr>
          <w:rStyle w:val="None"/>
          <w:sz w:val="23"/>
          <w:szCs w:val="23"/>
          <w:rtl w:val="0"/>
          <w:lang w:val="en-US"/>
        </w:rPr>
        <w:t xml:space="preserve">s behalf, with contact information provided, below. Sal Rabah, President of All Phase, will be the primary POC. </w:t>
      </w:r>
    </w:p>
    <w:p>
      <w:pPr>
        <w:pStyle w:val="Body A"/>
        <w:keepNext w:val="1"/>
        <w:spacing w:after="120" w:line="240" w:lineRule="auto"/>
        <w:rPr>
          <w:rStyle w:val="None"/>
          <w:sz w:val="23"/>
          <w:szCs w:val="23"/>
        </w:rPr>
      </w:pPr>
      <w:r>
        <w:rPr>
          <w:rStyle w:val="None"/>
          <w:sz w:val="23"/>
          <w:szCs w:val="23"/>
          <w:rtl w:val="0"/>
          <w:lang w:val="en-US"/>
        </w:rPr>
        <w:t>Respectfully,</w:t>
      </w:r>
    </w:p>
    <w:p>
      <w:pPr>
        <w:pStyle w:val="Body A"/>
        <w:keepNext w:val="1"/>
        <w:spacing w:after="120" w:line="240" w:lineRule="auto"/>
        <w:rPr>
          <w:sz w:val="23"/>
          <w:szCs w:val="23"/>
        </w:rPr>
      </w:pPr>
    </w:p>
    <w:p>
      <w:pPr>
        <w:pStyle w:val="Body A"/>
        <w:spacing w:after="120" w:line="240" w:lineRule="auto"/>
        <w:rPr>
          <w:rStyle w:val="None"/>
          <w:sz w:val="23"/>
          <w:szCs w:val="23"/>
        </w:rPr>
      </w:pPr>
      <w:r>
        <w:rPr>
          <w:rStyle w:val="None"/>
          <w:sz w:val="23"/>
          <w:szCs w:val="23"/>
          <w:rtl w:val="0"/>
          <w:lang w:val="en-US"/>
        </w:rPr>
        <w:t>/S/</w:t>
      </w:r>
    </w:p>
    <w:p>
      <w:pPr>
        <w:pStyle w:val="Body A"/>
        <w:spacing w:after="120" w:line="240" w:lineRule="auto"/>
        <w:rPr>
          <w:sz w:val="23"/>
          <w:szCs w:val="23"/>
        </w:rPr>
      </w:pPr>
    </w:p>
    <w:p>
      <w:pPr>
        <w:pStyle w:val="Body A"/>
        <w:spacing w:after="120" w:line="240" w:lineRule="auto"/>
        <w:rPr>
          <w:rStyle w:val="None"/>
          <w:sz w:val="23"/>
          <w:szCs w:val="23"/>
        </w:rPr>
      </w:pPr>
      <w:r>
        <w:rPr>
          <w:rStyle w:val="None"/>
          <w:b w:val="1"/>
          <w:bCs w:val="1"/>
          <w:sz w:val="23"/>
          <w:szCs w:val="23"/>
          <w:rtl w:val="0"/>
          <w:lang w:val="en-US"/>
        </w:rPr>
        <w:t xml:space="preserve">Sal Rabah, President </w:t>
      </w:r>
      <w:r>
        <w:rPr>
          <w:rStyle w:val="None"/>
          <w:b w:val="1"/>
          <w:bCs w:val="1"/>
          <w:sz w:val="23"/>
          <w:szCs w:val="23"/>
          <w:rtl w:val="0"/>
          <w:lang w:val="en-US"/>
        </w:rPr>
        <w:t xml:space="preserve">– </w:t>
      </w:r>
      <w:r>
        <w:rPr>
          <w:rStyle w:val="None"/>
          <w:b w:val="1"/>
          <w:bCs w:val="1"/>
          <w:sz w:val="23"/>
          <w:szCs w:val="23"/>
          <w:rtl w:val="0"/>
          <w:lang w:val="en-US"/>
        </w:rPr>
        <w:t>Primary POC</w:t>
      </w:r>
      <w:r>
        <w:rPr>
          <w:rStyle w:val="None"/>
          <w:sz w:val="23"/>
          <w:szCs w:val="23"/>
        </w:rPr>
        <w:br w:type="textWrapping"/>
      </w:r>
      <w:r>
        <w:rPr>
          <w:rStyle w:val="None"/>
          <w:sz w:val="23"/>
          <w:szCs w:val="23"/>
          <w:rtl w:val="0"/>
          <w:lang w:val="en-US"/>
        </w:rPr>
        <w:t>All Phase Services, Inc.</w:t>
      </w:r>
      <w:r>
        <w:rPr>
          <w:rStyle w:val="None"/>
          <w:sz w:val="23"/>
          <w:szCs w:val="23"/>
        </w:rPr>
        <w:br w:type="textWrapping"/>
      </w:r>
      <w:r>
        <w:rPr>
          <w:rStyle w:val="None"/>
          <w:sz w:val="23"/>
          <w:szCs w:val="23"/>
          <w:rtl w:val="0"/>
          <w:lang w:val="en-US"/>
        </w:rPr>
        <w:t>34 SW 5th Avenue</w:t>
      </w:r>
      <w:r>
        <w:rPr>
          <w:rStyle w:val="None"/>
          <w:sz w:val="23"/>
          <w:szCs w:val="23"/>
        </w:rPr>
        <w:br w:type="textWrapping"/>
      </w:r>
      <w:r>
        <w:rPr>
          <w:rStyle w:val="None"/>
          <w:sz w:val="23"/>
          <w:szCs w:val="23"/>
          <w:rtl w:val="0"/>
          <w:lang w:val="en-US"/>
        </w:rPr>
        <w:t>Delray Beach, FL 33444</w:t>
      </w:r>
      <w:r>
        <w:rPr>
          <w:rStyle w:val="None"/>
          <w:sz w:val="23"/>
          <w:szCs w:val="23"/>
        </w:rPr>
        <w:br w:type="textWrapping"/>
      </w:r>
      <w:r>
        <w:rPr>
          <w:rStyle w:val="None"/>
          <w:sz w:val="23"/>
          <w:szCs w:val="23"/>
          <w:rtl w:val="0"/>
          <w:lang w:val="en-US"/>
        </w:rPr>
        <w:t>561-620-8222 | Fax 866-260-2024</w:t>
      </w:r>
      <w:r>
        <w:rPr>
          <w:rStyle w:val="None"/>
          <w:sz w:val="23"/>
          <w:szCs w:val="23"/>
        </w:rPr>
        <w:br w:type="textWrapping"/>
      </w:r>
      <w:r>
        <w:rPr>
          <w:rStyle w:val="None"/>
          <w:sz w:val="23"/>
          <w:szCs w:val="23"/>
          <w:rtl w:val="0"/>
          <w:lang w:val="en-US"/>
        </w:rPr>
        <w:t xml:space="preserve">Email: </w:t>
      </w:r>
      <w:r>
        <w:rPr>
          <w:rStyle w:val="Hyperlink.2"/>
        </w:rPr>
        <w:fldChar w:fldCharType="begin" w:fldLock="0"/>
      </w:r>
      <w:r>
        <w:rPr>
          <w:rStyle w:val="Hyperlink.2"/>
        </w:rPr>
        <w:instrText xml:space="preserve"> HYPERLINK "mailto:sal@allphase.org"</w:instrText>
      </w:r>
      <w:r>
        <w:rPr>
          <w:rStyle w:val="Hyperlink.2"/>
        </w:rPr>
        <w:fldChar w:fldCharType="separate" w:fldLock="0"/>
      </w:r>
      <w:r>
        <w:rPr>
          <w:rStyle w:val="Hyperlink.2"/>
          <w:rtl w:val="0"/>
          <w:lang w:val="en-US"/>
        </w:rPr>
        <w:t>sal@allphase.org</w:t>
      </w:r>
      <w:r>
        <w:rPr/>
        <w:fldChar w:fldCharType="end" w:fldLock="0"/>
      </w:r>
      <w:r>
        <w:rPr>
          <w:rStyle w:val="None"/>
          <w:sz w:val="23"/>
          <w:szCs w:val="23"/>
        </w:rPr>
        <w:br w:type="textWrapping"/>
      </w:r>
    </w:p>
    <w:p>
      <w:pPr>
        <w:pStyle w:val="Body A"/>
        <w:spacing w:after="120" w:line="240" w:lineRule="auto"/>
        <w:rPr>
          <w:rStyle w:val="None"/>
          <w:sz w:val="23"/>
          <w:szCs w:val="23"/>
        </w:rPr>
      </w:pPr>
      <w:r>
        <w:rPr>
          <w:rStyle w:val="None"/>
          <w:b w:val="1"/>
          <w:bCs w:val="1"/>
          <w:sz w:val="23"/>
          <w:szCs w:val="23"/>
          <w:rtl w:val="0"/>
          <w:lang w:val="en-US"/>
        </w:rPr>
        <w:t xml:space="preserve">Eric Newman, Pre-Construction Manager </w:t>
      </w:r>
      <w:r>
        <w:rPr>
          <w:rStyle w:val="None"/>
          <w:b w:val="1"/>
          <w:bCs w:val="1"/>
          <w:sz w:val="23"/>
          <w:szCs w:val="23"/>
          <w:rtl w:val="0"/>
          <w:lang w:val="en-US"/>
        </w:rPr>
        <w:t xml:space="preserve">– </w:t>
      </w:r>
      <w:r>
        <w:rPr>
          <w:rStyle w:val="None"/>
          <w:b w:val="1"/>
          <w:bCs w:val="1"/>
          <w:sz w:val="23"/>
          <w:szCs w:val="23"/>
          <w:rtl w:val="0"/>
          <w:lang w:val="en-US"/>
        </w:rPr>
        <w:t>Alternate POC</w:t>
      </w:r>
      <w:r>
        <w:rPr>
          <w:rStyle w:val="None"/>
          <w:sz w:val="23"/>
          <w:szCs w:val="23"/>
        </w:rPr>
        <w:br w:type="textWrapping"/>
      </w:r>
      <w:r>
        <w:rPr>
          <w:rStyle w:val="None"/>
          <w:sz w:val="23"/>
          <w:szCs w:val="23"/>
          <w:rtl w:val="0"/>
          <w:lang w:val="en-US"/>
        </w:rPr>
        <w:t>O: 561.272.0944 | C: 941.302.6562</w:t>
      </w:r>
      <w:r>
        <w:rPr>
          <w:rStyle w:val="None"/>
          <w:sz w:val="23"/>
          <w:szCs w:val="23"/>
        </w:rPr>
        <w:br w:type="textWrapping"/>
      </w:r>
      <w:r>
        <w:rPr>
          <w:rStyle w:val="None"/>
          <w:sz w:val="23"/>
          <w:szCs w:val="23"/>
          <w:rtl w:val="0"/>
          <w:lang w:val="en-US"/>
        </w:rPr>
        <w:t>Email: Eric.newman@allphase.org</w:t>
      </w:r>
    </w:p>
    <w:p>
      <w:pPr>
        <w:pStyle w:val="Body A"/>
        <w:pageBreakBefore w:val="1"/>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Table 1. Hazardous Material Abatement Projected Difficulty </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Table 2. Hazardous Material Abatement Manpower Projection </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 xml:space="preserve">Table 4. Demolition Structure Types and Projected Difficulty Per Location </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Table 5. Manpower and Major Equipment Needed  </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Table 6. Demolition Waste Recycling and Salvage </w:t>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20</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Style w:val="None"/>
          <w:rtl w:val="0"/>
          <w:lang w:val="en-US"/>
        </w:rPr>
        <w:t>Technical Approach</w:t>
      </w:r>
      <w:bookmarkEnd w:id="1"/>
    </w:p>
    <w:p>
      <w:pPr>
        <w:pStyle w:val="Body C"/>
      </w:pPr>
      <w:r>
        <w:rPr>
          <w:rtl w:val="0"/>
        </w:rPr>
        <w:t xml:space="preserve">All Phase will provide all personnel, tools and equipment, and expertise for demolition services at Fort </w:t>
      </w:r>
      <w:r>
        <w:rPr>
          <w:rtl w:val="0"/>
        </w:rPr>
        <w:t>Stewart, Georgia</w:t>
      </w:r>
      <w:r>
        <w:rPr>
          <w:rtl w:val="0"/>
        </w:rPr>
        <w:t>.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Style w:val="None"/>
          <w:rFonts w:ascii="Arial Unicode MS" w:hAnsi="Arial Unicode MS" w:hint="default"/>
          <w:rtl w:val="0"/>
          <w:lang w:val="en-US"/>
        </w:rPr>
        <w:t>’</w:t>
      </w:r>
      <w:r>
        <w:rPr>
          <w:rtl w:val="0"/>
        </w:rPr>
        <w:t xml:space="preserve">s targets. We will then restore the site to a usable state. </w:t>
      </w:r>
    </w:p>
    <w:p>
      <w:pPr>
        <w:keepNext w:val="0"/>
        <w:keepLines w:val="0"/>
        <w:pageBreakBefore w:val="0"/>
        <w:widowControl w:val="1"/>
        <w:shd w:val="clear" w:color="auto" w:fill="auto"/>
        <w:suppressAutoHyphens w:val="0"/>
        <w:bidi w:val="0"/>
        <w:spacing w:before="0" w:after="12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Facilities to be Demolished In FY22 (base bid)</w:t>
      </w:r>
    </w:p>
    <w:p>
      <w:pPr>
        <w:pStyle w:val="Body C"/>
      </w:pPr>
    </w:p>
    <w:p>
      <w:pPr>
        <w:pStyle w:val="Body C"/>
      </w:pPr>
      <w:r>
        <w:rPr>
          <w:rtl w:val="0"/>
        </w:rPr>
        <w:t>All Phase is cognizant of government security requirements, and will secure the site during this effort. Site security is important to site safety, as well, and we will ensure th</w:t>
      </w:r>
      <w:r>
        <mc:AlternateContent>
          <mc:Choice Requires="wps">
            <w:drawing>
              <wp:anchor distT="0" distB="0" distL="0" distR="0" simplePos="0" relativeHeight="251662336" behindDoc="0" locked="0" layoutInCell="1" allowOverlap="1">
                <wp:simplePos x="0" y="0"/>
                <wp:positionH relativeFrom="page">
                  <wp:posOffset>914399</wp:posOffset>
                </wp:positionH>
                <wp:positionV relativeFrom="page">
                  <wp:posOffset>3474204</wp:posOffset>
                </wp:positionV>
                <wp:extent cx="5956300" cy="1350402"/>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5956300" cy="1350402"/>
                        </a:xfrm>
                        <a:prstGeom prst="rect">
                          <a:avLst/>
                        </a:prstGeom>
                      </wps:spPr>
                      <wps:txbx>
                        <w:txbxContent>
                          <w:tbl>
                            <w:tblPr>
                              <w:tblW w:w="936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21"/>
                              <w:gridCol w:w="4076"/>
                              <w:gridCol w:w="1963"/>
                            </w:tblGrid>
                            <w:tr>
                              <w:tblPrEx>
                                <w:shd w:val="clear" w:color="auto" w:fill="bdc0bf"/>
                              </w:tblPrEx>
                              <w:trPr>
                                <w:trHeight w:val="157" w:hRule="exact"/>
                                <w:tblHeader/>
                              </w:trPr>
                              <w:tc>
                                <w:tcPr>
                                  <w:tcW w:type="dxa" w:w="3321"/>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Structure (building) Number</w:t>
                                  </w:r>
                                </w:p>
                              </w:tc>
                              <w:tc>
                                <w:tcPr>
                                  <w:tcW w:type="dxa" w:w="4076"/>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Description</w:t>
                                  </w:r>
                                </w:p>
                              </w:tc>
                              <w:tc>
                                <w:tcPr>
                                  <w:tcW w:type="dxa" w:w="1962"/>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Square Feet</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16</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1,046</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17</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1,126</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19</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1,578</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23</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1,227</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bidi w:val="0"/>
                                    <w:ind w:left="720" w:right="0" w:firstLine="0"/>
                                    <w:jc w:val="left"/>
                                    <w:rPr>
                                      <w:rtl w:val="0"/>
                                    </w:rPr>
                                  </w:pPr>
                                  <w:r>
                                    <w:rPr>
                                      <w:rFonts w:ascii="Times New Roman" w:hAnsi="Times New Roman"/>
                                      <w:b w:val="1"/>
                                      <w:bCs w:val="1"/>
                                      <w:sz w:val="22"/>
                                      <w:szCs w:val="22"/>
                                      <w:rtl w:val="0"/>
                                      <w:lang w:val="en-US"/>
                                    </w:rPr>
                                    <w:t>Total Sq Ft</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4,977</w:t>
                                  </w:r>
                                </w:p>
                              </w:tc>
                            </w:tr>
                          </w:tbl>
                        </w:txbxContent>
                      </wps:txbx>
                      <wps:bodyPr lIns="0" tIns="0" rIns="0" bIns="0">
                        <a:spAutoFit/>
                      </wps:bodyPr>
                    </wps:wsp>
                  </a:graphicData>
                </a:graphic>
              </wp:anchor>
            </w:drawing>
          </mc:Choice>
          <mc:Fallback>
            <w:pict>
              <v:shape id="_x0000_s1027" type="#_x0000_t202" style="visibility:visible;position:absolute;margin-left:72.0pt;margin-top:273.6pt;width:469.0pt;height:106.3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6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21"/>
                        <w:gridCol w:w="4076"/>
                        <w:gridCol w:w="1963"/>
                      </w:tblGrid>
                      <w:tr>
                        <w:tblPrEx>
                          <w:shd w:val="clear" w:color="auto" w:fill="bdc0bf"/>
                        </w:tblPrEx>
                        <w:trPr>
                          <w:trHeight w:val="157" w:hRule="exact"/>
                          <w:tblHeader/>
                        </w:trPr>
                        <w:tc>
                          <w:tcPr>
                            <w:tcW w:type="dxa" w:w="3321"/>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Structure (building) Number</w:t>
                            </w:r>
                          </w:p>
                        </w:tc>
                        <w:tc>
                          <w:tcPr>
                            <w:tcW w:type="dxa" w:w="4076"/>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Description</w:t>
                            </w:r>
                          </w:p>
                        </w:tc>
                        <w:tc>
                          <w:tcPr>
                            <w:tcW w:type="dxa" w:w="1962"/>
                            <w:tcBorders>
                              <w:top w:val="single" w:color="000000" w:sz="2" w:space="0" w:shadow="0" w:frame="0"/>
                              <w:left w:val="single" w:color="000000" w:sz="2" w:space="0" w:shadow="0" w:frame="0"/>
                              <w:bottom w:val="single" w:color="cacaca" w:sz="8"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Times New Roman" w:hAnsi="Times New Roman"/>
                                <w:rtl w:val="0"/>
                              </w:rPr>
                              <w:t>Square Feet</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16</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1,046</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17</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1,126</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19</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1,578</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Building 23</w:t>
                            </w: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pPr>
                            <w:r>
                              <w:rPr>
                                <w:rFonts w:ascii="Times New Roman" w:hAnsi="Times New Roman"/>
                                <w:sz w:val="22"/>
                                <w:szCs w:val="22"/>
                                <w:rtl w:val="0"/>
                              </w:rPr>
                              <w:t>Army Lodging (DVQ)</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1,227</w:t>
                            </w:r>
                          </w:p>
                        </w:tc>
                      </w:tr>
                      <w:tr>
                        <w:tblPrEx>
                          <w:shd w:val="clear" w:color="auto" w:fill="auto"/>
                        </w:tblPrEx>
                        <w:trPr>
                          <w:trHeight w:val="244" w:hRule="exact"/>
                        </w:trPr>
                        <w:tc>
                          <w:tcPr>
                            <w:tcW w:type="dxa" w:w="3321"/>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tc>
                        <w:tc>
                          <w:tcPr>
                            <w:tcW w:type="dxa" w:w="4076"/>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pStyle w:val="Table Style 2"/>
                              <w:bidi w:val="0"/>
                              <w:ind w:left="720" w:right="0" w:firstLine="0"/>
                              <w:jc w:val="left"/>
                              <w:rPr>
                                <w:rtl w:val="0"/>
                              </w:rPr>
                            </w:pPr>
                            <w:r>
                              <w:rPr>
                                <w:rFonts w:ascii="Times New Roman" w:hAnsi="Times New Roman"/>
                                <w:b w:val="1"/>
                                <w:bCs w:val="1"/>
                                <w:sz w:val="22"/>
                                <w:szCs w:val="22"/>
                                <w:rtl w:val="0"/>
                                <w:lang w:val="en-US"/>
                              </w:rPr>
                              <w:t>Total Sq Ft</w:t>
                            </w:r>
                          </w:p>
                        </w:tc>
                        <w:tc>
                          <w:tcPr>
                            <w:tcW w:type="dxa" w:w="1962"/>
                            <w:tcBorders>
                              <w:top w:val="single" w:color="cacaca" w:sz="8" w:space="0" w:shadow="0" w:frame="0"/>
                              <w:left w:val="single" w:color="cacaca" w:sz="8" w:space="0" w:shadow="0" w:frame="0"/>
                              <w:bottom w:val="single" w:color="cacaca" w:sz="8" w:space="0" w:shadow="0" w:frame="0"/>
                              <w:right w:val="single" w:color="cacaca" w:sz="8" w:space="0" w:shadow="0" w:frame="0"/>
                            </w:tcBorders>
                            <w:shd w:val="clear" w:color="auto" w:fill="auto"/>
                            <w:tcMar>
                              <w:top w:type="dxa" w:w="0"/>
                              <w:left w:type="dxa" w:w="100"/>
                              <w:bottom w:type="dxa" w:w="0"/>
                              <w:right w:type="dxa" w:w="1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4,977</w:t>
                            </w:r>
                          </w:p>
                        </w:tc>
                      </w:tr>
                    </w:tbl>
                  </w:txbxContent>
                </v:textbox>
                <w10:wrap type="topAndBottom" side="bothSides" anchorx="page" anchory="page"/>
              </v:shape>
            </w:pict>
          </mc:Fallback>
        </mc:AlternateContent>
      </w:r>
      <w:r>
        <w:rPr>
          <w:rtl w:val="0"/>
        </w:rPr>
        <w:t>e well-being of work crews and any other personnel authorized to be on-site. Attached to this document is a GANTT representation of the schedule for All Phase to carry out this task.</w:t>
      </w:r>
      <w:r>
        <w:rPr>
          <w:rtl w:val="0"/>
        </w:rPr>
        <w:t xml:space="preserve"> </w:t>
      </w:r>
    </w:p>
    <w:p>
      <w:pPr>
        <w:pStyle w:val="Body C"/>
      </w:pPr>
      <w:r>
        <w:rPr>
          <w:rtl w:val="0"/>
        </w:rPr>
        <w:t xml:space="preserve">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control.We understand the requirements to be for All Phase to provide all design services, labor, tools, equipment, and services necessary to demolish the buildings and all items, systems, and appurtenances. All Phase has carefully considered the requirements of the SOW and all other work scope documents and understand the abatement task in terms of hazardous material sources and difficulty per location (Table 1). </w:t>
      </w:r>
    </w:p>
    <w:p>
      <w:pPr>
        <w:pStyle w:val="Body C"/>
      </w:pPr>
      <w:r>
        <w:rPr>
          <w:rtl w:val="0"/>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codes and standards, as identified in the PWS. Technical Specifications will be edited from the Unified Facility Guide Specifications (UFGS) format (from Whole Building Design Guide.org) coordinated with the required disciplines, specifically Section 02 41 00 Demolition and Deconstruction. </w:t>
      </w:r>
    </w:p>
    <w:p>
      <w:pPr>
        <w:pStyle w:val="Heading 2"/>
        <w:suppressAutoHyphens w:val="1"/>
      </w:pPr>
      <w:bookmarkStart w:name="_Toc1" w:id="2"/>
      <w:r>
        <w:rPr>
          <w:rStyle w:val="None"/>
          <w:rtl w:val="0"/>
          <w:lang w:val="en-US"/>
        </w:rPr>
        <w:t>Table 1. Hazardous Material Abatement Projected Difficulty</w:t>
      </w:r>
      <w:r>
        <w:rPr>
          <w:rStyle w:val="None"/>
          <w:lang w:val="en-US"/>
        </w:rPr>
        <w:drawing>
          <wp:anchor distT="12700" distB="12700" distL="12700" distR="12700" simplePos="0" relativeHeight="251663360" behindDoc="0" locked="0" layoutInCell="1" allowOverlap="1">
            <wp:simplePos x="0" y="0"/>
            <wp:positionH relativeFrom="margin">
              <wp:posOffset>-6350</wp:posOffset>
            </wp:positionH>
            <wp:positionV relativeFrom="line">
              <wp:posOffset>233680</wp:posOffset>
            </wp:positionV>
            <wp:extent cx="5943600" cy="4128228"/>
            <wp:effectExtent l="0" t="0" r="0" b="0"/>
            <wp:wrapThrough wrapText="bothSides" distL="12700" distR="127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8">
                      <a:extLst/>
                    </a:blip>
                    <a:stretch>
                      <a:fillRect/>
                    </a:stretch>
                  </pic:blipFill>
                  <pic:spPr>
                    <a:xfrm>
                      <a:off x="0" y="0"/>
                      <a:ext cx="5943600" cy="4128228"/>
                    </a:xfrm>
                    <a:prstGeom prst="rect">
                      <a:avLst/>
                    </a:prstGeom>
                    <a:ln w="12700" cap="flat">
                      <a:noFill/>
                      <a:miter lim="400000"/>
                    </a:ln>
                    <a:effectLst/>
                  </pic:spPr>
                </pic:pic>
              </a:graphicData>
            </a:graphic>
          </wp:anchor>
        </w:drawing>
      </w:r>
      <w:r>
        <w:rPr>
          <w:rStyle w:val="None"/>
          <w:rtl w:val="0"/>
          <w:lang w:val="en-US"/>
        </w:rPr>
        <w:t xml:space="preserve"> </w:t>
      </w:r>
      <w:bookmarkEnd w:id="2"/>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a supervisor and trained abatement workers. This team will systematically move from structure to structure removing hazardous materials and enabling subsequent site preparation and demolition. ORM labor is included in Table 5 (demolition section). All Phase will consult the Fort Bragg record of fiber reinforcement containing ACM in cementitious materials, including concrete. </w:t>
      </w:r>
    </w:p>
    <w:p>
      <w:pPr>
        <w:pStyle w:val="Heading 2"/>
        <w:pageBreakBefore w:val="1"/>
        <w:suppressAutoHyphens w:val="1"/>
      </w:pPr>
      <w:bookmarkStart w:name="_Toc2" w:id="3"/>
      <w:r>
        <w:rPr>
          <w:rStyle w:val="None"/>
          <w:rtl w:val="0"/>
          <w:lang w:val="en-US"/>
        </w:rPr>
        <w:t>Table 2. Hazardous Material Abatement Manpower Projection</w:t>
      </w:r>
      <w:r>
        <w:rPr>
          <w:rStyle w:val="None"/>
          <w:lang w:val="en-US"/>
        </w:rPr>
        <w:drawing>
          <wp:anchor distT="12700" distB="12700" distL="12700" distR="12700" simplePos="0" relativeHeight="251664384" behindDoc="0" locked="0" layoutInCell="1" allowOverlap="1">
            <wp:simplePos x="0" y="0"/>
            <wp:positionH relativeFrom="margin">
              <wp:posOffset>-6350</wp:posOffset>
            </wp:positionH>
            <wp:positionV relativeFrom="line">
              <wp:posOffset>213360</wp:posOffset>
            </wp:positionV>
            <wp:extent cx="5943600" cy="1522613"/>
            <wp:effectExtent l="0" t="0" r="0" b="0"/>
            <wp:wrapThrough wrapText="bothSides" distL="12700" distR="127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9">
                      <a:extLst/>
                    </a:blip>
                    <a:stretch>
                      <a:fillRect/>
                    </a:stretch>
                  </pic:blipFill>
                  <pic:spPr>
                    <a:xfrm>
                      <a:off x="0" y="0"/>
                      <a:ext cx="5943600" cy="1522613"/>
                    </a:xfrm>
                    <a:prstGeom prst="rect">
                      <a:avLst/>
                    </a:prstGeom>
                    <a:ln w="12700" cap="flat">
                      <a:noFill/>
                      <a:miter lim="400000"/>
                    </a:ln>
                    <a:effectLst/>
                  </pic:spPr>
                </pic:pic>
              </a:graphicData>
            </a:graphic>
          </wp:anchor>
        </w:drawing>
      </w:r>
      <w:r>
        <w:rPr>
          <w:rStyle w:val="None"/>
          <w:rtl w:val="0"/>
          <w:lang w:val="en-US"/>
        </w:rPr>
        <w:t xml:space="preserve"> </w:t>
      </w:r>
      <w:bookmarkEnd w:id="3"/>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keepNext w:val="0"/>
        <w:widowControl w:val="0"/>
        <w:suppressAutoHyphens w:val="1"/>
      </w:pPr>
      <w:bookmarkStart w:name="_Toc3" w:id="4"/>
      <w:r>
        <w:rPr>
          <w:rStyle w:val="None"/>
          <w:rtl w:val="0"/>
          <w:lang w:val="en-US"/>
        </w:rPr>
        <w:t>Table 3. Subcontractors, Consultants, Vendors, And Waste Handlers</w:t>
      </w:r>
      <w:bookmarkEnd w:id="4"/>
    </w:p>
    <w:tbl>
      <w:tblPr>
        <w:tblW w:w="901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12"/>
        <w:gridCol w:w="3232"/>
        <w:gridCol w:w="2772"/>
      </w:tblGrid>
      <w:tr>
        <w:tblPrEx>
          <w:shd w:val="clear" w:color="auto" w:fill="cadfff"/>
        </w:tblPrEx>
        <w:trPr>
          <w:trHeight w:val="352" w:hRule="atLeast"/>
        </w:trPr>
        <w:tc>
          <w:tcPr>
            <w:tcW w:type="dxa" w:w="301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widowControl w:val="1"/>
              <w:tabs>
                <w:tab w:val="left" w:pos="1440"/>
                <w:tab w:val="left" w:pos="2880"/>
                <w:tab w:val="left" w:pos="4320"/>
                <w:tab w:val="left" w:pos="5760"/>
              </w:tabs>
              <w:spacing w:after="0"/>
              <w:jc w:val="center"/>
              <w:outlineLvl w:val="0"/>
            </w:pPr>
            <w:r>
              <w:rPr>
                <w:rStyle w:val="None"/>
                <w:b w:val="1"/>
                <w:bCs w:val="1"/>
                <w:sz w:val="20"/>
                <w:szCs w:val="20"/>
                <w:u w:color="ffffff"/>
                <w:rtl w:val="0"/>
                <w:lang w:val="en-US"/>
              </w:rPr>
              <w:t>Expertise</w:t>
            </w:r>
          </w:p>
        </w:tc>
        <w:tc>
          <w:tcPr>
            <w:tcW w:type="dxa" w:w="32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widowControl w:val="1"/>
              <w:tabs>
                <w:tab w:val="left" w:pos="1440"/>
                <w:tab w:val="left" w:pos="2880"/>
                <w:tab w:val="left" w:pos="4320"/>
                <w:tab w:val="left" w:pos="5760"/>
              </w:tabs>
              <w:spacing w:after="0"/>
              <w:jc w:val="center"/>
              <w:outlineLvl w:val="0"/>
            </w:pPr>
            <w:r>
              <w:rPr>
                <w:rStyle w:val="None"/>
                <w:b w:val="1"/>
                <w:bCs w:val="1"/>
                <w:sz w:val="20"/>
                <w:szCs w:val="20"/>
                <w:u w:color="ffffff"/>
                <w:rtl w:val="0"/>
                <w:lang w:val="en-US"/>
              </w:rPr>
              <w:t>Company</w:t>
            </w:r>
          </w:p>
        </w:tc>
        <w:tc>
          <w:tcPr>
            <w:tcW w:type="dxa" w:w="2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widowControl w:val="1"/>
              <w:tabs>
                <w:tab w:val="left" w:pos="1440"/>
                <w:tab w:val="left" w:pos="2880"/>
                <w:tab w:val="left" w:pos="4320"/>
                <w:tab w:val="left" w:pos="5760"/>
              </w:tabs>
              <w:spacing w:after="0"/>
              <w:jc w:val="center"/>
              <w:outlineLvl w:val="0"/>
            </w:pPr>
            <w:r>
              <w:rPr>
                <w:rStyle w:val="None"/>
                <w:b w:val="1"/>
                <w:bCs w:val="1"/>
                <w:sz w:val="20"/>
                <w:szCs w:val="20"/>
                <w:u w:color="ffffff"/>
                <w:rtl w:val="0"/>
                <w:lang w:val="en-US"/>
              </w:rPr>
              <w:t>Location</w:t>
            </w:r>
          </w:p>
        </w:tc>
      </w:tr>
      <w:tr>
        <w:tblPrEx>
          <w:shd w:val="clear" w:color="auto" w:fill="cadfff"/>
        </w:tblPrEx>
        <w:trPr>
          <w:trHeight w:val="532" w:hRule="atLeast"/>
        </w:trPr>
        <w:tc>
          <w:tcPr>
            <w:tcW w:type="dxa" w:w="301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 xml:space="preserve">SWPPP </w:t>
            </w:r>
            <w:r>
              <w:rPr>
                <w:rStyle w:val="None"/>
                <w:b w:val="1"/>
                <w:bCs w:val="1"/>
                <w:sz w:val="20"/>
                <w:szCs w:val="20"/>
                <w:rtl w:val="0"/>
                <w:lang w:val="en-US"/>
              </w:rPr>
              <w:t xml:space="preserve">– </w:t>
            </w:r>
            <w:r>
              <w:rPr>
                <w:rStyle w:val="None"/>
                <w:b w:val="1"/>
                <w:bCs w:val="1"/>
                <w:sz w:val="20"/>
                <w:szCs w:val="20"/>
                <w:rtl w:val="0"/>
                <w:lang w:val="en-US"/>
              </w:rPr>
              <w:t>Qualified Stormwater Designer</w:t>
            </w:r>
          </w:p>
        </w:tc>
        <w:tc>
          <w:tcPr>
            <w:tcW w:type="dxa" w:w="3231"/>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H2E Consulting</w:t>
            </w:r>
          </w:p>
        </w:tc>
        <w:tc>
          <w:tcPr>
            <w:tcW w:type="dxa" w:w="27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Nationwide</w:t>
            </w:r>
            <w:r>
              <w:rPr>
                <w:rStyle w:val="None"/>
                <w:sz w:val="20"/>
                <w:szCs w:val="20"/>
                <w:rtl w:val="0"/>
                <w:lang w:val="en-US"/>
              </w:rPr>
              <w:t xml:space="preserve"> - </w:t>
            </w:r>
            <w:r>
              <w:rPr>
                <w:rStyle w:val="None"/>
                <w:sz w:val="20"/>
                <w:szCs w:val="20"/>
                <w:rtl w:val="0"/>
                <w:lang w:val="en-US"/>
              </w:rPr>
              <w:t>San Francisco, CA</w:t>
            </w:r>
          </w:p>
        </w:tc>
      </w:tr>
      <w:tr>
        <w:tblPrEx>
          <w:shd w:val="clear" w:color="auto" w:fill="cadfff"/>
        </w:tblPrEx>
        <w:trPr>
          <w:trHeight w:val="4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Certified Biologist</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Jacobs Engineering Group, Inc.</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Nationwide</w:t>
            </w:r>
            <w:r>
              <w:rPr>
                <w:rStyle w:val="None"/>
                <w:sz w:val="20"/>
                <w:szCs w:val="20"/>
                <w:rtl w:val="0"/>
                <w:lang w:val="en-US"/>
              </w:rPr>
              <w:t xml:space="preserve"> - </w:t>
            </w:r>
            <w:r>
              <w:rPr>
                <w:rStyle w:val="None"/>
                <w:sz w:val="20"/>
                <w:szCs w:val="20"/>
                <w:rtl w:val="0"/>
                <w:lang w:val="en-US"/>
              </w:rPr>
              <w:t>Pasadena, CA</w:t>
            </w:r>
          </w:p>
        </w:tc>
      </w:tr>
      <w:tr>
        <w:tblPrEx>
          <w:shd w:val="clear" w:color="auto" w:fill="cadfff"/>
        </w:tblPrEx>
        <w:trPr>
          <w:trHeight w:val="3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Safety equipment</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Needham</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Nationwide</w:t>
            </w:r>
            <w:r>
              <w:rPr>
                <w:rStyle w:val="None"/>
                <w:sz w:val="20"/>
                <w:szCs w:val="20"/>
                <w:rtl w:val="0"/>
                <w:lang w:val="en-US"/>
              </w:rPr>
              <w:t xml:space="preserve"> - </w:t>
            </w:r>
            <w:r>
              <w:rPr>
                <w:rStyle w:val="None"/>
                <w:sz w:val="20"/>
                <w:szCs w:val="20"/>
                <w:rtl w:val="0"/>
                <w:lang w:val="en-US"/>
              </w:rPr>
              <w:t>Framingham, MA</w:t>
            </w:r>
          </w:p>
        </w:tc>
      </w:tr>
      <w:tr>
        <w:tblPrEx>
          <w:shd w:val="clear" w:color="auto" w:fill="cadfff"/>
        </w:tblPrEx>
        <w:trPr>
          <w:trHeight w:val="3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Refrigerant recovery</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Rapid Recovery</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Nationwide</w:t>
            </w:r>
          </w:p>
        </w:tc>
      </w:tr>
      <w:tr>
        <w:tblPrEx>
          <w:shd w:val="clear" w:color="auto" w:fill="cadfff"/>
        </w:tblPrEx>
        <w:trPr>
          <w:trHeight w:val="5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rPr>
                <w:sz w:val="20"/>
                <w:szCs w:val="20"/>
              </w:rPr>
            </w:pPr>
            <w:r>
              <w:rPr>
                <w:rStyle w:val="None"/>
                <w:b w:val="1"/>
                <w:bCs w:val="1"/>
                <w:sz w:val="20"/>
                <w:szCs w:val="20"/>
                <w:rtl w:val="0"/>
                <w:lang w:val="en-US"/>
              </w:rPr>
              <w:t>Landfill</w:t>
            </w:r>
          </w:p>
          <w:p>
            <w:pPr>
              <w:pStyle w:val="Body C"/>
              <w:widowControl w:val="1"/>
              <w:bidi w:val="0"/>
              <w:spacing w:after="0"/>
              <w:ind w:left="0" w:right="0" w:firstLine="0"/>
              <w:jc w:val="left"/>
              <w:outlineLvl w:val="0"/>
              <w:rPr>
                <w:rtl w:val="0"/>
              </w:rPr>
            </w:pPr>
            <w:r>
              <w:rPr>
                <w:rStyle w:val="None"/>
                <w:sz w:val="20"/>
                <w:szCs w:val="20"/>
                <w:rtl w:val="0"/>
                <w:lang w:val="en-US"/>
              </w:rPr>
              <w:t>C&amp;D</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Superior Landfill &amp; Recycling Center</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Savanah, GA</w:t>
            </w:r>
          </w:p>
        </w:tc>
      </w:tr>
      <w:tr>
        <w:tblPrEx>
          <w:shd w:val="clear" w:color="auto" w:fill="cadfff"/>
        </w:tblPrEx>
        <w:trPr>
          <w:trHeight w:val="5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rPr>
                <w:sz w:val="20"/>
                <w:szCs w:val="20"/>
              </w:rPr>
            </w:pPr>
            <w:r>
              <w:rPr>
                <w:rStyle w:val="None"/>
                <w:b w:val="1"/>
                <w:bCs w:val="1"/>
                <w:sz w:val="20"/>
                <w:szCs w:val="20"/>
                <w:rtl w:val="0"/>
                <w:lang w:val="en-US"/>
              </w:rPr>
              <w:t>Landfill</w:t>
            </w:r>
          </w:p>
          <w:p>
            <w:pPr>
              <w:pStyle w:val="Body C"/>
              <w:widowControl w:val="1"/>
              <w:bidi w:val="0"/>
              <w:spacing w:after="0"/>
              <w:ind w:left="0" w:right="0" w:firstLine="0"/>
              <w:jc w:val="left"/>
              <w:outlineLvl w:val="0"/>
              <w:rPr>
                <w:rtl w:val="0"/>
              </w:rPr>
            </w:pPr>
            <w:r>
              <w:rPr>
                <w:rStyle w:val="None"/>
                <w:sz w:val="20"/>
                <w:szCs w:val="20"/>
                <w:rtl w:val="0"/>
                <w:lang w:val="en-US"/>
              </w:rPr>
              <w:t>friable + non-friable asbestos</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Superior Landfill &amp; Recycling Center</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Savanah, GA</w:t>
            </w:r>
          </w:p>
        </w:tc>
      </w:tr>
      <w:tr>
        <w:tblPrEx>
          <w:shd w:val="clear" w:color="auto" w:fill="cadfff"/>
        </w:tblPrEx>
        <w:trPr>
          <w:trHeight w:val="3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Concrete and Asphalt Recycling</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Superior Landfill &amp; Recycling Center</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Savanah, GA</w:t>
            </w:r>
          </w:p>
        </w:tc>
      </w:tr>
      <w:tr>
        <w:tblPrEx>
          <w:shd w:val="clear" w:color="auto" w:fill="cadfff"/>
        </w:tblPrEx>
        <w:trPr>
          <w:trHeight w:val="3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Universal Wastes</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Veolia ES Technical Solutions</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sz w:val="20"/>
                <w:szCs w:val="20"/>
                <w:rtl w:val="0"/>
                <w:lang w:val="en-US"/>
              </w:rPr>
              <w:t>Nationwide</w:t>
            </w:r>
          </w:p>
        </w:tc>
      </w:tr>
      <w:tr>
        <w:tblPrEx>
          <w:shd w:val="clear" w:color="auto" w:fill="cadfff"/>
        </w:tblPrEx>
        <w:trPr>
          <w:trHeight w:val="5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Metals Salvage</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SA Recycling</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Sunny Perdue Drive, Garden City, GA</w:t>
            </w:r>
          </w:p>
        </w:tc>
      </w:tr>
      <w:tr>
        <w:tblPrEx>
          <w:shd w:val="clear" w:color="auto" w:fill="cadfff"/>
        </w:tblPrEx>
        <w:trPr>
          <w:trHeight w:val="33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widowControl w:val="1"/>
              <w:spacing w:after="0"/>
              <w:jc w:val="left"/>
              <w:outlineLvl w:val="0"/>
            </w:pPr>
            <w:r>
              <w:rPr>
                <w:rStyle w:val="None"/>
                <w:b w:val="1"/>
                <w:bCs w:val="1"/>
                <w:sz w:val="20"/>
                <w:szCs w:val="20"/>
                <w:rtl w:val="0"/>
                <w:lang w:val="en-US"/>
              </w:rPr>
              <w:t>Topsoil / Backfill</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Taylor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s Landscape </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Ogeechee Road, Savanah, GA</w:t>
            </w:r>
          </w:p>
        </w:tc>
      </w:tr>
      <w:tr>
        <w:tblPrEx>
          <w:shd w:val="clear" w:color="auto" w:fill="cadfff"/>
        </w:tblPrEx>
        <w:trPr>
          <w:trHeight w:val="452" w:hRule="atLeast"/>
        </w:trPr>
        <w:tc>
          <w:tcPr>
            <w:tcW w:type="dxa" w:w="3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Sod</w:t>
            </w:r>
          </w:p>
        </w:tc>
        <w:tc>
          <w:tcPr>
            <w:tcW w:type="dxa" w:w="32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Martin Turf Farm</w:t>
            </w:r>
          </w:p>
        </w:tc>
        <w:tc>
          <w:tcPr>
            <w:tcW w:type="dxa" w:w="27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Nevils Daisy Road, Statesboro, GA</w:t>
            </w:r>
          </w:p>
        </w:tc>
      </w:tr>
    </w:tbl>
    <w:p>
      <w:pPr>
        <w:pStyle w:val="Heading 2"/>
        <w:keepNext w:val="0"/>
        <w:widowControl w:val="0"/>
        <w:suppressAutoHyphens w:val="1"/>
        <w:ind w:left="324" w:hanging="324"/>
      </w:pPr>
    </w:p>
    <w:p>
      <w:pPr>
        <w:pStyle w:val="Body C"/>
      </w:pPr>
    </w:p>
    <w:p>
      <w:pPr>
        <w:pStyle w:val="Heading"/>
        <w:pageBreakBefore w:val="1"/>
        <w:suppressAutoHyphens w:val="1"/>
      </w:pPr>
      <w:bookmarkStart w:name="_Toc4" w:id="5"/>
      <w:r>
        <w:rPr>
          <w:rStyle w:val="None"/>
          <w:rtl w:val="0"/>
          <w:lang w:val="en-US"/>
        </w:rPr>
        <w:t>1. Project Planning</w:t>
      </w:r>
      <w:bookmarkEnd w:id="5"/>
    </w:p>
    <w:p>
      <w:pPr>
        <w:pStyle w:val="Body C"/>
      </w:pPr>
      <w:r>
        <w:rPr>
          <w:rtl w:val="0"/>
        </w:rPr>
        <w:t>All Phase will submit a site-specific demolition plan, drawings, and specifications for the execution of this project, four (4) weeks prior to start of work. The demolition activities will be performed in accordance with the submitted and approved documents after receipt of the NTP. All Phase will be responsible for controlling access to the site and for always maintaining a secure site.</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6"/>
      <w:r>
        <w:rPr>
          <w:rStyle w:val="None"/>
          <w:rtl w:val="0"/>
          <w:lang w:val="en-US"/>
        </w:rPr>
        <w:t>2. Abatement Approach and Disposal</w:t>
      </w:r>
      <w:bookmarkEnd w:id="6"/>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extensive experience dealing with such hazardous materials.</w:t>
      </w:r>
    </w:p>
    <w:p>
      <w:pPr>
        <w:pStyle w:val="Body C"/>
      </w:pPr>
      <w:r>
        <w:rPr>
          <w:rtl w:val="0"/>
        </w:rPr>
        <w:t>Other hazardous/controlled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 We will test concrete materials for ACM reinforcing fibers.</w:t>
      </w:r>
    </w:p>
    <w:p>
      <w:pPr>
        <w:pStyle w:val="Heading 2"/>
        <w:suppressAutoHyphens w:val="1"/>
      </w:pPr>
      <w:bookmarkStart w:name="_Toc6" w:id="7"/>
      <w:r>
        <w:rPr>
          <w:rStyle w:val="None"/>
          <w:rtl w:val="0"/>
          <w:lang w:val="en-US"/>
        </w:rPr>
        <w:t>Abatement and Disposal of Asbestos Containing Material</w:t>
      </w:r>
      <w:bookmarkEnd w:id="7"/>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 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Style w:val="None"/>
          <w:b w:val="1"/>
          <w:bCs w:val="1"/>
          <w:i w:val="1"/>
          <w:iCs w:val="1"/>
          <w:rtl w:val="0"/>
          <w:lang w:val="en-US"/>
        </w:rPr>
        <w:t>, Shower Room</w:t>
      </w:r>
      <w:r>
        <w:rPr>
          <w:rtl w:val="0"/>
        </w:rPr>
        <w:t>: No asbestos contaminated items will enter this room. Workers use this area to suit up, store street clothes, and put on respiratory protection before they enter the work area, and to dress in clean clothes after washing.</w:t>
      </w:r>
      <w:r>
        <w:rPr>
          <w:rtl w:val="0"/>
        </w:rPr>
        <w:t xml:space="preserve"> </w:t>
      </w:r>
      <w:r>
        <w:rPr>
          <w:rtl w:val="0"/>
        </w:rPr>
        <w:t>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0"/>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8"/>
      <w:r>
        <w:rPr>
          <w:rStyle w:val="None"/>
          <w:rtl w:val="0"/>
          <w:lang w:val="en-US"/>
        </w:rPr>
        <w:t>3. Project Execution</w:t>
      </w:r>
      <w:bookmarkEnd w:id="8"/>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r>
        <w:rPr>
          <w:rtl w:val="0"/>
        </w:rPr>
        <w:t xml:space="preserve"> </w:t>
      </w: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schedule.m including utilities previously disconnected by others.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An explosives safety submission (ESS) may be required if UXO is encountered.</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Style w:val="None"/>
          <w:rtl w:val="0"/>
          <w:lang w:val="en-US"/>
        </w:rPr>
        <w:t>Preliminary Schedule</w:t>
      </w:r>
      <w:bookmarkEnd w:id="9"/>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 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0"/>
      <w:r>
        <w:rPr>
          <w:rStyle w:val="None"/>
          <w:rtl w:val="0"/>
          <w:lang w:val="en-US"/>
        </w:rPr>
        <w:t>Change Orders</w:t>
      </w:r>
      <w:bookmarkEnd w:id="10"/>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1"/>
      <w:r>
        <w:rPr>
          <w:rStyle w:val="None"/>
          <w:rtl w:val="0"/>
          <w:lang w:val="en-US"/>
        </w:rPr>
        <w:t>4. Demolition Approach</w:t>
      </w:r>
      <w:bookmarkEnd w:id="11"/>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 The equipment we will use for this project are:</w:t>
      </w:r>
    </w:p>
    <w:p>
      <w:pPr>
        <w:pStyle w:val="Heading 2"/>
        <w:suppressAutoHyphens w:val="1"/>
      </w:pPr>
      <w:bookmarkStart w:name="_Toc11" w:id="12"/>
      <w:r>
        <w:rPr>
          <w:rStyle w:val="None"/>
          <w:rtl w:val="0"/>
          <w:lang w:val="en-US"/>
        </w:rPr>
        <w:t>Task Order-Specific Approach</w:t>
      </w:r>
      <w:bookmarkEnd w:id="12"/>
    </w:p>
    <w:p>
      <w:pPr>
        <w:pStyle w:val="Body C"/>
        <w:rPr>
          <w:rStyle w:val="None"/>
          <w:lang w:val="en-US"/>
        </w:rPr>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 xml:space="preserve">and indicate how difficult we anticipate the required effort will be (Table 4). Prior to beginning work, All Phase will submit a site-specific demolition plan, drawings, and specifications for the execution of this project. The demolition activities for will be performed in accordance with the submitted and approved documents. </w:t>
      </w:r>
      <w:r>
        <w:rPr>
          <w:rStyle w:val="None"/>
          <w:rtl w:val="0"/>
          <w:lang w:val="en-US"/>
        </w:rPr>
        <w:t xml:space="preserve">We understand </w:t>
      </w:r>
      <w:r>
        <w:rPr>
          <w:rStyle w:val="None"/>
          <w:rtl w:val="0"/>
          <w:lang w:val="en-US"/>
        </w:rPr>
        <w:t>Painted concrete may not be recycled in the State of Georgia</w:t>
      </w:r>
      <w:r>
        <w:rPr>
          <w:rStyle w:val="None"/>
          <w:rtl w:val="0"/>
          <w:lang w:val="en-US"/>
        </w:rPr>
        <w:t xml:space="preserve">. </w:t>
      </w:r>
      <w:r>
        <w:rPr>
          <w:rStyle w:val="None"/>
          <w:rtl w:val="0"/>
          <w:lang w:val="en-US"/>
        </w:rPr>
        <w:t xml:space="preserve">Backfill </w:t>
      </w:r>
      <w:r>
        <w:rPr>
          <w:rStyle w:val="None"/>
          <w:rtl w:val="0"/>
          <w:lang w:val="en-US"/>
        </w:rPr>
        <w:t>will</w:t>
      </w:r>
      <w:r>
        <w:rPr>
          <w:rStyle w:val="None"/>
          <w:rtl w:val="0"/>
          <w:lang w:val="en-US"/>
        </w:rPr>
        <w:t xml:space="preserve"> be placed in lifts not to exceed </w:t>
      </w:r>
      <w:r>
        <w:rPr>
          <w:rStyle w:val="None"/>
          <w:rtl w:val="0"/>
          <w:lang w:val="en-US"/>
        </w:rPr>
        <w:t>the required height</w:t>
      </w:r>
      <w:r>
        <w:rPr>
          <w:rStyle w:val="None"/>
          <w:rtl w:val="0"/>
          <w:lang w:val="en-US"/>
        </w:rPr>
        <w:t xml:space="preserve"> in loose thickness and compacted to the density as specified. </w:t>
      </w:r>
      <w:r>
        <w:rPr>
          <w:rStyle w:val="None"/>
          <w:rtl w:val="0"/>
          <w:lang w:val="en-US"/>
        </w:rPr>
        <w:t xml:space="preserve">All Phase will ensure the </w:t>
      </w:r>
      <w:r>
        <w:rPr>
          <w:rStyle w:val="None"/>
          <w:rtl w:val="0"/>
          <w:lang w:val="en-US"/>
        </w:rPr>
        <w:t xml:space="preserve">facility footprint </w:t>
      </w:r>
      <w:r>
        <w:rPr>
          <w:rStyle w:val="None"/>
          <w:rtl w:val="0"/>
          <w:lang w:val="en-US"/>
        </w:rPr>
        <w:t>will</w:t>
      </w:r>
      <w:r>
        <w:rPr>
          <w:rStyle w:val="None"/>
          <w:rtl w:val="0"/>
          <w:lang w:val="en-US"/>
        </w:rPr>
        <w:t xml:space="preserve"> be covered with a</w:t>
      </w:r>
      <w:r>
        <w:rPr>
          <w:rStyle w:val="None"/>
          <w:rtl w:val="0"/>
          <w:lang w:val="en-US"/>
        </w:rPr>
        <w:t xml:space="preserve">n appropriate </w:t>
      </w:r>
      <w:r>
        <w:rPr>
          <w:rStyle w:val="None"/>
          <w:rtl w:val="0"/>
          <w:lang w:val="en-US"/>
        </w:rPr>
        <w:t xml:space="preserve">layer of topsoil which </w:t>
      </w:r>
      <w:r>
        <w:rPr>
          <w:rStyle w:val="None"/>
          <w:rtl w:val="0"/>
          <w:lang w:val="en-US"/>
        </w:rPr>
        <w:t>will</w:t>
      </w:r>
      <w:r>
        <w:rPr>
          <w:rStyle w:val="None"/>
          <w:rtl w:val="0"/>
          <w:lang w:val="en-US"/>
        </w:rPr>
        <w:t xml:space="preserve"> be graded to match the surrounding environment and provide for positive site drainage</w:t>
      </w:r>
      <w:r>
        <w:rPr>
          <w:rStyle w:val="None"/>
          <w:rtl w:val="0"/>
          <w:lang w:val="en-US"/>
        </w:rPr>
        <w:t>.</w:t>
      </w:r>
    </w:p>
    <w:p>
      <w:pPr>
        <w:pStyle w:val="Body C"/>
      </w:pPr>
      <w:r>
        <w:rPr>
          <w:rStyle w:val="None"/>
          <w:rtl w:val="0"/>
          <w:lang w:val="en-US"/>
        </w:rPr>
        <w:t xml:space="preserve">All Phase will be responsible for controlling access to the site and for always maintaining a secure site. 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 Excavated material, i.e., soil found natural and uncontaminated, will be placed back in the excavated area. Cutting and removal of asphalt, concrete, concrete pipe, etc., will be required to be taken to an off-site landfill. </w:t>
      </w:r>
    </w:p>
    <w:p>
      <w:pPr>
        <w:pStyle w:val="Heading 2"/>
        <w:keepNext w:val="0"/>
        <w:widowControl w:val="0"/>
        <w:suppressAutoHyphens w:val="1"/>
      </w:pPr>
      <w:bookmarkStart w:name="_Toc12" w:id="13"/>
      <w:r>
        <w:rPr>
          <w:rStyle w:val="None"/>
          <w:rtl w:val="0"/>
          <w:lang w:val="en-US"/>
        </w:rPr>
        <w:t>Table 4. Demolition Structure Types and Projected Difficulty Per Location</w:t>
      </w:r>
      <w:r>
        <w:rPr>
          <w:rStyle w:val="None"/>
          <w:lang w:val="en-US"/>
        </w:rPr>
        <w:drawing>
          <wp:anchor distT="12700" distB="12700" distL="12700" distR="12700" simplePos="0" relativeHeight="251665408" behindDoc="0" locked="0" layoutInCell="1" allowOverlap="1">
            <wp:simplePos x="0" y="0"/>
            <wp:positionH relativeFrom="margin">
              <wp:posOffset>-6350</wp:posOffset>
            </wp:positionH>
            <wp:positionV relativeFrom="line">
              <wp:posOffset>213359</wp:posOffset>
            </wp:positionV>
            <wp:extent cx="5943600" cy="3718948"/>
            <wp:effectExtent l="0" t="0" r="0" b="0"/>
            <wp:wrapThrough wrapText="bothSides" distL="12700" distR="127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0">
                      <a:extLst/>
                    </a:blip>
                    <a:stretch>
                      <a:fillRect/>
                    </a:stretch>
                  </pic:blipFill>
                  <pic:spPr>
                    <a:xfrm>
                      <a:off x="0" y="0"/>
                      <a:ext cx="5943600" cy="3718948"/>
                    </a:xfrm>
                    <a:prstGeom prst="rect">
                      <a:avLst/>
                    </a:prstGeom>
                    <a:ln w="12700" cap="flat">
                      <a:noFill/>
                      <a:miter lim="400000"/>
                    </a:ln>
                    <a:effectLst/>
                  </pic:spPr>
                </pic:pic>
              </a:graphicData>
            </a:graphic>
          </wp:anchor>
        </w:drawing>
      </w:r>
      <w:r>
        <w:rPr>
          <w:rStyle w:val="None"/>
          <w:rtl w:val="0"/>
          <w:lang w:val="en-US"/>
        </w:rPr>
        <w:t xml:space="preserve"> </w:t>
      </w:r>
      <w:bookmarkEnd w:id="13"/>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 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 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4"/>
      <w:r>
        <w:rPr>
          <w:rStyle w:val="None"/>
          <w:rtl w:val="0"/>
          <w:lang w:val="en-US"/>
        </w:rPr>
        <w:t>Table 5. Manpower and Major Equipment Needed</w:t>
      </w:r>
      <w:r>
        <w:rPr>
          <w:rStyle w:val="None"/>
          <w:lang w:val="en-US"/>
        </w:rPr>
        <w:drawing>
          <wp:anchor distT="12700" distB="12700" distL="12700" distR="12700" simplePos="0" relativeHeight="251666432" behindDoc="0" locked="0" layoutInCell="1" allowOverlap="1">
            <wp:simplePos x="0" y="0"/>
            <wp:positionH relativeFrom="margin">
              <wp:posOffset>-6350</wp:posOffset>
            </wp:positionH>
            <wp:positionV relativeFrom="line">
              <wp:posOffset>223519</wp:posOffset>
            </wp:positionV>
            <wp:extent cx="5943600" cy="2459174"/>
            <wp:effectExtent l="0" t="0" r="0" b="0"/>
            <wp:wrapThrough wrapText="bothSides" distL="12700" distR="127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1">
                      <a:extLst/>
                    </a:blip>
                    <a:stretch>
                      <a:fillRect/>
                    </a:stretch>
                  </pic:blipFill>
                  <pic:spPr>
                    <a:xfrm>
                      <a:off x="0" y="0"/>
                      <a:ext cx="5943600" cy="2459174"/>
                    </a:xfrm>
                    <a:prstGeom prst="rect">
                      <a:avLst/>
                    </a:prstGeom>
                    <a:ln w="12700" cap="flat">
                      <a:noFill/>
                      <a:miter lim="400000"/>
                    </a:ln>
                    <a:effectLst/>
                  </pic:spPr>
                </pic:pic>
              </a:graphicData>
            </a:graphic>
          </wp:anchor>
        </w:drawing>
      </w:r>
      <w:r>
        <w:rPr>
          <w:rStyle w:val="None"/>
          <w:rtl w:val="0"/>
          <w:lang w:val="en-US"/>
        </w:rPr>
        <w:t xml:space="preserve"> </w:t>
      </w:r>
      <w:r>
        <w:rPr>
          <w:rStyle w:val="None"/>
          <w:rtl w:val="0"/>
          <w:lang w:val="en-US"/>
        </w:rPr>
        <w:t xml:space="preserve"> </w:t>
      </w:r>
      <w:bookmarkEnd w:id="14"/>
    </w:p>
    <w:p>
      <w:pPr>
        <w:pStyle w:val="Body C"/>
      </w:pPr>
    </w:p>
    <w:p>
      <w:pPr>
        <w:pStyle w:val="Heading"/>
        <w:keepNext w:val="0"/>
        <w:widowControl w:val="0"/>
        <w:suppressAutoHyphens w:val="1"/>
      </w:pPr>
      <w:bookmarkStart w:name="_Toc14" w:id="15"/>
      <w:r>
        <w:rPr>
          <w:rStyle w:val="None"/>
          <w:rtl w:val="0"/>
          <w:lang w:val="en-US"/>
        </w:rPr>
        <w:t>5. Debris Handling, Waste Diversion, Recycling</w:t>
      </w:r>
      <w:bookmarkEnd w:id="15"/>
    </w:p>
    <w:p>
      <w:pPr>
        <w:pStyle w:val="Body C"/>
        <w:spacing w:after="60"/>
        <w:jc w:val="left"/>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pacing w:after="60"/>
        <w:ind w:left="785" w:firstLine="0"/>
        <w:jc w:val="left"/>
      </w:pPr>
      <w:r>
        <w:rPr>
          <w:rtl w:val="0"/>
          <w:lang w:val="en-US"/>
        </w:rPr>
        <w:t xml:space="preserve">• </w:t>
      </w:r>
      <w:r>
        <w:rPr>
          <w:rtl w:val="0"/>
          <w:lang w:val="en-US"/>
        </w:rPr>
        <w:t>REDUCE: Make every effort to minimize the amount of waste generated</w:t>
      </w:r>
    </w:p>
    <w:p>
      <w:pPr>
        <w:pStyle w:val="Body C"/>
        <w:spacing w:after="60"/>
        <w:ind w:left="785" w:firstLine="0"/>
        <w:jc w:val="left"/>
      </w:pPr>
      <w:r>
        <w:rPr>
          <w:rtl w:val="0"/>
          <w:lang w:val="en-US"/>
        </w:rPr>
        <w:t xml:space="preserve">• </w:t>
      </w:r>
      <w:r>
        <w:rPr>
          <w:rtl w:val="0"/>
          <w:lang w:val="en-US"/>
        </w:rPr>
        <w:t>REUSE: Segregate items that can potentially be reused</w:t>
      </w:r>
    </w:p>
    <w:p>
      <w:pPr>
        <w:pStyle w:val="Body C"/>
        <w:ind w:left="785" w:firstLine="0"/>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pPr>
      <w:r>
        <w:rPr>
          <w:rtl w:val="0"/>
        </w:rPr>
        <w:t xml:space="preserve">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 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 </w:t>
      </w:r>
    </w:p>
    <w:p>
      <w:pPr>
        <w:pStyle w:val="Heading 2"/>
        <w:suppressAutoHyphens w:val="1"/>
      </w:pPr>
      <w:bookmarkStart w:name="_Toc16" w:id="17"/>
      <w:r>
        <w:rPr>
          <w:rStyle w:val="None"/>
          <w:rtl w:val="0"/>
          <w:lang w:val="en-US"/>
        </w:rPr>
        <w:t>Waste Diversion and Recycling</w:t>
      </w:r>
      <w:bookmarkEnd w:id="17"/>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t>
      </w:r>
      <w:r>
        <w:rPr>
          <w:rtl w:val="0"/>
        </w:rPr>
        <w:t xml:space="preserve"> </w:t>
      </w:r>
      <w:r>
        <w:rPr>
          <w:rtl w:val="0"/>
        </w:rPr>
        <w:t>We estimate that 8</w:t>
      </w:r>
      <w:r>
        <w:rPr>
          <w:rtl w:val="0"/>
        </w:rPr>
        <w:t>3</w:t>
      </w:r>
      <w:r>
        <w:rPr>
          <w:rtl w:val="0"/>
        </w:rPr>
        <w:t>% of the demolition waste material by weight can be recycled as tabulated in Table 6. This should meet the minimum diversion goal for this task order. We project a $</w:t>
      </w:r>
      <w:r>
        <w:rPr>
          <w:rtl w:val="0"/>
        </w:rPr>
        <w:t>16,800</w:t>
      </w:r>
      <w:r>
        <w:rPr>
          <w:rtl w:val="0"/>
        </w:rPr>
        <w:t xml:space="preserve"> salvage credit to the government for all types of scrapped metal.</w:t>
      </w:r>
    </w:p>
    <w:p>
      <w:pPr>
        <w:pStyle w:val="Heading 2"/>
        <w:pageBreakBefore w:val="1"/>
        <w:suppressAutoHyphens w:val="1"/>
      </w:pPr>
      <w:bookmarkStart w:name="_Toc17" w:id="18"/>
      <w:r>
        <w:rPr>
          <w:rStyle w:val="None"/>
          <w:rtl w:val="0"/>
          <w:lang w:val="en-US"/>
        </w:rPr>
        <w:t>Table 6. Demolition Waste Recycling and Salvage</w:t>
      </w:r>
      <w:r>
        <w:rPr>
          <w:rStyle w:val="None"/>
          <w:lang w:val="en-US"/>
        </w:rPr>
        <w:drawing>
          <wp:anchor distT="12700" distB="12700" distL="12700" distR="12700" simplePos="0" relativeHeight="251667456" behindDoc="0" locked="0" layoutInCell="1" allowOverlap="1">
            <wp:simplePos x="0" y="0"/>
            <wp:positionH relativeFrom="margin">
              <wp:posOffset>1052598</wp:posOffset>
            </wp:positionH>
            <wp:positionV relativeFrom="line">
              <wp:posOffset>223519</wp:posOffset>
            </wp:positionV>
            <wp:extent cx="4884652" cy="3878580"/>
            <wp:effectExtent l="0" t="0" r="0" b="0"/>
            <wp:wrapTopAndBottom distT="12700" distB="127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2">
                      <a:extLst/>
                    </a:blip>
                    <a:stretch>
                      <a:fillRect/>
                    </a:stretch>
                  </pic:blipFill>
                  <pic:spPr>
                    <a:xfrm>
                      <a:off x="0" y="0"/>
                      <a:ext cx="4884652" cy="3878580"/>
                    </a:xfrm>
                    <a:prstGeom prst="rect">
                      <a:avLst/>
                    </a:prstGeom>
                    <a:ln w="12700" cap="flat">
                      <a:noFill/>
                      <a:miter lim="400000"/>
                    </a:ln>
                    <a:effectLst/>
                  </pic:spPr>
                </pic:pic>
              </a:graphicData>
            </a:graphic>
          </wp:anchor>
        </w:drawing>
      </w:r>
      <w:r>
        <w:rPr>
          <w:rStyle w:val="None"/>
          <w:rtl w:val="0"/>
          <w:lang w:val="en-US"/>
        </w:rPr>
        <w:t xml:space="preserve"> </w:t>
      </w:r>
      <w:bookmarkEnd w:id="18"/>
    </w:p>
    <w:p>
      <w:pPr>
        <w:pStyle w:val="Body C"/>
      </w:pPr>
    </w:p>
    <w:p>
      <w:pPr>
        <w:pStyle w:val="Heading"/>
        <w:suppressAutoHyphens w:val="1"/>
      </w:pPr>
      <w:bookmarkStart w:name="_Toc18" w:id="19"/>
      <w:r>
        <w:rPr>
          <w:rStyle w:val="None"/>
          <w:rtl w:val="0"/>
          <w:lang w:val="en-US"/>
        </w:rPr>
        <w:t>6. Site Security and Safety Approach</w:t>
      </w:r>
      <w:bookmarkEnd w:id="19"/>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0"/>
      <w:r>
        <w:rPr>
          <w:rStyle w:val="None"/>
          <w:rtl w:val="0"/>
          <w:lang w:val="en-US"/>
        </w:rPr>
        <w:t>Site Security</w:t>
      </w:r>
      <w:bookmarkEnd w:id="20"/>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Style w:val="None"/>
          <w:rtl w:val="0"/>
          <w:lang w:val="en-US"/>
        </w:rPr>
        <w:t>Safety Approach</w:t>
      </w:r>
      <w:bookmarkEnd w:id="21"/>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2"/>
      <w:r>
        <w:rPr>
          <w:rStyle w:val="None"/>
          <w:rtl w:val="0"/>
          <w:lang w:val="en-US"/>
        </w:rPr>
        <w:t>Table 7. Preliminary Activity Hazard Analysis</w:t>
      </w:r>
      <w:bookmarkEnd w:id="22"/>
    </w:p>
    <w:tbl>
      <w:tblPr>
        <w:tblW w:w="92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5"/>
        <w:gridCol w:w="7610"/>
      </w:tblGrid>
      <w:tr>
        <w:tblPrEx>
          <w:shd w:val="clear" w:color="auto" w:fill="00a2ff"/>
        </w:tblPrEx>
        <w:trPr>
          <w:trHeight w:val="252" w:hRule="atLeast"/>
          <w:tblHeader/>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52" w:hRule="atLeast"/>
        </w:trPr>
        <w:tc>
          <w:tcPr>
            <w:tcW w:type="dxa" w:w="1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216" w:hanging="216"/>
      </w:pPr>
    </w:p>
    <w:p>
      <w:pPr>
        <w:pStyle w:val="Heading 2"/>
        <w:keepNext w:val="0"/>
        <w:widowControl w:val="0"/>
        <w:suppressAutoHyphens w:val="1"/>
        <w:ind w:left="108" w:hanging="108"/>
      </w:pPr>
    </w:p>
    <w:p>
      <w:pPr>
        <w:pStyle w:val="Heading 2"/>
        <w:keepNext w:val="0"/>
        <w:widowControl w:val="0"/>
        <w:suppressAutoHyphens w:val="1"/>
        <w:ind w:left="324" w:hanging="324"/>
      </w:pPr>
    </w:p>
    <w:p>
      <w:pPr>
        <w:pStyle w:val="Body C"/>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Style w:val="None"/>
          <w:rtl w:val="0"/>
          <w:lang w:val="en-US"/>
        </w:rPr>
        <w:t>7. Site Restoration</w:t>
      </w:r>
      <w:bookmarkEnd w:id="23"/>
    </w:p>
    <w:p>
      <w:pPr>
        <w:pStyle w:val="Body C"/>
      </w:pPr>
      <w:r>
        <w:rPr>
          <w:rtl w:val="0"/>
        </w:rPr>
        <w:t xml:space="preserve">Site restoration for the base bid is scheduled to take place after demolition. We </w:t>
      </w:r>
      <w:r>
        <w:rPr>
          <w:rtl w:val="0"/>
        </w:rPr>
        <w:t>will provide sufficient</w:t>
      </w:r>
      <w:r>
        <w:rPr>
          <w:rtl w:val="0"/>
        </w:rPr>
        <w:t xml:space="preserve"> backfill to restore the finished surface as specified in the SOW. We will coordinate with the government to access fill material needed for this project. Fill and topsoil will be imported from a local vendor. Soils will be blended and graded to match the surrounding area with positive drainage and no ponding of water. Soil erosion blankets will be used on steep grades to always meet government requirements.</w:t>
      </w:r>
    </w:p>
    <w:p>
      <w:pPr>
        <w:pStyle w:val="Heading"/>
        <w:pageBreakBefore w:val="1"/>
        <w:suppressAutoHyphens w:val="1"/>
      </w:pPr>
      <w:bookmarkStart w:name="_Toc23" w:id="24"/>
      <w:r>
        <w:rPr>
          <w:rStyle w:val="None"/>
          <w:rtl w:val="0"/>
          <w:lang w:val="fr-FR"/>
        </w:rPr>
        <w:t>8. Key Personnel</w:t>
      </w:r>
      <w:bookmarkEnd w:id="24"/>
    </w:p>
    <w:p>
      <w:pPr>
        <w:pStyle w:val="Body C"/>
      </w:pPr>
      <w:r>
        <w:rPr>
          <w:rtl w:val="0"/>
        </w:rPr>
        <w:t>Having scoped this project based on our experience with similar efforts, All Phase is assigning the following Key Personnel, shown in Table 8.</w:t>
      </w:r>
    </w:p>
    <w:tbl>
      <w:tblPr>
        <w:tblW w:w="858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614"/>
        <w:gridCol w:w="5966"/>
      </w:tblGrid>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Project Manager</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Lind, Eric</w:t>
            </w:r>
          </w:p>
        </w:tc>
      </w:tr>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Program Manager</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Newman, Eric</w:t>
            </w:r>
          </w:p>
        </w:tc>
      </w:tr>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Superintendent</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Fowler, Skip</w:t>
            </w:r>
          </w:p>
        </w:tc>
      </w:tr>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Quality Control Manager</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Fowler, Betty</w:t>
            </w:r>
          </w:p>
        </w:tc>
      </w:tr>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Safety Officer</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Fowler, Betty</w:t>
            </w:r>
          </w:p>
        </w:tc>
      </w:tr>
      <w:tr>
        <w:tblPrEx>
          <w:shd w:val="clear" w:color="auto" w:fill="auto"/>
        </w:tblPrEx>
        <w:trPr>
          <w:trHeight w:val="232" w:hRule="atLeast"/>
        </w:trPr>
        <w:tc>
          <w:tcPr>
            <w:tcW w:type="dxa" w:w="261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dddddd"/>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Clerk</w:t>
            </w:r>
          </w:p>
        </w:tc>
        <w:tc>
          <w:tcPr>
            <w:tcW w:type="dxa" w:w="596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rtl w:val="0"/>
              </w:rPr>
              <w:t>Osorio, Clementina D</w:t>
            </w:r>
          </w:p>
        </w:tc>
      </w:tr>
    </w:tbl>
    <w:p>
      <w:pPr>
        <w:pStyle w:val="Heading 2"/>
        <w:suppressAutoHyphens w:val="1"/>
      </w:pPr>
      <w:bookmarkStart w:name="_Toc24" w:id="25"/>
      <w:r>
        <w:rPr>
          <w:rStyle w:val="None"/>
          <w:rtl w:val="0"/>
          <w:lang w:val="en-US"/>
        </w:rPr>
        <w:t>Table 8. Key Personnel to be Assigned</w:t>
      </w:r>
      <w:r>
        <w:rPr>
          <w:rStyle w:val="None"/>
          <w:lang w:val="en-US"/>
        </w:rPr>
        <w:br w:type="textWrapping"/>
      </w:r>
      <w:bookmarkEnd w:id="25"/>
    </w:p>
    <w:p>
      <w:pPr>
        <w:pStyle w:val="Heading 2"/>
        <w:widowControl w:val="0"/>
        <w:suppressAutoHyphens w:val="1"/>
        <w:ind w:left="108" w:hanging="108"/>
      </w:pPr>
    </w:p>
    <w:p>
      <w:pPr>
        <w:pStyle w:val="Body C"/>
      </w:pPr>
    </w:p>
    <w:p>
      <w:pPr>
        <w:pStyle w:val="Body C"/>
      </w:pPr>
    </w:p>
    <w:p>
      <w:pPr>
        <w:pStyle w:val="Body C"/>
      </w:pPr>
    </w:p>
    <w:p>
      <w:pPr>
        <w:pStyle w:val="Body C"/>
      </w:pPr>
    </w:p>
    <w:p>
      <w:pPr>
        <w:pStyle w:val="Heading"/>
        <w:pageBreakBefore w:val="1"/>
        <w:suppressAutoHyphens w:val="1"/>
      </w:pPr>
      <w:bookmarkStart w:name="_Toc25" w:id="26"/>
      <w:r>
        <w:rPr>
          <w:rStyle w:val="None"/>
          <w:rtl w:val="0"/>
          <w:lang w:val="en-US"/>
        </w:rPr>
        <w:t>Appendix - Preliminary Project Schedule</w:t>
      </w:r>
      <w:bookmarkEnd w:id="26"/>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r/>
    </w:p>
    <w:sectPr>
      <w:headerReference w:type="default" r:id="rId13"/>
      <w:footerReference w:type="default" r:id="rId14"/>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9-21T11:42:55Z">
    <w:p w14:paraId="1111FFFF">
      <w:pPr>
        <w:pStyle w:val="Default"/>
      </w:pPr>
    </w:p>
    <w:p w14:paraId="11120000">
      <w:pPr>
        <w:pStyle w:val="Default"/>
      </w:pPr>
      <w:r>
        <w:rPr>
          <w:rtl w:val="0"/>
        </w:rPr>
        <w:t>insert totals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 xml:space="preserve">Task Order PANHES-22-P-0000 004330  </w:t>
    </w:r>
    <w:r>
      <w:rPr>
        <w:rFonts w:ascii="Times New Roman" w:cs="Times New Roman" w:hAnsi="Times New Roman" w:eastAsia="Times New Roman"/>
        <w:sz w:val="18"/>
        <w:szCs w:val="18"/>
      </w:rPr>
      <w:br w:type="textWrapping"/>
    </w:r>
    <w:r>
      <w:rPr>
        <w:rFonts w:ascii="Times New Roman" w:hAnsi="Times New Roman"/>
        <w:sz w:val="18"/>
        <w:szCs w:val="18"/>
        <w:rtl w:val="0"/>
        <w:lang w:val="en-US"/>
      </w:rPr>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 xml:space="preserve">Task Order PANHES-22-P-0000 004330 </w:t>
    </w:r>
    <w:r>
      <w:rPr>
        <w:rStyle w:val="None"/>
        <w:rFonts w:ascii="Times New Roman" w:cs="Times New Roman" w:hAnsi="Times New Roman" w:eastAsia="Times New Roman"/>
        <w:sz w:val="18"/>
        <w:szCs w:val="18"/>
      </w:rPr>
      <w:br w:type="textWrapping"/>
    </w:r>
    <w:r>
      <w:rPr>
        <w:rStyle w:val="None"/>
        <w:rFonts w:ascii="Times New Roman" w:hAnsi="Times New Roman"/>
        <w:sz w:val="18"/>
        <w:szCs w:val="18"/>
        <w:rtl w:val="0"/>
        <w:lang w:val="en-US"/>
      </w:rPr>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Hyperlink"/>
    <w:next w:val="Hyperlink.1"/>
    <w:rPr>
      <w:color w:val="0000ff"/>
      <w:u w:val="single" w:color="0000ff"/>
    </w:rPr>
  </w:style>
  <w:style w:type="character" w:styleId="Hyperlink.2">
    <w:name w:val="Hyperlink.2"/>
    <w:basedOn w:val="None"/>
    <w:next w:val="Hyperlink.2"/>
    <w:rPr>
      <w:sz w:val="23"/>
      <w:szCs w:val="23"/>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0"/>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