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p>
    <w:p>
      <w:pPr>
        <w:pStyle w:val="Body"/>
        <w:jc w:val="center"/>
        <w:rPr>
          <w:b w:val="1"/>
          <w:bCs w:val="1"/>
          <w:sz w:val="28"/>
          <w:szCs w:val="28"/>
        </w:rPr>
      </w:pPr>
      <w:r>
        <w:rPr>
          <w:b w:val="1"/>
          <w:bCs w:val="1"/>
          <w:sz w:val="28"/>
          <w:szCs w:val="28"/>
          <w:rtl w:val="0"/>
          <w:lang w:val="en-US"/>
        </w:rPr>
        <w:t>Request for Information (RFI) Response for</w:t>
      </w:r>
      <w:r>
        <w:rPr>
          <w:b w:val="1"/>
          <w:bCs w:val="1"/>
          <w:sz w:val="28"/>
          <w:szCs w:val="28"/>
        </w:rPr>
        <w:br w:type="textWrapping"/>
      </w:r>
      <w:r>
        <w:rPr>
          <w:b w:val="1"/>
          <w:bCs w:val="1"/>
          <w:sz w:val="28"/>
          <w:szCs w:val="28"/>
          <w:rtl w:val="0"/>
          <w:lang w:val="en-US"/>
        </w:rPr>
        <w:t xml:space="preserve">Tracking No. </w:t>
      </w:r>
      <w:r>
        <w:rPr>
          <w:b w:val="1"/>
          <w:bCs w:val="1"/>
          <w:sz w:val="28"/>
          <w:szCs w:val="28"/>
          <w:rtl w:val="0"/>
        </w:rPr>
        <w:t>ESEP190025AP</w:t>
      </w:r>
      <w:r>
        <w:rPr>
          <w:b w:val="1"/>
          <w:bCs w:val="1"/>
          <w:sz w:val="28"/>
          <w:szCs w:val="28"/>
        </w:rPr>
        <w:br w:type="textWrapping"/>
      </w:r>
      <w:r>
        <w:rPr>
          <w:b w:val="1"/>
          <w:bCs w:val="1"/>
          <w:sz w:val="28"/>
          <w:szCs w:val="28"/>
          <w:rtl w:val="0"/>
          <w:lang w:val="en-US"/>
        </w:rPr>
        <w:t>Office of Migrant Education</w:t>
      </w:r>
      <w:r>
        <w:rPr>
          <w:b w:val="1"/>
          <w:bCs w:val="1"/>
          <w:sz w:val="28"/>
          <w:szCs w:val="28"/>
          <w:rtl w:val="0"/>
          <w:lang w:val="en-US"/>
        </w:rPr>
        <w:t xml:space="preserve"> (OME)</w:t>
      </w:r>
      <w:r>
        <w:rPr>
          <w:b w:val="1"/>
          <w:bCs w:val="1"/>
          <w:sz w:val="28"/>
          <w:szCs w:val="28"/>
          <w:rtl w:val="0"/>
        </w:rPr>
        <w:t xml:space="preserve"> </w:t>
      </w:r>
      <w:r>
        <w:rPr>
          <w:b w:val="1"/>
          <w:bCs w:val="1"/>
          <w:sz w:val="28"/>
          <w:szCs w:val="28"/>
          <w:rtl w:val="0"/>
          <w:lang w:val="en-US"/>
        </w:rPr>
        <w:t xml:space="preserve">/ </w:t>
      </w:r>
      <w:r>
        <w:rPr>
          <w:b w:val="1"/>
          <w:bCs w:val="1"/>
          <w:sz w:val="28"/>
          <w:szCs w:val="28"/>
          <w:rtl w:val="0"/>
          <w:lang w:val="en-US"/>
        </w:rPr>
        <w:t xml:space="preserve">High School Equivalency </w:t>
      </w:r>
      <w:r>
        <w:rPr>
          <w:b w:val="1"/>
          <w:bCs w:val="1"/>
          <w:sz w:val="28"/>
          <w:szCs w:val="28"/>
        </w:rPr>
        <w:br w:type="textWrapping"/>
      </w:r>
      <w:r>
        <w:rPr>
          <w:b w:val="1"/>
          <w:bCs w:val="1"/>
          <w:sz w:val="28"/>
          <w:szCs w:val="28"/>
          <w:rtl w:val="0"/>
          <w:lang w:val="en-US"/>
        </w:rPr>
        <w:t xml:space="preserve">Program (HEP) and College Assistance Migrant Program (CAMP) </w:t>
      </w:r>
      <w:r>
        <w:rPr>
          <w:b w:val="1"/>
          <w:bCs w:val="1"/>
          <w:sz w:val="28"/>
          <w:szCs w:val="28"/>
        </w:rPr>
        <w:br w:type="textWrapping"/>
      </w:r>
      <w:r>
        <w:rPr>
          <w:b w:val="1"/>
          <w:bCs w:val="1"/>
          <w:sz w:val="28"/>
          <w:szCs w:val="28"/>
          <w:rtl w:val="0"/>
          <w:lang w:val="en-US"/>
        </w:rPr>
        <w:t>Technical Assistance Support</w:t>
      </w:r>
    </w:p>
    <w:p>
      <w:pPr>
        <w:pStyle w:val="Body"/>
        <w:jc w:val="center"/>
        <w:rPr>
          <w:b w:val="1"/>
          <w:bCs w:val="1"/>
          <w:sz w:val="28"/>
          <w:szCs w:val="28"/>
        </w:rPr>
      </w:pPr>
    </w:p>
    <w:p>
      <w:pPr>
        <w:pStyle w:val="Body"/>
        <w:jc w:val="center"/>
      </w:pPr>
      <w:r>
        <w:rPr>
          <w:rtl w:val="0"/>
          <w:lang w:val="en-US"/>
        </w:rPr>
        <w:t>Submitted on: 07-October-2022</w:t>
      </w:r>
    </w:p>
    <w:p>
      <w:pPr>
        <w:pStyle w:val="Body"/>
        <w:jc w:val="center"/>
      </w:pPr>
      <w:r>
        <w:rPr>
          <w:rtl w:val="0"/>
          <w:lang w:val="en-US"/>
        </w:rPr>
        <w:t>Subm</w:t>
      </w:r>
      <w:r>
        <w:drawing>
          <wp:anchor distT="152400" distB="152400" distL="152400" distR="152400" simplePos="0" relativeHeight="251659264" behindDoc="0" locked="0" layoutInCell="1" allowOverlap="1">
            <wp:simplePos x="0" y="0"/>
            <wp:positionH relativeFrom="page">
              <wp:posOffset>1981200</wp:posOffset>
            </wp:positionH>
            <wp:positionV relativeFrom="page">
              <wp:posOffset>5029200</wp:posOffset>
            </wp:positionV>
            <wp:extent cx="3810000" cy="4649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rcRect l="0" t="0" r="0" b="23736"/>
                    <a:stretch>
                      <a:fillRect/>
                    </a:stretch>
                  </pic:blipFill>
                  <pic:spPr>
                    <a:xfrm>
                      <a:off x="0" y="0"/>
                      <a:ext cx="3810000" cy="464900"/>
                    </a:xfrm>
                    <a:prstGeom prst="rect">
                      <a:avLst/>
                    </a:prstGeom>
                    <a:ln w="12700" cap="flat">
                      <a:noFill/>
                      <a:miter lim="400000"/>
                    </a:ln>
                    <a:effectLst/>
                  </pic:spPr>
                </pic:pic>
              </a:graphicData>
            </a:graphic>
          </wp:anchor>
        </w:drawing>
      </w:r>
      <w:r>
        <w:rPr>
          <w:rtl w:val="0"/>
          <w:lang w:val="en-US"/>
        </w:rPr>
        <w:t>itted to</w:t>
      </w:r>
      <w:r>
        <w:rPr>
          <w:rtl w:val="0"/>
          <w:lang w:val="en-US"/>
        </w:rPr>
        <w:t>—</w:t>
        <w:br w:type="textWrapping"/>
      </w:r>
      <w:r>
        <w:rPr>
          <w:rtl w:val="0"/>
          <w:lang w:val="en-US"/>
        </w:rPr>
        <w:t>US. Department of Education</w:t>
      </w:r>
      <w:r>
        <w:br w:type="textWrapping"/>
      </w:r>
      <w:r>
        <w:rPr>
          <w:rtl w:val="0"/>
          <w:lang w:val="en-US"/>
        </w:rPr>
        <w:t xml:space="preserve">Office of Migrant Education (OME) </w:t>
      </w:r>
    </w:p>
    <w:p>
      <w:pPr>
        <w:pStyle w:val="Body"/>
        <w:jc w:val="center"/>
      </w:pPr>
    </w:p>
    <w:p>
      <w:pPr>
        <w:pStyle w:val="Body"/>
        <w:jc w:val="center"/>
      </w:pPr>
    </w:p>
    <w:p>
      <w:pPr>
        <w:pStyle w:val="Body"/>
        <w:jc w:val="center"/>
      </w:pPr>
    </w:p>
    <w:p>
      <w:pPr>
        <w:pStyle w:val="Body"/>
        <w:jc w:val="center"/>
      </w:pPr>
    </w:p>
    <w:p>
      <w:pPr>
        <w:pStyle w:val="Body"/>
        <w:jc w:val="center"/>
      </w:pPr>
      <w:r>
        <w:rPr>
          <w:rtl w:val="0"/>
          <w:lang w:val="en-US"/>
        </w:rPr>
        <w:t>Submitted by</w:t>
      </w:r>
      <w:r>
        <w:rPr>
          <w:rtl w:val="0"/>
          <w:lang w:val="en-US"/>
        </w:rPr>
        <w:t>—</w:t>
      </w:r>
    </w:p>
    <w:p>
      <w:pPr>
        <w:pStyle w:val="Body"/>
        <w:jc w:val="center"/>
      </w:pPr>
      <w:r>
        <w:rPr>
          <w:b w:val="1"/>
          <w:bCs w:val="1"/>
          <w:sz w:val="28"/>
          <w:szCs w:val="28"/>
          <w:rtl w:val="0"/>
          <w:lang w:val="en-US"/>
        </w:rPr>
        <w:t>H</w:t>
      </w:r>
      <w:r>
        <w:rPr>
          <w:b w:val="1"/>
          <w:bCs w:val="1"/>
          <w:sz w:val="28"/>
          <w:szCs w:val="28"/>
          <w:rtl w:val="0"/>
          <w:lang w:val="it-IT"/>
        </w:rPr>
        <w:t>una</w:t>
      </w:r>
      <w:r>
        <w:rPr>
          <w:b w:val="1"/>
          <w:bCs w:val="1"/>
          <w:sz w:val="28"/>
          <w:szCs w:val="28"/>
          <w:rtl w:val="0"/>
          <w:lang w:val="en-US"/>
        </w:rPr>
        <w:t>T</w:t>
      </w:r>
      <w:r>
        <w:rPr>
          <w:b w:val="1"/>
          <w:bCs w:val="1"/>
          <w:sz w:val="28"/>
          <w:szCs w:val="28"/>
          <w:rtl w:val="0"/>
        </w:rPr>
        <w:t>ek</w:t>
      </w:r>
      <w:r>
        <w:rPr>
          <w:b w:val="1"/>
          <w:bCs w:val="1"/>
          <w:sz w:val="28"/>
          <w:szCs w:val="28"/>
          <w:rtl w:val="0"/>
          <w:lang w:val="en-US"/>
        </w:rPr>
        <w:t xml:space="preserve"> </w:t>
      </w:r>
      <w:r>
        <w:rPr>
          <w:b w:val="1"/>
          <w:bCs w:val="1"/>
          <w:sz w:val="28"/>
          <w:szCs w:val="28"/>
          <w:rtl w:val="0"/>
          <w:lang w:val="en-US"/>
        </w:rPr>
        <w:t>Professional Services</w:t>
      </w:r>
      <w:r>
        <w:rPr>
          <w:rtl w:val="0"/>
        </w:rPr>
        <w:t xml:space="preserve"> </w:t>
      </w:r>
      <w:r>
        <w:br w:type="textWrapping"/>
      </w:r>
      <w:r>
        <w:rPr>
          <w:rtl w:val="0"/>
          <w:lang w:val="en-US"/>
        </w:rPr>
        <w:t>13900 Lincoln Park Drive, Suite 350</w:t>
      </w:r>
      <w:r>
        <w:br w:type="textWrapping"/>
      </w:r>
      <w:r>
        <w:rPr>
          <w:rtl w:val="0"/>
          <w:lang w:val="es-ES_tradnl"/>
        </w:rPr>
        <w:t>Herndon, VA 20171</w:t>
      </w:r>
    </w:p>
    <w:p>
      <w:pPr>
        <w:pStyle w:val="Body"/>
        <w:jc w:val="center"/>
      </w:pPr>
      <w:r>
        <w:rPr>
          <w:rtl w:val="0"/>
          <w:lang w:val="en-US"/>
        </w:rPr>
        <w:t xml:space="preserve"> POC:</w:t>
      </w:r>
      <w:r>
        <w:rPr>
          <w:rtl w:val="0"/>
          <w:lang w:val="en-US"/>
        </w:rPr>
        <w:t xml:space="preserve"> Timothy J. Fitzgerald</w:t>
      </w:r>
      <w:r>
        <w:rPr>
          <w:rtl w:val="0"/>
          <w:lang w:val="en-US"/>
        </w:rPr>
        <w:t xml:space="preserve">, </w:t>
      </w:r>
      <w:r>
        <w:rPr>
          <w:rtl w:val="0"/>
          <w:lang w:val="en-US"/>
        </w:rPr>
        <w:t>Chief Operating Officer</w:t>
      </w:r>
      <w:r>
        <w:rPr>
          <w:rtl w:val="0"/>
          <w:lang w:val="en-US"/>
        </w:rPr>
        <w:t xml:space="preserve"> </w:t>
        <w:br w:type="textWrapping"/>
      </w:r>
      <w:r>
        <w:rPr>
          <w:rStyle w:val="Hyperlink.0"/>
        </w:rPr>
        <w:fldChar w:fldCharType="begin" w:fldLock="0"/>
      </w:r>
      <w:r>
        <w:rPr>
          <w:rStyle w:val="Hyperlink.0"/>
        </w:rPr>
        <w:instrText xml:space="preserve"> HYPERLINK "mailto:tim.Fitzgerald@Hunatek.com"</w:instrText>
      </w:r>
      <w:r>
        <w:rPr>
          <w:rStyle w:val="Hyperlink.0"/>
        </w:rPr>
        <w:fldChar w:fldCharType="separate" w:fldLock="0"/>
      </w:r>
      <w:r>
        <w:rPr>
          <w:rStyle w:val="Hyperlink.0"/>
          <w:rtl w:val="0"/>
          <w:lang w:val="en-US"/>
        </w:rPr>
        <w:t>tim.fitzgerald@hunatek.com</w:t>
      </w:r>
      <w:r>
        <w:rPr/>
        <w:fldChar w:fldCharType="end" w:fldLock="0"/>
      </w:r>
      <w:r>
        <w:rPr>
          <w:rtl w:val="0"/>
          <w:lang w:val="en-US"/>
        </w:rPr>
        <w:t xml:space="preserve"> | tel </w:t>
      </w:r>
      <w:r>
        <w:rPr>
          <w:rtl w:val="0"/>
        </w:rPr>
        <w:t>571-464-5198</w:t>
      </w:r>
      <w:r>
        <w:rPr>
          <w:rtl w:val="0"/>
          <w:lang w:val="en-US"/>
        </w:rPr>
        <w:t xml:space="preserve"> |</w:t>
      </w:r>
      <w:r>
        <w:rPr>
          <w:rtl w:val="0"/>
        </w:rPr>
        <w:t xml:space="preserve"> </w:t>
      </w:r>
      <w:r>
        <w:rPr>
          <w:rStyle w:val="Hyperlink.0"/>
        </w:rPr>
        <w:fldChar w:fldCharType="begin" w:fldLock="0"/>
      </w:r>
      <w:r>
        <w:rPr>
          <w:rStyle w:val="Hyperlink.0"/>
        </w:rPr>
        <w:instrText xml:space="preserve"> HYPERLINK "https://hunatek.com"</w:instrText>
      </w:r>
      <w:r>
        <w:rPr>
          <w:rStyle w:val="Hyperlink.0"/>
        </w:rPr>
        <w:fldChar w:fldCharType="separate" w:fldLock="0"/>
      </w:r>
      <w:r>
        <w:rPr>
          <w:rStyle w:val="Hyperlink.0"/>
          <w:rtl w:val="0"/>
          <w:lang w:val="en-US"/>
        </w:rPr>
        <w:t>https://hunatek.com</w:t>
      </w:r>
      <w:r>
        <w:rPr/>
        <w:fldChar w:fldCharType="end" w:fldLock="0"/>
      </w:r>
      <w:r>
        <w:rPr>
          <w:rtl w:val="0"/>
          <w:lang w:val="en-US"/>
        </w:rPr>
        <w:t xml:space="preserve"> </w:t>
      </w:r>
    </w:p>
    <w:p>
      <w:pPr>
        <w:pStyle w:val="Body"/>
        <w:jc w:val="center"/>
      </w:pPr>
    </w:p>
    <w:p>
      <w:pPr>
        <w:pStyle w:val="Body"/>
        <w:jc w:val="center"/>
      </w:pPr>
    </w:p>
    <w:p>
      <w:pPr>
        <w:pStyle w:val="Body"/>
        <w:pageBreakBefore w:val="1"/>
        <w:rPr>
          <w:b w:val="1"/>
          <w:bCs w:val="1"/>
        </w:rPr>
      </w:pPr>
      <w:r>
        <w:rPr>
          <w:b w:val="1"/>
          <w:bCs w:val="1"/>
          <w:rtl w:val="0"/>
          <w:lang w:val="en-US"/>
        </w:rPr>
        <w:t>Contents</w:t>
      </w:r>
    </w:p>
    <w:p>
      <w:pPr>
        <w:pStyle w:val="Body"/>
        <w:bidi w:val="0"/>
      </w:pPr>
      <w:r>
        <w:rPr/>
        <w:fldChar w:fldCharType="begin" w:fldLock="0"/>
      </w:r>
      <w:r>
        <w:instrText xml:space="preserve"> TOC \t "Heading, 1"</w:instrText>
      </w:r>
      <w:r>
        <w:rPr/>
        <w:fldChar w:fldCharType="separate" w:fldLock="0"/>
      </w:r>
    </w:p>
    <w:p>
      <w:pPr>
        <w:pStyle w:val="TOC 1 parent"/>
        <w:rPr>
          <w:sz w:val="24"/>
          <w:szCs w:val="24"/>
        </w:rPr>
      </w:pPr>
      <w:r>
        <w:rPr>
          <w:sz w:val="24"/>
          <w:szCs w:val="24"/>
          <w:rtl w:val="0"/>
          <w:lang w:val="en-US"/>
        </w:rPr>
        <w:t>Company Overview</w:t>
        <w:tab/>
      </w:r>
      <w:r>
        <w:rPr>
          <w:sz w:val="24"/>
          <w:szCs w:val="24"/>
        </w:rPr>
        <w:fldChar w:fldCharType="begin" w:fldLock="0"/>
      </w:r>
      <w:r>
        <w:rPr>
          <w:sz w:val="24"/>
          <w:szCs w:val="24"/>
        </w:rPr>
        <w:instrText xml:space="preserve"> PAGEREF _Toc \h </w:instrText>
      </w:r>
      <w:r>
        <w:rPr>
          <w:sz w:val="24"/>
          <w:szCs w:val="24"/>
        </w:rPr>
        <w:fldChar w:fldCharType="separate" w:fldLock="0"/>
      </w:r>
      <w:r>
        <w:rPr>
          <w:sz w:val="24"/>
          <w:szCs w:val="24"/>
          <w:rtl w:val="0"/>
        </w:rPr>
        <w:t>1</w:t>
      </w:r>
      <w:r>
        <w:rPr>
          <w:sz w:val="24"/>
          <w:szCs w:val="24"/>
        </w:rPr>
        <w:fldChar w:fldCharType="end" w:fldLock="0"/>
      </w:r>
    </w:p>
    <w:p>
      <w:pPr>
        <w:pStyle w:val="TOC 1 parent"/>
        <w:rPr>
          <w:sz w:val="24"/>
          <w:szCs w:val="24"/>
        </w:rPr>
      </w:pPr>
      <w:r>
        <w:rPr>
          <w:sz w:val="24"/>
          <w:szCs w:val="24"/>
          <w:rtl w:val="0"/>
          <w:lang w:val="en-US"/>
        </w:rPr>
        <w:t xml:space="preserve">Capability to Provide Technical Assistance to HEP and CAMP grantees </w:t>
        <w:tab/>
      </w:r>
      <w:r>
        <w:rPr>
          <w:sz w:val="24"/>
          <w:szCs w:val="24"/>
        </w:rPr>
        <w:fldChar w:fldCharType="begin" w:fldLock="0"/>
      </w:r>
      <w:r>
        <w:rPr>
          <w:sz w:val="24"/>
          <w:szCs w:val="24"/>
        </w:rPr>
        <w:instrText xml:space="preserve"> PAGEREF _Toc1 \h </w:instrText>
      </w:r>
      <w:r>
        <w:rPr>
          <w:sz w:val="24"/>
          <w:szCs w:val="24"/>
        </w:rPr>
        <w:fldChar w:fldCharType="separate" w:fldLock="0"/>
      </w:r>
      <w:r>
        <w:rPr>
          <w:sz w:val="24"/>
          <w:szCs w:val="24"/>
          <w:rtl w:val="0"/>
        </w:rPr>
        <w:t>3</w:t>
      </w:r>
      <w:r>
        <w:rPr>
          <w:sz w:val="24"/>
          <w:szCs w:val="24"/>
        </w:rPr>
        <w:fldChar w:fldCharType="end" w:fldLock="0"/>
      </w:r>
    </w:p>
    <w:p>
      <w:pPr>
        <w:pStyle w:val="TOC 1 parent"/>
      </w:pPr>
      <w:r>
        <w:rPr>
          <w:sz w:val="24"/>
          <w:szCs w:val="24"/>
          <w:rtl w:val="0"/>
          <w:lang w:val="en-US"/>
        </w:rPr>
        <w:t>History of Successes</w:t>
        <w:tab/>
      </w:r>
      <w:r>
        <w:rPr>
          <w:sz w:val="24"/>
          <w:szCs w:val="24"/>
        </w:rPr>
        <w:fldChar w:fldCharType="begin" w:fldLock="0"/>
      </w:r>
      <w:r>
        <w:rPr>
          <w:sz w:val="24"/>
          <w:szCs w:val="24"/>
        </w:rPr>
        <w:instrText xml:space="preserve"> PAGEREF _Toc2 \h </w:instrText>
      </w:r>
      <w:r>
        <w:rPr>
          <w:sz w:val="24"/>
          <w:szCs w:val="24"/>
        </w:rPr>
        <w:fldChar w:fldCharType="separate" w:fldLock="0"/>
      </w:r>
      <w:r>
        <w:rPr>
          <w:sz w:val="24"/>
          <w:szCs w:val="24"/>
          <w:rtl w:val="0"/>
        </w:rPr>
        <w:t>7</w:t>
      </w:r>
      <w:r>
        <w:rPr>
          <w:sz w:val="24"/>
          <w:szCs w:val="24"/>
        </w:rPr>
        <w:fldChar w:fldCharType="end" w:fldLock="0"/>
      </w:r>
    </w:p>
    <w:p>
      <w:pPr>
        <w:pStyle w:val="Body"/>
        <w:bidi w:val="0"/>
        <w:sectPr>
          <w:headerReference w:type="default" r:id="rId5"/>
          <w:footerReference w:type="default" r:id="rId6"/>
          <w:pgSz w:w="12240" w:h="15840" w:orient="portrait"/>
          <w:pgMar w:top="1440" w:right="1440" w:bottom="1440" w:left="1440" w:header="720" w:footer="864"/>
          <w:titlePg w:val="1"/>
          <w:bidi w:val="0"/>
        </w:sectPr>
      </w:pPr>
      <w:r>
        <w:rPr/>
        <w:fldChar w:fldCharType="end" w:fldLock="0"/>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605"/>
        <w:gridCol w:w="6745"/>
      </w:tblGrid>
      <w:tr>
        <w:tblPrEx>
          <w:shd w:val="clear" w:color="auto" w:fill="cadfff"/>
        </w:tblPrEx>
        <w:trPr>
          <w:trHeight w:val="310" w:hRule="atLeast"/>
        </w:trPr>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8a6d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b w:val="1"/>
                <w:bCs w:val="1"/>
                <w:color w:val="ffffff"/>
                <w:u w:color="000000"/>
                <w:rtl w:val="0"/>
                <w:lang w:val="en-US"/>
              </w:rPr>
              <w:t>Company Name:</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pStyle w:val="Body"/>
              <w:widowControl w:val="0"/>
              <w:bidi w:val="0"/>
              <w:spacing w:before="60" w:after="60" w:line="240" w:lineRule="auto"/>
              <w:ind w:left="0" w:right="0" w:firstLine="0"/>
              <w:jc w:val="left"/>
              <w:rPr>
                <w:rtl w:val="0"/>
              </w:rPr>
            </w:pPr>
            <w:r>
              <w:rPr>
                <w:outline w:val="0"/>
                <w:u w:color="000000"/>
                <w:rtl w:val="0"/>
                <w:lang w:val="en-US"/>
              </w:rPr>
              <w:t>HunaTek Professional Services (HunaTek)</w:t>
            </w:r>
          </w:p>
        </w:tc>
      </w:tr>
      <w:tr>
        <w:tblPrEx>
          <w:shd w:val="clear" w:color="auto" w:fill="cadfff"/>
        </w:tblPrEx>
        <w:trPr>
          <w:trHeight w:val="610" w:hRule="atLeast"/>
        </w:trPr>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8a6d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b w:val="1"/>
                <w:bCs w:val="1"/>
                <w:color w:val="ffffff"/>
                <w:u w:color="000000"/>
                <w:rtl w:val="0"/>
                <w:lang w:val="en-US"/>
              </w:rPr>
              <w:t>Address:</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center"/>
          </w:tcPr>
          <w:p>
            <w:pPr>
              <w:pStyle w:val="Body"/>
              <w:widowControl w:val="0"/>
              <w:bidi w:val="0"/>
              <w:spacing w:before="60" w:after="60" w:line="240" w:lineRule="auto"/>
              <w:ind w:left="0" w:right="0" w:firstLine="0"/>
              <w:jc w:val="left"/>
              <w:rPr>
                <w:rtl w:val="0"/>
              </w:rPr>
            </w:pPr>
            <w:r>
              <w:rPr>
                <w:outline w:val="0"/>
                <w:u w:color="000000"/>
                <w:rtl w:val="0"/>
                <w:lang w:val="en-US"/>
              </w:rPr>
              <w:t>13900 Lincoln Park Drive, Suite 350</w:t>
            </w:r>
            <w:r>
              <w:rPr>
                <w:outline w:val="0"/>
                <w:u w:color="000000"/>
                <w:rtl w:val="0"/>
                <w:lang w:val="en-US"/>
              </w:rPr>
              <w:br w:type="textWrapping"/>
            </w:r>
            <w:r>
              <w:rPr>
                <w:outline w:val="0"/>
                <w:u w:color="000000"/>
                <w:rtl w:val="0"/>
                <w:lang w:val="es-ES_tradnl"/>
              </w:rPr>
              <w:t>Herndon, VA 20171</w:t>
            </w:r>
          </w:p>
        </w:tc>
      </w:tr>
      <w:tr>
        <w:tblPrEx>
          <w:shd w:val="clear" w:color="auto" w:fill="cadfff"/>
        </w:tblPrEx>
        <w:trPr>
          <w:trHeight w:val="310" w:hRule="atLeast"/>
        </w:trPr>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8a6d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b w:val="1"/>
                <w:bCs w:val="1"/>
                <w:color w:val="ffffff"/>
                <w:u w:color="000000"/>
                <w:rtl w:val="0"/>
                <w:lang w:val="en-US"/>
              </w:rPr>
              <w:t>Phone:</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pStyle w:val="Body"/>
              <w:widowControl w:val="0"/>
              <w:bidi w:val="0"/>
              <w:spacing w:before="60" w:after="60" w:line="240" w:lineRule="auto"/>
              <w:ind w:left="0" w:right="0" w:firstLine="0"/>
              <w:jc w:val="left"/>
              <w:rPr>
                <w:rtl w:val="0"/>
              </w:rPr>
            </w:pPr>
            <w:r>
              <w:rPr>
                <w:outline w:val="0"/>
                <w:u w:color="000000"/>
                <w:rtl w:val="0"/>
                <w:lang w:val="en-US"/>
              </w:rPr>
              <w:t>571-464-5198</w:t>
            </w:r>
          </w:p>
        </w:tc>
      </w:tr>
      <w:tr>
        <w:tblPrEx>
          <w:shd w:val="clear" w:color="auto" w:fill="cadfff"/>
        </w:tblPrEx>
        <w:trPr>
          <w:trHeight w:val="310" w:hRule="atLeast"/>
        </w:trPr>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8a6d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b w:val="1"/>
                <w:bCs w:val="1"/>
                <w:color w:val="ffffff"/>
                <w:u w:color="000000"/>
                <w:rtl w:val="0"/>
                <w:lang w:val="en-US"/>
              </w:rPr>
              <w:t>Website:</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center"/>
          </w:tcPr>
          <w:p>
            <w:pPr>
              <w:pStyle w:val="Body"/>
              <w:widowControl w:val="0"/>
              <w:bidi w:val="0"/>
              <w:spacing w:before="60" w:after="60" w:line="240" w:lineRule="auto"/>
              <w:ind w:left="0" w:right="0" w:firstLine="0"/>
              <w:jc w:val="left"/>
              <w:rPr>
                <w:rtl w:val="0"/>
              </w:rPr>
            </w:pPr>
            <w:r>
              <w:rPr>
                <w:outline w:val="0"/>
                <w:u w:color="000000"/>
                <w:rtl w:val="0"/>
                <w:lang w:val="en-US"/>
              </w:rPr>
              <w:t xml:space="preserve">https://hunatek.com </w:t>
            </w:r>
          </w:p>
        </w:tc>
      </w:tr>
      <w:tr>
        <w:tblPrEx>
          <w:shd w:val="clear" w:color="auto" w:fill="cadfff"/>
        </w:tblPrEx>
        <w:trPr>
          <w:trHeight w:val="310" w:hRule="atLeast"/>
        </w:trPr>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8a6d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b w:val="1"/>
                <w:bCs w:val="1"/>
                <w:color w:val="ffffff"/>
                <w:u w:color="000000"/>
                <w:rtl w:val="0"/>
                <w:lang w:val="en-US"/>
              </w:rPr>
              <w:t>Unique Entity ID:</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pStyle w:val="Body"/>
              <w:widowControl w:val="0"/>
              <w:bidi w:val="0"/>
              <w:spacing w:before="60" w:after="60" w:line="240" w:lineRule="auto"/>
              <w:ind w:left="0" w:right="0" w:firstLine="0"/>
              <w:jc w:val="left"/>
              <w:rPr>
                <w:rtl w:val="0"/>
              </w:rPr>
            </w:pPr>
            <w:r>
              <w:rPr>
                <w:outline w:val="0"/>
                <w:u w:color="000000"/>
                <w:rtl w:val="0"/>
                <w:lang w:val="en-US"/>
              </w:rPr>
              <w:t>VLLKTRK4ANF3</w:t>
            </w:r>
          </w:p>
        </w:tc>
      </w:tr>
      <w:tr>
        <w:tblPrEx>
          <w:shd w:val="clear" w:color="auto" w:fill="cadfff"/>
        </w:tblPrEx>
        <w:trPr>
          <w:trHeight w:val="310" w:hRule="atLeast"/>
        </w:trPr>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8a6d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b w:val="1"/>
                <w:bCs w:val="1"/>
                <w:color w:val="ffffff"/>
                <w:u w:color="000000"/>
                <w:rtl w:val="0"/>
                <w:lang w:val="en-US"/>
              </w:rPr>
              <w:t>Cage Code:</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center"/>
          </w:tcPr>
          <w:p>
            <w:pPr>
              <w:pStyle w:val="Body"/>
              <w:widowControl w:val="0"/>
              <w:bidi w:val="0"/>
              <w:spacing w:before="60" w:after="60" w:line="240" w:lineRule="auto"/>
              <w:ind w:left="0" w:right="0" w:firstLine="0"/>
              <w:jc w:val="left"/>
              <w:rPr>
                <w:rtl w:val="0"/>
              </w:rPr>
            </w:pPr>
            <w:r>
              <w:rPr>
                <w:outline w:val="0"/>
                <w:u w:color="000000"/>
                <w:rtl w:val="0"/>
                <w:lang w:val="en-US"/>
              </w:rPr>
              <w:t>73D83</w:t>
            </w:r>
          </w:p>
        </w:tc>
      </w:tr>
      <w:tr>
        <w:tblPrEx>
          <w:shd w:val="clear" w:color="auto" w:fill="cadfff"/>
        </w:tblPrEx>
        <w:trPr>
          <w:trHeight w:val="610" w:hRule="atLeast"/>
        </w:trPr>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8a6d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b w:val="1"/>
                <w:bCs w:val="1"/>
                <w:color w:val="ffffff"/>
                <w:u w:color="000000"/>
                <w:rtl w:val="0"/>
                <w:lang w:val="en-US"/>
              </w:rPr>
              <w:t>Business Classification / Size:</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widowControl w:val="0"/>
              <w:bidi w:val="0"/>
              <w:spacing w:before="60" w:after="60" w:line="240" w:lineRule="auto"/>
              <w:ind w:left="0" w:right="0" w:firstLine="0"/>
              <w:jc w:val="left"/>
              <w:rPr>
                <w:rtl w:val="0"/>
              </w:rPr>
            </w:pPr>
            <w:r>
              <w:rPr>
                <w:u w:color="000000"/>
                <w:rtl w:val="0"/>
                <w:lang w:val="en-US"/>
              </w:rPr>
              <w:t>8(a) small business</w:t>
            </w:r>
          </w:p>
        </w:tc>
      </w:tr>
      <w:tr>
        <w:tblPrEx>
          <w:shd w:val="clear" w:color="auto" w:fill="cadfff"/>
        </w:tblPrEx>
        <w:trPr>
          <w:trHeight w:val="610" w:hRule="atLeast"/>
        </w:trPr>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8a6d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b w:val="1"/>
                <w:bCs w:val="1"/>
                <w:color w:val="ffffff"/>
                <w:u w:color="000000"/>
                <w:rtl w:val="0"/>
                <w:lang w:val="en-US"/>
              </w:rPr>
              <w:t>Point of Contact:</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pStyle w:val="Body"/>
              <w:widowControl w:val="0"/>
              <w:bidi w:val="0"/>
              <w:spacing w:before="60" w:after="60" w:line="240" w:lineRule="auto"/>
              <w:ind w:left="0" w:right="0" w:firstLine="0"/>
              <w:jc w:val="left"/>
              <w:rPr>
                <w:rtl w:val="0"/>
              </w:rPr>
            </w:pPr>
            <w:r>
              <w:rPr>
                <w:outline w:val="0"/>
                <w:u w:color="000000"/>
                <w:rtl w:val="0"/>
                <w:lang w:val="en-US"/>
              </w:rPr>
              <w:t>Timothy J. Fitzgerald, Chief Operating Officer</w:t>
            </w:r>
            <w:r>
              <w:rPr>
                <w:outline w:val="0"/>
                <w:u w:color="000000"/>
                <w:rtl w:val="0"/>
                <w:lang w:val="en-US"/>
              </w:rPr>
              <w:br w:type="textWrapping"/>
            </w:r>
            <w:r>
              <w:rPr>
                <w:rStyle w:val="Hyperlink.1"/>
                <w:u w:color="000000"/>
                <w:rtl w:val="0"/>
              </w:rPr>
              <w:fldChar w:fldCharType="begin" w:fldLock="0"/>
            </w:r>
            <w:r>
              <w:rPr>
                <w:rStyle w:val="Hyperlink.1"/>
                <w:u w:color="000000"/>
                <w:rtl w:val="0"/>
              </w:rPr>
              <w:instrText xml:space="preserve"> HYPERLINK "mailto:tim.Fitzgerald@Hunatek.com"</w:instrText>
            </w:r>
            <w:r>
              <w:rPr>
                <w:rStyle w:val="Hyperlink.1"/>
                <w:u w:color="000000"/>
                <w:rtl w:val="0"/>
              </w:rPr>
              <w:fldChar w:fldCharType="separate" w:fldLock="0"/>
            </w:r>
            <w:r>
              <w:rPr>
                <w:rStyle w:val="Hyperlink.1"/>
                <w:u w:color="000000"/>
                <w:rtl w:val="0"/>
                <w:lang w:val="en-US"/>
              </w:rPr>
              <w:t>tim.fitzgerald@hunatek.com</w:t>
            </w:r>
            <w:r>
              <w:rPr>
                <w:u w:color="000000"/>
                <w:rtl w:val="0"/>
              </w:rPr>
              <w:fldChar w:fldCharType="end" w:fldLock="0"/>
            </w:r>
          </w:p>
        </w:tc>
      </w:tr>
    </w:tbl>
    <w:p>
      <w:pPr>
        <w:pStyle w:val="Body"/>
        <w:bidi w:val="0"/>
      </w:pPr>
      <w:r>
        <w:drawing>
          <wp:anchor distT="152400" distB="152400" distL="152400" distR="152400" simplePos="0" relativeHeight="251661312" behindDoc="0" locked="0" layoutInCell="1" allowOverlap="1">
            <wp:simplePos x="0" y="0"/>
            <wp:positionH relativeFrom="page">
              <wp:posOffset>2506662</wp:posOffset>
            </wp:positionH>
            <wp:positionV relativeFrom="page">
              <wp:posOffset>7457955</wp:posOffset>
            </wp:positionV>
            <wp:extent cx="4344935" cy="1488844"/>
            <wp:effectExtent l="0" t="0" r="0" b="0"/>
            <wp:wrapThrough wrapText="bothSides" distL="152400" distR="152400">
              <wp:wrapPolygon edited="1">
                <wp:start x="-32" y="-92"/>
                <wp:lineTo x="-32" y="0"/>
                <wp:lineTo x="-32" y="21598"/>
                <wp:lineTo x="-32" y="21690"/>
                <wp:lineTo x="0" y="21690"/>
                <wp:lineTo x="21600" y="21690"/>
                <wp:lineTo x="21632" y="21690"/>
                <wp:lineTo x="21632" y="21598"/>
                <wp:lineTo x="21632" y="0"/>
                <wp:lineTo x="21632" y="-92"/>
                <wp:lineTo x="21600" y="-92"/>
                <wp:lineTo x="0" y="-92"/>
                <wp:lineTo x="-32" y="-92"/>
              </wp:wrapPolygon>
            </wp:wrapThrough>
            <wp:docPr id="1073741826" name="officeArt object" descr="Picture 26"/>
            <wp:cNvGraphicFramePr/>
            <a:graphic xmlns:a="http://schemas.openxmlformats.org/drawingml/2006/main">
              <a:graphicData uri="http://schemas.openxmlformats.org/drawingml/2006/picture">
                <pic:pic xmlns:pic="http://schemas.openxmlformats.org/drawingml/2006/picture">
                  <pic:nvPicPr>
                    <pic:cNvPr id="1073741826" name="Picture 26" descr="Picture 26"/>
                    <pic:cNvPicPr>
                      <a:picLocks noChangeAspect="1"/>
                    </pic:cNvPicPr>
                  </pic:nvPicPr>
                  <pic:blipFill>
                    <a:blip r:embed="rId7">
                      <a:extLst/>
                    </a:blip>
                    <a:srcRect l="39897" t="51923" r="39348" b="31088"/>
                    <a:stretch>
                      <a:fillRect/>
                    </a:stretch>
                  </pic:blipFill>
                  <pic:spPr>
                    <a:xfrm>
                      <a:off x="0" y="0"/>
                      <a:ext cx="4344935" cy="1488844"/>
                    </a:xfrm>
                    <a:prstGeom prst="rect">
                      <a:avLst/>
                    </a:prstGeom>
                    <a:ln w="12700" cap="flat">
                      <a:solidFill>
                        <a:srgbClr val="000000"/>
                      </a:solidFill>
                      <a:prstDash val="solid"/>
                      <a:miter lim="400000"/>
                    </a:ln>
                    <a:effectLst/>
                  </pic:spPr>
                </pic:pic>
              </a:graphicData>
            </a:graphic>
          </wp:anchor>
        </w:drawing>
      </w:r>
    </w:p>
    <w:p>
      <w:pPr>
        <w:pStyle w:val="Heading"/>
        <w:bidi w:val="0"/>
      </w:pPr>
      <w:bookmarkStart w:name="_Toc" w:id="0"/>
      <w:r>
        <w:rPr>
          <w:rFonts w:cs="Arial Unicode MS" w:eastAsia="Arial Unicode MS"/>
          <w:rtl w:val="0"/>
          <w:lang w:val="en-US"/>
        </w:rPr>
        <w:t>Company Overview</w:t>
      </w:r>
      <w:bookmarkEnd w:id="0"/>
    </w:p>
    <w:p>
      <w:pPr>
        <w:pStyle w:val="Body"/>
        <w:bidi w:val="0"/>
      </w:pPr>
      <w:r>
        <w:rPr>
          <w:rFonts w:cs="Arial Unicode MS" w:eastAsia="Arial Unicode MS"/>
          <w:rtl w:val="0"/>
          <w:lang w:val="en-US"/>
        </w:rPr>
        <w:t xml:space="preserve">HunaTek Professional Services (HunaTek) is </w:t>
      </w:r>
      <w:r>
        <w:rPr>
          <w:rFonts w:cs="Arial Unicode MS" w:eastAsia="Arial Unicode MS"/>
          <w:rtl w:val="0"/>
          <w:lang w:val="en-US"/>
        </w:rPr>
        <w:t xml:space="preserve">one component of </w:t>
      </w:r>
      <w:r>
        <w:rPr>
          <w:rFonts w:cs="Arial Unicode MS" w:eastAsia="Arial Unicode MS"/>
          <w:rtl w:val="0"/>
          <w:lang w:val="en-US"/>
        </w:rPr>
        <w:t>a portfolio of 8(a) Alaska Native Corporation (ANC)-owned Small Disadvantaged Business entities held and governed by HunaTek Holding, LLC</w:t>
      </w:r>
      <w:r>
        <w:rPr>
          <w:rFonts w:cs="Arial Unicode MS" w:eastAsia="Arial Unicode MS"/>
          <w:rtl w:val="0"/>
          <w:lang w:val="en-US"/>
        </w:rPr>
        <w:t>. W</w:t>
      </w:r>
      <w:r>
        <w:rPr>
          <w:rFonts w:cs="Arial Unicode MS" w:eastAsia="Arial Unicode MS"/>
          <w:rtl w:val="0"/>
          <w:lang w:val="en-US"/>
        </w:rPr>
        <w:t>e appreciate this opportunity to respond to the Department of Education</w:t>
      </w:r>
      <w:r>
        <w:rPr>
          <w:rFonts w:cs="Arial Unicode MS" w:eastAsia="Arial Unicode MS" w:hint="default"/>
          <w:rtl w:val="1"/>
        </w:rPr>
        <w:t>’</w:t>
      </w:r>
      <w:r>
        <w:rPr>
          <w:rFonts w:cs="Arial Unicode MS" w:eastAsia="Arial Unicode MS"/>
          <w:rtl w:val="0"/>
          <w:lang w:val="en-US"/>
        </w:rPr>
        <w:t xml:space="preserve">s HEP/CAMP Technical Assistance Support market research requirement. HunaTek has its principle place of business at 13900 Lincoln Park Drive, Suite 350, Herndon, VA 20171. </w:t>
      </w:r>
    </w:p>
    <w:p>
      <w:pPr>
        <w:pStyle w:val="Body"/>
        <w:bidi w:val="0"/>
      </w:pPr>
      <w:r>
        <w:rPr>
          <w:rFonts w:cs="Arial Unicode MS" w:eastAsia="Arial Unicode MS"/>
          <w:rtl w:val="0"/>
          <w:lang w:val="en-US"/>
        </w:rPr>
        <w:t>HunaTek holds the following contract vehicles: 8(a) STARS III, GSA Multiple Award Scheduled (MAS, formerly Schedule 70) and FAA eFAST. HunaTek</w:t>
      </w:r>
      <w:r>
        <w:rPr>
          <w:rFonts w:cs="Arial Unicode MS" w:eastAsia="Arial Unicode MS" w:hint="default"/>
          <w:rtl w:val="1"/>
        </w:rPr>
        <w:t>’</w:t>
      </w:r>
      <w:r>
        <w:rPr>
          <w:rFonts w:cs="Arial Unicode MS" w:eastAsia="Arial Unicode MS"/>
          <w:rtl w:val="0"/>
          <w:lang w:val="en-US"/>
        </w:rPr>
        <w:t>s registration in the System for Award Management (SAM) is current and complete</w:t>
      </w:r>
      <w:r>
        <w:rPr>
          <w:rFonts w:cs="Arial Unicode MS" w:eastAsia="Arial Unicode MS"/>
          <w:rtl w:val="0"/>
          <w:lang w:val="en-US"/>
        </w:rPr>
        <w:t>.</w:t>
      </w:r>
    </w:p>
    <w:p>
      <w:pPr>
        <w:pStyle w:val="Body"/>
        <w:bidi w:val="0"/>
      </w:pPr>
      <w:r>
        <w:rPr>
          <w:rFonts w:cs="Arial Unicode MS" w:eastAsia="Arial Unicode MS"/>
          <w:rtl w:val="0"/>
        </w:rPr>
        <w:t xml:space="preserve">HunaTek </w:t>
      </w:r>
      <w:r>
        <w:rPr>
          <w:rFonts w:cs="Arial Unicode MS" w:eastAsia="Arial Unicode MS"/>
          <w:rtl w:val="0"/>
          <w:lang w:val="en-US"/>
        </w:rPr>
        <w:t xml:space="preserve">is an excellent choice to lead this effort </w:t>
      </w:r>
      <w:r>
        <w:rPr>
          <w:rFonts w:cs="Arial Unicode MS" w:eastAsia="Arial Unicode MS"/>
          <w:rtl w:val="0"/>
          <w:lang w:val="en-US"/>
        </w:rPr>
        <w:t>because of our outstanding track record. HunaTek</w:t>
      </w:r>
      <w:r>
        <w:rPr>
          <w:rFonts w:cs="Arial Unicode MS" w:eastAsia="Arial Unicode MS" w:hint="default"/>
          <w:rtl w:val="1"/>
        </w:rPr>
        <w:t>’</w:t>
      </w:r>
      <w:r>
        <w:rPr>
          <w:rFonts w:cs="Arial Unicode MS" w:eastAsia="Arial Unicode MS"/>
          <w:rtl w:val="0"/>
          <w:lang w:val="en-US"/>
        </w:rPr>
        <w:t xml:space="preserve">s ability to </w:t>
      </w:r>
      <w:r>
        <w:rPr>
          <w:rFonts w:cs="Arial Unicode MS" w:eastAsia="Arial Unicode MS"/>
          <w:rtl w:val="0"/>
          <w:lang w:val="en-US"/>
        </w:rPr>
        <w:t>meet government requirements</w:t>
      </w:r>
      <w:r>
        <w:rPr>
          <w:rFonts w:cs="Arial Unicode MS" w:eastAsia="Arial Unicode MS"/>
          <w:rtl w:val="0"/>
        </w:rPr>
        <w:t xml:space="preserve"> </w:t>
      </w:r>
      <w:r>
        <w:rPr>
          <w:rFonts w:cs="Arial Unicode MS" w:eastAsia="Arial Unicode MS"/>
          <w:rtl w:val="0"/>
          <w:lang w:val="en-US"/>
        </w:rPr>
        <w:t xml:space="preserve">is predicated on an approach refined over years of work at federal agencies. As previously described, the HunaTek Project Management Toolkit is a set of </w:t>
      </w:r>
      <w:r>
        <w:rPr>
          <w:rFonts w:cs="Arial Unicode MS" w:eastAsia="Arial Unicode MS"/>
          <w:rtl w:val="0"/>
          <w:lang w:val="en-US"/>
        </w:rPr>
        <w:t>methodolog</w:t>
      </w:r>
      <w:r>
        <w:rPr>
          <w:rFonts w:cs="Arial Unicode MS" w:eastAsia="Arial Unicode MS"/>
          <w:rtl w:val="0"/>
          <w:lang w:val="en-US"/>
        </w:rPr>
        <w:t xml:space="preserve">ies and </w:t>
      </w:r>
      <w:r>
        <w:rPr>
          <w:rFonts w:cs="Arial Unicode MS" w:eastAsia="Arial Unicode MS"/>
          <w:rtl w:val="0"/>
          <w:lang w:val="pt-PT"/>
        </w:rPr>
        <w:t>processes</w:t>
      </w:r>
      <w:r>
        <w:rPr>
          <w:rFonts w:cs="Arial Unicode MS" w:eastAsia="Arial Unicode MS"/>
          <w:rtl w:val="0"/>
          <w:lang w:val="en-US"/>
        </w:rPr>
        <w:t xml:space="preserve"> use by our experienced staff</w:t>
      </w:r>
      <w:r>
        <w:rPr>
          <w:rFonts w:cs="Arial Unicode MS" w:eastAsia="Arial Unicode MS"/>
          <w:rtl w:val="0"/>
          <w:lang w:val="en-US"/>
        </w:rPr>
        <w:t xml:space="preserve"> to </w:t>
      </w:r>
      <w:r>
        <w:rPr>
          <w:rFonts w:cs="Arial Unicode MS" w:eastAsia="Arial Unicode MS"/>
          <w:rtl w:val="0"/>
          <w:lang w:val="en-US"/>
        </w:rPr>
        <w:t xml:space="preserve">achieve mission objectives. It </w:t>
      </w:r>
      <w:r>
        <w:rPr>
          <w:rFonts w:cs="Arial Unicode MS" w:eastAsia="Arial Unicode MS"/>
          <w:rtl w:val="0"/>
          <w:lang w:val="en-US"/>
        </w:rPr>
        <w:t>is based on a these factors:</w:t>
      </w:r>
    </w:p>
    <w:p>
      <w:pPr>
        <w:pStyle w:val="Body"/>
        <w:numPr>
          <w:ilvl w:val="1"/>
          <w:numId w:val="2"/>
        </w:numPr>
        <w:bidi w:val="0"/>
      </w:pPr>
      <w:r>
        <w:rPr>
          <w:rFonts w:cs="Arial Unicode MS" w:eastAsia="Arial Unicode MS"/>
          <w:rtl w:val="0"/>
          <w:lang w:val="en-US"/>
        </w:rPr>
        <w:t xml:space="preserve">Professional lessons learned, enabling the authors of this response (subject matter experts in </w:t>
      </w:r>
      <w:r>
        <w:rPr>
          <w:rFonts w:cs="Arial Unicode MS" w:eastAsia="Arial Unicode MS"/>
          <w:rtl w:val="0"/>
          <w:lang w:val="en-US"/>
        </w:rPr>
        <w:t>various relevant areas</w:t>
      </w:r>
      <w:r>
        <w:rPr>
          <w:rFonts w:cs="Arial Unicode MS" w:eastAsia="Arial Unicode MS"/>
          <w:rtl w:val="0"/>
          <w:lang w:val="en-US"/>
        </w:rPr>
        <w:t>) to make a basic order of magnitude estimate utilizing industry-standard guidelines moderated by our real-world experiences;</w:t>
      </w:r>
    </w:p>
    <w:p>
      <w:pPr>
        <w:pStyle w:val="Body"/>
        <w:numPr>
          <w:ilvl w:val="1"/>
          <w:numId w:val="2"/>
        </w:numPr>
        <w:bidi w:val="0"/>
      </w:pPr>
      <w:r>
        <w:rPr>
          <w:rFonts w:cs="Arial Unicode MS" w:eastAsia="Arial Unicode MS"/>
          <w:rtl w:val="0"/>
          <w:lang w:val="en-US"/>
        </w:rPr>
        <w:t xml:space="preserve">Expert judgment </w:t>
      </w:r>
      <w:r>
        <w:rPr>
          <w:rFonts w:cs="Arial Unicode MS" w:eastAsia="Arial Unicode MS" w:hint="default"/>
          <w:rtl w:val="0"/>
          <w:lang w:val="en-US"/>
        </w:rPr>
        <w:t xml:space="preserve">— </w:t>
      </w:r>
      <w:r>
        <w:rPr>
          <w:rFonts w:cs="Arial Unicode MS" w:eastAsia="Arial Unicode MS"/>
          <w:rtl w:val="0"/>
          <w:lang w:val="en-US"/>
        </w:rPr>
        <w:t xml:space="preserve">from hands-on experience and understanding of the project requirements, based on our understanding of what the </w:t>
      </w:r>
      <w:r>
        <w:rPr>
          <w:rFonts w:cs="Arial Unicode MS" w:eastAsia="Arial Unicode MS"/>
          <w:rtl w:val="0"/>
          <w:lang w:val="en-US"/>
        </w:rPr>
        <w:t>U.S. Department of State</w:t>
      </w:r>
      <w:r>
        <w:rPr>
          <w:rFonts w:cs="Arial Unicode MS" w:eastAsia="Arial Unicode MS"/>
          <w:rtl w:val="0"/>
          <w:lang w:val="en-US"/>
        </w:rPr>
        <w:t xml:space="preserve"> requires to be delivered; and</w:t>
      </w:r>
    </w:p>
    <w:p>
      <w:pPr>
        <w:pStyle w:val="Body"/>
        <w:numPr>
          <w:ilvl w:val="1"/>
          <w:numId w:val="2"/>
        </w:numPr>
        <w:bidi w:val="0"/>
      </w:pPr>
      <w:r>
        <w:rPr>
          <w:rFonts w:cs="Arial Unicode MS" w:eastAsia="Arial Unicode MS"/>
          <w:rtl w:val="0"/>
          <w:lang w:val="en-US"/>
        </w:rPr>
        <w:t>Parametric model estimating, a scientific method that auto-calculates estimates using detailed data from previous activities.</w:t>
      </w:r>
    </w:p>
    <w:p>
      <w:pPr>
        <w:pStyle w:val="Body"/>
        <w:bidi w:val="0"/>
      </w:pPr>
      <w:r>
        <w:rPr>
          <w:rFonts w:cs="Arial Unicode MS" w:eastAsia="Arial Unicode MS"/>
          <w:rtl w:val="0"/>
          <w:lang w:val="en-US"/>
        </w:rPr>
        <w:t xml:space="preserve">Eliminate performance risk with HunaTek. We achieve 100% performance success, thanks to the HunaTek Project Management Toolkit. Our </w:t>
      </w:r>
      <w:r>
        <w:rPr>
          <w:rFonts w:cs="Arial Unicode MS" w:eastAsia="Arial Unicode MS"/>
          <w:rtl w:val="0"/>
          <w:lang w:val="en-US"/>
        </w:rPr>
        <w:t>regularly scheduled reporting methods provide near-real time visibility into our performance, enabling us to identify any key performance indicators (KPI) that are trending towards the threshold of a negative variance before it impacts program delivery. Thus, we are able to provide complete transparency to the OME/HEP and recommend process improvements that deliver measurable increases in performance and customer satisfaction in supporting event management and attendee support services requirements.</w:t>
      </w:r>
      <w:r>
        <w:drawing>
          <wp:anchor distT="76200" distB="76200" distL="76200" distR="76200" simplePos="0" relativeHeight="251662336" behindDoc="0" locked="0" layoutInCell="1" allowOverlap="1">
            <wp:simplePos x="0" y="0"/>
            <wp:positionH relativeFrom="margin">
              <wp:posOffset>526097</wp:posOffset>
            </wp:positionH>
            <wp:positionV relativeFrom="line">
              <wp:posOffset>252268</wp:posOffset>
            </wp:positionV>
            <wp:extent cx="4878705" cy="3557271"/>
            <wp:effectExtent l="0" t="0" r="0" b="0"/>
            <wp:wrapTopAndBottom distT="76200" distB="7620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8">
                      <a:extLst/>
                    </a:blip>
                    <a:stretch>
                      <a:fillRect/>
                    </a:stretch>
                  </pic:blipFill>
                  <pic:spPr>
                    <a:xfrm>
                      <a:off x="0" y="0"/>
                      <a:ext cx="4878705" cy="3557271"/>
                    </a:xfrm>
                    <a:prstGeom prst="rect">
                      <a:avLst/>
                    </a:prstGeom>
                    <a:ln w="12700" cap="flat">
                      <a:noFill/>
                      <a:miter lim="400000"/>
                    </a:ln>
                    <a:effectLst/>
                  </pic:spPr>
                </pic:pic>
              </a:graphicData>
            </a:graphic>
          </wp:anchor>
        </w:drawing>
      </w:r>
      <w:r>
        <w:rPr>
          <w:rFonts w:cs="Arial Unicode MS" w:eastAsia="Arial Unicode MS"/>
          <w:rtl w:val="0"/>
        </w:rPr>
        <w:t xml:space="preserve"> </w:t>
      </w:r>
    </w:p>
    <w:p>
      <w:pPr>
        <w:pStyle w:val="Body"/>
        <w:bidi w:val="0"/>
      </w:pPr>
      <w:r>
        <w:rPr>
          <w:rFonts w:cs="Arial Unicode MS" w:eastAsia="Arial Unicode MS"/>
          <w:rtl w:val="0"/>
          <w:lang w:val="en-US"/>
        </w:rPr>
        <w:t xml:space="preserve">The </w:t>
      </w:r>
      <w:r>
        <w:rPr>
          <w:rFonts w:cs="Arial Unicode MS" w:eastAsia="Arial Unicode MS"/>
          <w:rtl w:val="0"/>
          <w:lang w:val="en-US"/>
        </w:rPr>
        <w:t xml:space="preserve">HunaTek Project Management Toolkit framework is based on best practices such as Project Management Body of Knowledge (PMBOK), ISO 9001:2015, </w:t>
      </w:r>
      <w:r>
        <w:rPr>
          <w:rFonts w:cs="Arial Unicode MS" w:eastAsia="Arial Unicode MS"/>
          <w:rtl w:val="0"/>
          <w:lang w:val="en-US"/>
        </w:rPr>
        <w:t xml:space="preserve">CMMI L3, </w:t>
      </w:r>
      <w:r>
        <w:rPr>
          <w:rFonts w:cs="Arial Unicode MS" w:eastAsia="Arial Unicode MS"/>
          <w:rtl w:val="0"/>
          <w:lang w:val="en-US"/>
        </w:rPr>
        <w:t>and ITIL v3. HunaTek provides peer-reviewed process improvement to ensure new procedures completely align with Department of Education (DoED) and other federal recommended standard</w:t>
      </w:r>
      <w:r>
        <w:rPr>
          <w:rFonts w:cs="Arial Unicode MS" w:eastAsia="Arial Unicode MS"/>
          <w:rtl w:val="0"/>
          <w:lang w:val="en-US"/>
        </w:rPr>
        <w:t xml:space="preserve">s. We </w:t>
      </w:r>
      <w:r>
        <w:rPr>
          <w:rFonts w:cs="Arial Unicode MS" w:eastAsia="Arial Unicode MS"/>
          <w:rtl w:val="0"/>
          <w:lang w:val="en-US"/>
        </w:rPr>
        <w:t>provid</w:t>
      </w:r>
      <w:r>
        <w:rPr>
          <w:rFonts w:cs="Arial Unicode MS" w:eastAsia="Arial Unicode MS"/>
          <w:rtl w:val="0"/>
          <w:lang w:val="en-US"/>
        </w:rPr>
        <w:t>e</w:t>
      </w:r>
      <w:r>
        <w:rPr>
          <w:rFonts w:cs="Arial Unicode MS" w:eastAsia="Arial Unicode MS"/>
          <w:rtl w:val="0"/>
          <w:lang w:val="en-US"/>
        </w:rPr>
        <w:t xml:space="preserve"> a professional team to support SMEs and others in the served community with </w:t>
      </w:r>
      <w:r>
        <w:rPr>
          <w:rFonts w:cs="Arial Unicode MS" w:eastAsia="Arial Unicode MS" w:hint="default"/>
          <w:rtl w:val="1"/>
          <w:lang w:val="ar-SA" w:bidi="ar-SA"/>
        </w:rPr>
        <w:t>“</w:t>
      </w:r>
      <w:r>
        <w:rPr>
          <w:rFonts w:cs="Arial Unicode MS" w:eastAsia="Arial Unicode MS"/>
          <w:rtl w:val="0"/>
          <w:lang w:val="en-US"/>
        </w:rPr>
        <w:t>white glove</w:t>
      </w:r>
      <w:r>
        <w:rPr>
          <w:rFonts w:cs="Arial Unicode MS" w:eastAsia="Arial Unicode MS" w:hint="default"/>
          <w:rtl w:val="0"/>
        </w:rPr>
        <w:t xml:space="preserve">” </w:t>
      </w:r>
      <w:r>
        <w:rPr>
          <w:rFonts w:cs="Arial Unicode MS" w:eastAsia="Arial Unicode MS"/>
          <w:rtl w:val="0"/>
          <w:lang w:val="en-US"/>
        </w:rPr>
        <w:t>service</w:t>
      </w:r>
      <w:r>
        <w:rPr>
          <w:rFonts w:cs="Arial Unicode MS" w:eastAsia="Arial Unicode MS"/>
          <w:rtl w:val="0"/>
          <w:lang w:val="en-US"/>
        </w:rPr>
        <w:t>:</w:t>
      </w:r>
      <w:r>
        <w:rPr>
          <w:rFonts w:cs="Arial Unicode MS" w:eastAsia="Arial Unicode MS"/>
          <w:rtl w:val="0"/>
          <w:lang w:val="en-US"/>
        </w:rPr>
        <w:t xml:space="preserve"> updating the customer in a timely manner; making every effort to follow up with the customer within a few hours of receiving the request or other engagement, to let them know you are working on their request; and, providing desk side service if practical.</w:t>
      </w:r>
    </w:p>
    <w:p>
      <w:pPr>
        <w:pStyle w:val="Heading"/>
        <w:bidi w:val="0"/>
      </w:pPr>
      <w:bookmarkStart w:name="_Toc1" w:id="1"/>
      <w:r>
        <w:rPr>
          <w:rFonts w:cs="Arial Unicode MS" w:eastAsia="Arial Unicode MS"/>
          <w:rtl w:val="0"/>
          <w:lang w:val="en-US"/>
        </w:rPr>
        <w:t>Capability</w:t>
      </w:r>
      <w:r>
        <w:rPr>
          <w:rFonts w:cs="Arial Unicode MS" w:eastAsia="Arial Unicode MS"/>
          <w:rtl w:val="0"/>
          <w:lang w:val="en-US"/>
        </w:rPr>
        <w:t xml:space="preserve"> to Provide T</w:t>
      </w:r>
      <w:r>
        <w:rPr>
          <w:rFonts w:cs="Arial Unicode MS" w:eastAsia="Arial Unicode MS"/>
          <w:rtl w:val="0"/>
          <w:lang w:val="en-US"/>
        </w:rPr>
        <w:t xml:space="preserve">echnical </w:t>
      </w:r>
      <w:r>
        <w:rPr>
          <w:rFonts w:cs="Arial Unicode MS" w:eastAsia="Arial Unicode MS"/>
          <w:rtl w:val="0"/>
          <w:lang w:val="en-US"/>
        </w:rPr>
        <w:t>A</w:t>
      </w:r>
      <w:r>
        <w:rPr>
          <w:rFonts w:cs="Arial Unicode MS" w:eastAsia="Arial Unicode MS"/>
          <w:rtl w:val="0"/>
          <w:lang w:val="en-US"/>
        </w:rPr>
        <w:t xml:space="preserve">ssistance to HEP and CAMP grantees </w:t>
      </w:r>
      <w:bookmarkEnd w:id="1"/>
    </w:p>
    <w:p>
      <w:pPr>
        <w:pStyle w:val="Body"/>
        <w:bidi w:val="0"/>
      </w:pPr>
      <w:r>
        <w:rPr>
          <w:rFonts w:cs="Arial Unicode MS" w:eastAsia="Arial Unicode MS"/>
          <w:rtl w:val="0"/>
        </w:rPr>
        <w:t>HunaTek</w:t>
      </w:r>
      <w:r>
        <w:rPr>
          <w:rFonts w:cs="Arial Unicode MS" w:eastAsia="Arial Unicode MS" w:hint="default"/>
          <w:rtl w:val="1"/>
        </w:rPr>
        <w:t>’</w:t>
      </w:r>
      <w:r>
        <w:rPr>
          <w:rFonts w:cs="Arial Unicode MS" w:eastAsia="Arial Unicode MS"/>
          <w:rtl w:val="0"/>
          <w:lang w:val="en-US"/>
        </w:rPr>
        <w:t xml:space="preserve">s performance approach to successfully employ our substantial task-related capabilities with innovative processes and tools. We undertake to proactively manage our services and the workforce that provide them, in alignment with Office of Migrant Education High School Equivalency Program (HEP) and College Assistance Migrant Program (CAMP) needs, as articulated in the draft Performance Work Statement (PWS). </w:t>
      </w:r>
    </w:p>
    <w:p>
      <w:pPr>
        <w:pStyle w:val="Body"/>
        <w:bidi w:val="0"/>
      </w:pPr>
      <w:r>
        <w:rPr>
          <w:rFonts w:cs="Arial Unicode MS" w:eastAsia="Arial Unicode MS"/>
          <w:rtl w:val="0"/>
          <w:lang w:val="en-US"/>
        </w:rPr>
        <w:t xml:space="preserve">The HunaTek approach </w:t>
      </w:r>
      <w:r>
        <w:rPr>
          <w:rFonts w:cs="Arial Unicode MS" w:eastAsia="Arial Unicode MS" w:hint="default"/>
          <w:rtl w:val="0"/>
          <w:lang w:val="en-US"/>
        </w:rPr>
        <w:t>—</w:t>
      </w:r>
      <w:r>
        <w:rPr>
          <w:rFonts w:cs="Arial Unicode MS" w:eastAsia="Arial Unicode MS"/>
          <w:rtl w:val="0"/>
          <w:lang w:val="en-US"/>
        </w:rPr>
        <w:t xml:space="preserve"> how we implement out methodology </w:t>
      </w:r>
      <w:r>
        <w:rPr>
          <w:rFonts w:cs="Arial Unicode MS" w:eastAsia="Arial Unicode MS" w:hint="default"/>
          <w:rtl w:val="0"/>
          <w:lang w:val="en-US"/>
        </w:rPr>
        <w:t>—</w:t>
      </w:r>
      <w:r>
        <w:rPr>
          <w:rFonts w:cs="Arial Unicode MS" w:eastAsia="Arial Unicode MS"/>
          <w:rtl w:val="0"/>
          <w:lang w:val="en-US"/>
        </w:rPr>
        <w:t xml:space="preserve"> is summarized in five steps: Our PM and support staff work with the event owner to understand the purpose and refine the agenda. This creates the bounds for the needed assets, technology, venue specifics, and other logistical details. We then identify the participant (audience), set a schedule for the meeting and Distribute the Agenda. HunaTek then executes against our blueprint to support the meeting. Post-meeting, we assign action items to improve what we implemented as AV/IT and other support. We then create, distribute and archive the minutes, and, finally, analyze activity and implement changes. In support of the OME/HEP our staff will maintain the events calendar and all documentation relative to booking events. This includes call logs, email communication with clients and the government coordination team, event folders, event reports and post event data.</w:t>
      </w:r>
    </w:p>
    <w:p>
      <w:pPr>
        <w:pStyle w:val="Body"/>
        <w:bidi w:val="0"/>
      </w:pPr>
      <w:r>
        <w:rPr>
          <w:rFonts w:cs="Arial Unicode MS" w:eastAsia="Arial Unicode MS"/>
          <w:rtl w:val="0"/>
        </w:rPr>
        <w:t>HunaTek</w:t>
      </w:r>
      <w:r>
        <w:rPr>
          <w:rFonts w:cs="Arial Unicode MS" w:eastAsia="Arial Unicode MS" w:hint="default"/>
          <w:rtl w:val="1"/>
        </w:rPr>
        <w:t>’</w:t>
      </w:r>
      <w:r>
        <w:rPr>
          <w:rFonts w:cs="Arial Unicode MS" w:eastAsia="Arial Unicode MS"/>
          <w:rtl w:val="0"/>
          <w:lang w:val="en-US"/>
        </w:rPr>
        <w:t xml:space="preserve">s program management team uses common tools (such as Microsoft Project) and processes (such as Transition, Estimating, Risk Management, Communication, and Reporting Processes) to enable a mature Project Management Institute (PMI)-based Program Management Process that is structured, documented, and repeatable. Our PMs apply program management disciplines to plan, schedule, organize, and deploy resources; control task execution; monitor and report on progress; and manage and resolve risks and issues. Our mature accounting system and procedures ensure timely and proper billing and accurate timekeeping. We abide by all applicable Federal laws, regulations, policies, and procedures as they apply to the Department of Education as a whole or deeper within its organizational structure such as the Office of Elementary &amp; Secondary Education as well as its Office of Migrant Education. </w:t>
      </w:r>
      <w:r>
        <w:rPr>
          <w:rFonts w:cs="Arial Unicode MS" w:eastAsia="Arial Unicode MS" w:hint="default"/>
          <w:rtl w:val="0"/>
        </w:rPr>
        <w:t>  </w:t>
      </w:r>
    </w:p>
    <w:p>
      <w:pPr>
        <w:pStyle w:val="Body"/>
        <w:bidi w:val="0"/>
      </w:pPr>
      <w:r>
        <w:rPr>
          <w:rFonts w:cs="Arial Unicode MS" w:eastAsia="Arial Unicode MS"/>
          <w:rtl w:val="0"/>
          <w:lang w:val="en-US"/>
        </w:rPr>
        <w:t>The guiding document for governance of HunaTek Programs is the Program Management Plan (PMP). The PMP documents the various management areas methodology, tasks, schedule, allocated resources, and interrelationships with other plans and Standard Operating Procedures (SOPs). It provides details on the required functional units, operational tasks, and deliverable, milestone, and review activities.</w:t>
      </w:r>
      <w:r>
        <w:rPr>
          <w:rFonts w:cs="Arial Unicode MS" w:eastAsia="Arial Unicode MS" w:hint="default"/>
          <w:rtl w:val="0"/>
        </w:rPr>
        <w:t>  </w:t>
      </w:r>
    </w:p>
    <w:p>
      <w:pPr>
        <w:pStyle w:val="Body"/>
        <w:bidi w:val="0"/>
      </w:pPr>
      <w:r>
        <w:rPr>
          <w:rFonts w:cs="Arial Unicode MS" w:eastAsia="Arial Unicode MS"/>
          <w:rtl w:val="0"/>
          <w:lang w:val="en-US"/>
        </w:rPr>
        <w:t>For example, for a recent event, we quickly sourced from our pool of approved vendors the video and still photography required, reliving in the same day production and editing of a final multimedia presentation. We will provide support to the COR in defining clients</w:t>
      </w:r>
      <w:r>
        <w:rPr>
          <w:rFonts w:cs="Arial Unicode MS" w:eastAsia="Arial Unicode MS" w:hint="default"/>
          <w:rtl w:val="1"/>
        </w:rPr>
        <w:t xml:space="preserve">’ </w:t>
      </w:r>
      <w:r>
        <w:rPr>
          <w:rFonts w:cs="Arial Unicode MS" w:eastAsia="Arial Unicode MS"/>
          <w:rtl w:val="0"/>
          <w:lang w:val="en-US"/>
        </w:rPr>
        <w:t>requirements and matching the appropriate OME/HEP tools to meet these requirements. When a meeting, exercise, demonstration, or experiment is scheduled, our staff coordinates with our customer and the sponsoring organization to write support plans that are part of the overall requirement. These plans include the units supported and how systems and applications will be used in the event, as well as cost, schedule and performance factors. During the meeting, experiment, exercise, or demonstration our team also provides daily updates/reports identifying potential risks and uncertainties, as well as their mitigations.</w:t>
      </w:r>
    </w:p>
    <w:p>
      <w:pPr>
        <w:pStyle w:val="Body"/>
        <w:bidi w:val="0"/>
      </w:pPr>
      <w:r>
        <w:rPr>
          <w:rStyle w:val="None"/>
          <w:rFonts w:cs="Arial Unicode MS" w:eastAsia="Arial Unicode MS"/>
          <w:b w:val="1"/>
          <w:bCs w:val="1"/>
          <w:i w:val="1"/>
          <w:iCs w:val="1"/>
          <w:u w:val="single"/>
          <w:rtl w:val="0"/>
          <w:lang w:val="en-US"/>
        </w:rPr>
        <w:t>Project Management</w:t>
      </w:r>
      <w:r>
        <w:rPr>
          <w:rFonts w:cs="Arial Unicode MS" w:eastAsia="Arial Unicode MS"/>
          <w:rtl w:val="0"/>
          <w:lang w:val="en-US"/>
        </w:rPr>
        <w:t xml:space="preserve"> (Tasks 1.x) </w:t>
      </w:r>
      <w:r>
        <w:rPr>
          <w:rFonts w:cs="Arial Unicode MS" w:eastAsia="Arial Unicode MS" w:hint="default"/>
          <w:rtl w:val="0"/>
          <w:lang w:val="en-US"/>
        </w:rPr>
        <w:t xml:space="preserve">— </w:t>
      </w:r>
      <w:r>
        <w:rPr>
          <w:rFonts w:cs="Arial Unicode MS" w:eastAsia="Arial Unicode MS"/>
          <w:rtl w:val="0"/>
          <w:lang w:val="en-US"/>
        </w:rPr>
        <w:t>Our agile project management methodology, the HunaTek Project Management Toolkit, is available to HunaTek project manager</w:t>
      </w:r>
      <w:r>
        <w:rPr>
          <w:rFonts w:cs="Arial Unicode MS" w:eastAsia="Arial Unicode MS"/>
          <w:rtl w:val="0"/>
          <w:lang w:val="en-US"/>
        </w:rPr>
        <w:t>s to help</w:t>
      </w:r>
      <w:r>
        <w:rPr>
          <w:rFonts w:cs="Arial Unicode MS" w:eastAsia="Arial Unicode MS"/>
          <w:rtl w:val="0"/>
          <w:lang w:val="en-US"/>
        </w:rPr>
        <w:t xml:space="preserve"> address how HunaTek will work with the government</w:t>
      </w:r>
      <w:r>
        <w:rPr>
          <w:rFonts w:cs="Arial Unicode MS" w:eastAsia="Arial Unicode MS" w:hint="default"/>
          <w:rtl w:val="1"/>
        </w:rPr>
        <w:t>’</w:t>
      </w:r>
      <w:r>
        <w:rPr>
          <w:rFonts w:cs="Arial Unicode MS" w:eastAsia="Arial Unicode MS"/>
          <w:rtl w:val="0"/>
          <w:lang w:val="en-US"/>
        </w:rPr>
        <w:t xml:space="preserve">s designated </w:t>
      </w:r>
      <w:r>
        <w:rPr>
          <w:rFonts w:cs="Arial Unicode MS" w:eastAsia="Arial Unicode MS"/>
          <w:rtl w:val="0"/>
          <w:lang w:val="en-US"/>
        </w:rPr>
        <w:t>technical representative</w:t>
      </w:r>
      <w:r>
        <w:rPr>
          <w:rFonts w:cs="Arial Unicode MS" w:eastAsia="Arial Unicode MS"/>
          <w:rtl w:val="0"/>
          <w:lang w:val="en-US"/>
        </w:rPr>
        <w:t xml:space="preserve"> to monitor the status and progress of work, make adjustments in accordance with established priorities, and request guidance from the </w:t>
      </w:r>
      <w:r>
        <w:rPr>
          <w:rFonts w:cs="Arial Unicode MS" w:eastAsia="Arial Unicode MS"/>
          <w:rtl w:val="0"/>
          <w:lang w:val="en-US"/>
        </w:rPr>
        <w:t>contracting officer</w:t>
      </w:r>
      <w:r>
        <w:rPr>
          <w:rFonts w:cs="Arial Unicode MS" w:eastAsia="Arial Unicode MS"/>
          <w:rtl w:val="0"/>
          <w:lang w:val="en-US"/>
        </w:rPr>
        <w:t xml:space="preserve"> on major issues that may arise. We will also estimate and report on expected milestones for the completion of tasks and maintain records of work accomplishments according to the deliverable schedules </w:t>
      </w:r>
      <w:r>
        <w:rPr>
          <w:rFonts w:cs="Arial Unicode MS" w:eastAsia="Arial Unicode MS" w:hint="default"/>
          <w:rtl w:val="0"/>
          <w:lang w:val="en-US"/>
        </w:rPr>
        <w:t xml:space="preserve">— </w:t>
      </w:r>
      <w:r>
        <w:rPr>
          <w:rFonts w:cs="Arial Unicode MS" w:eastAsia="Arial Unicode MS"/>
          <w:rtl w:val="0"/>
          <w:lang w:val="en-US"/>
        </w:rPr>
        <w:t xml:space="preserve">using our online Virtual Program Management Office (vPMO) web-based portal. </w:t>
      </w:r>
    </w:p>
    <w:p>
      <w:pPr>
        <w:pStyle w:val="Body"/>
        <w:bidi w:val="0"/>
      </w:pPr>
      <w:r>
        <w:rPr>
          <w:rFonts w:cs="Arial Unicode MS" w:eastAsia="Arial Unicode MS"/>
          <w:rtl w:val="0"/>
          <w:lang w:val="en-US"/>
        </w:rPr>
        <w:t>A cornerstone of the HunaTek Project Management Toolkit is t</w:t>
      </w:r>
      <w:r>
        <w:rPr>
          <w:rFonts w:cs="Arial Unicode MS" w:eastAsia="Arial Unicode MS"/>
          <w:rtl w:val="0"/>
          <w:lang w:val="en-US"/>
        </w:rPr>
        <w:t>he Work Breakdown Structure (WBS)</w:t>
      </w:r>
      <w:r>
        <w:rPr>
          <w:rFonts w:cs="Arial Unicode MS" w:eastAsia="Arial Unicode MS"/>
          <w:rtl w:val="0"/>
          <w:lang w:val="en-US"/>
        </w:rPr>
        <w:t>, which</w:t>
      </w:r>
      <w:r>
        <w:rPr>
          <w:rFonts w:cs="Arial Unicode MS" w:eastAsia="Arial Unicode MS"/>
          <w:rtl w:val="0"/>
          <w:lang w:val="en-US"/>
        </w:rPr>
        <w:t xml:space="preserve"> establishes the framework for: defining the work to be accomplished; construction of an overall plan; and, summarizing the cost and schedule status of a project for progressively higher levels of management. HunaTek provides another advantage over our competition, in the manner in which we relate detailed tasks to successively higher order objectives. We focus on the deliverable end items and their components. The lowest levels are </w:t>
      </w:r>
      <w:r>
        <w:rPr>
          <w:rFonts w:cs="Arial Unicode MS" w:eastAsia="Arial Unicode MS" w:hint="default"/>
          <w:rtl w:val="1"/>
          <w:lang w:val="ar-SA" w:bidi="ar-SA"/>
        </w:rPr>
        <w:t>“</w:t>
      </w:r>
      <w:r>
        <w:rPr>
          <w:rFonts w:cs="Arial Unicode MS" w:eastAsia="Arial Unicode MS"/>
          <w:rtl w:val="0"/>
          <w:lang w:val="en-US"/>
        </w:rPr>
        <w:t>work packages</w:t>
      </w:r>
      <w:r>
        <w:rPr>
          <w:rFonts w:cs="Arial Unicode MS" w:eastAsia="Arial Unicode MS" w:hint="default"/>
          <w:rtl w:val="0"/>
        </w:rPr>
        <w:t xml:space="preserve">” </w:t>
      </w:r>
      <w:r>
        <w:rPr>
          <w:rFonts w:cs="Arial Unicode MS" w:eastAsia="Arial Unicode MS"/>
          <w:rtl w:val="0"/>
          <w:lang w:val="en-US"/>
        </w:rPr>
        <w:t>which consists of a set of activities related to cost purposes, for ease of audit and budget management.</w:t>
      </w:r>
    </w:p>
    <w:p>
      <w:pPr>
        <w:pStyle w:val="Body"/>
        <w:bidi w:val="0"/>
      </w:pPr>
      <w:r>
        <w:rPr>
          <w:rFonts w:cs="Arial Unicode MS" w:eastAsia="Arial Unicode MS"/>
          <w:rtl w:val="0"/>
          <w:lang w:val="en-US"/>
        </w:rPr>
        <w:t xml:space="preserve">HunaTek in-house training supports the informal techniques within our Project Management Toolkit. One example is the automated </w:t>
      </w:r>
      <w:r>
        <w:rPr>
          <w:rFonts w:cs="Arial Unicode MS" w:eastAsia="Arial Unicode MS" w:hint="default"/>
          <w:rtl w:val="1"/>
          <w:lang w:val="ar-SA" w:bidi="ar-SA"/>
        </w:rPr>
        <w:t>“</w:t>
      </w:r>
      <w:r>
        <w:rPr>
          <w:rFonts w:cs="Arial Unicode MS" w:eastAsia="Arial Unicode MS"/>
          <w:rtl w:val="0"/>
          <w:lang w:val="de-DE"/>
        </w:rPr>
        <w:t>Tickler File,</w:t>
      </w:r>
      <w:r>
        <w:rPr>
          <w:rFonts w:cs="Arial Unicode MS" w:eastAsia="Arial Unicode MS" w:hint="default"/>
          <w:rtl w:val="0"/>
        </w:rPr>
        <w:t xml:space="preserve">” </w:t>
      </w:r>
      <w:r>
        <w:rPr>
          <w:rFonts w:cs="Arial Unicode MS" w:eastAsia="Arial Unicode MS"/>
          <w:rtl w:val="0"/>
          <w:lang w:val="en-US"/>
        </w:rPr>
        <w:t xml:space="preserve">often maintained by the project manager in the vPMO as a checklist. The items are filed by date of action, and may note </w:t>
      </w:r>
      <w:r>
        <w:rPr>
          <w:rFonts w:cs="Arial Unicode MS" w:eastAsia="Arial Unicode MS" w:hint="default"/>
          <w:rtl w:val="1"/>
          <w:lang w:val="ar-SA" w:bidi="ar-SA"/>
        </w:rPr>
        <w:t>“</w:t>
      </w:r>
      <w:r>
        <w:rPr>
          <w:rFonts w:cs="Arial Unicode MS" w:eastAsia="Arial Unicode MS"/>
          <w:rtl w:val="0"/>
          <w:lang w:val="en-US"/>
        </w:rPr>
        <w:t>receive a report, prepare a report, or accomplish an objective.</w:t>
      </w:r>
      <w:r>
        <w:rPr>
          <w:rFonts w:cs="Arial Unicode MS" w:eastAsia="Arial Unicode MS" w:hint="default"/>
          <w:rtl w:val="0"/>
        </w:rPr>
        <w:t xml:space="preserve">” </w:t>
      </w:r>
      <w:r>
        <w:rPr>
          <w:rFonts w:cs="Arial Unicode MS" w:eastAsia="Arial Unicode MS"/>
          <w:rtl w:val="0"/>
          <w:lang w:val="en-US"/>
        </w:rPr>
        <w:t>Another technique is knowledge passed on via on-the-job-training, or woven into our on-boarding training, to aid project managers in gaining higher levels of skill.</w:t>
      </w:r>
    </w:p>
    <w:p>
      <w:pPr>
        <w:pStyle w:val="Body"/>
        <w:bidi w:val="0"/>
      </w:pPr>
      <w:r>
        <w:rPr>
          <w:rFonts w:cs="Arial Unicode MS" w:eastAsia="Arial Unicode MS"/>
          <w:rtl w:val="0"/>
          <w:lang w:val="en-US"/>
        </w:rPr>
        <w:t>Another key differentiator for HunaTek is our early notification SOP. Identifying and notifying the respective stakeholder of potential problems and proposed mitigations in day-to-day support for the Government is a critical function with accountability shared across our entire contract team. Early notification of potential problems is addressed and communicated as part of our risk management process and QC process within our PMP. We integrate QC into all our work products and deliverables, and as a result, potential problems are identified early. If we see errors or problems, we catch them early with our continuous QC reviews. We mitigate risk by implementing a QC process that ensures multiple reviews prior to final delivery of a work product.</w:t>
      </w:r>
    </w:p>
    <w:p>
      <w:pPr>
        <w:pStyle w:val="Body"/>
        <w:bidi w:val="0"/>
      </w:pPr>
      <w:r>
        <w:rPr>
          <w:rFonts w:cs="Arial Unicode MS" w:eastAsia="Arial Unicode MS"/>
          <w:rtl w:val="0"/>
          <w:lang w:val="en-US"/>
        </w:rPr>
        <w:t xml:space="preserve">They will assume the overarching role of Risk Coordinator to validate, review, and ensure all team personnel identify and provide early notification of potential problems. Security is the other aspect of ensuring execution of such a project that brings to tether so many individuals </w:t>
      </w:r>
      <w:r>
        <w:rPr>
          <w:rFonts w:cs="Arial Unicode MS" w:eastAsia="Arial Unicode MS" w:hint="default"/>
          <w:rtl w:val="0"/>
          <w:lang w:val="en-US"/>
        </w:rPr>
        <w:t xml:space="preserve">— </w:t>
      </w:r>
      <w:r>
        <w:rPr>
          <w:rFonts w:cs="Arial Unicode MS" w:eastAsia="Arial Unicode MS"/>
          <w:rtl w:val="0"/>
          <w:lang w:val="en-US"/>
        </w:rPr>
        <w:t>physical security as well as information security. HunaTek will ensure that information generated under the work for this contract will not be disseminated to any group, organization or individual other than those authorized under work assignments.</w:t>
      </w:r>
      <w:r>
        <w:rPr>
          <w:rFonts w:cs="Arial Unicode MS" w:eastAsia="Arial Unicode MS"/>
          <w:rtl w:val="0"/>
          <w:lang w:val="en-US"/>
        </w:rPr>
        <w:t xml:space="preserve"> </w:t>
      </w:r>
      <w:r>
        <w:rPr>
          <w:rFonts w:cs="Arial Unicode MS" w:eastAsia="Arial Unicode MS"/>
          <w:rtl w:val="0"/>
          <w:lang w:val="en-US"/>
        </w:rPr>
        <w:t xml:space="preserve">To achieve this, we implement an approach based on Quality Assurance (QA) and Quality Control (QC) as two independent but interrelated functions. Our QA/QC starts with a plan focused on two primary functions: (1) the assessment of the quality of outputs (accuracy and precision) measured with KPIs, and, (2) the activities that maintain or improve service delivery quality. Without slowing the flow of work, we have established quality control checks and procedures to review valid samples of work at critical stages in the workflow to determine the accuracy of our work before it proceeds to the next stage. </w:t>
      </w:r>
    </w:p>
    <w:p>
      <w:pPr>
        <w:pStyle w:val="Body"/>
        <w:bidi w:val="0"/>
      </w:pPr>
      <w:r>
        <w:rPr>
          <w:rStyle w:val="None"/>
          <w:rFonts w:cs="Arial Unicode MS" w:eastAsia="Arial Unicode MS"/>
          <w:b w:val="1"/>
          <w:bCs w:val="1"/>
          <w:i w:val="1"/>
          <w:iCs w:val="1"/>
          <w:u w:val="single"/>
          <w:rtl w:val="0"/>
          <w:lang w:val="en-US"/>
        </w:rPr>
        <w:t xml:space="preserve">Meeting Planning and Support (Tasks 2.x) </w:t>
      </w:r>
      <w:r>
        <w:rPr>
          <w:rStyle w:val="None"/>
          <w:rFonts w:cs="Arial Unicode MS" w:eastAsia="Arial Unicode MS" w:hint="default"/>
          <w:b w:val="1"/>
          <w:bCs w:val="1"/>
          <w:i w:val="1"/>
          <w:iCs w:val="1"/>
          <w:u w:val="single"/>
          <w:rtl w:val="0"/>
          <w:lang w:val="en-US"/>
        </w:rPr>
        <w:t xml:space="preserve">— </w:t>
      </w:r>
      <w:r>
        <w:rPr>
          <w:rFonts w:cs="Arial Unicode MS" w:eastAsia="Arial Unicode MS"/>
          <w:rtl w:val="0"/>
          <w:lang w:val="en-US"/>
        </w:rPr>
        <w:t xml:space="preserve">Logistics support will also include our team formulating draft analyses, presentations, notes, assessments and other material on various technical topics, as required, for use by the OME/HEP. As part of our day-to-day operations, we will conduct end of day checks of the safe log to assure that GSA-approved safes are physically secured. We will author analyses, presentations, notes, assessments, and other material on various technical topics, as required, for use by the OME/HEP. We ensure deliverables in PDF format are Section 508 compliant, as well as any materials intended for publishing on the World Wide Web. We provide logistic personnel to support the government operations, procurement and shipment of program material. HunaTek has provided research and technical documentation of equipment needed for support programs for various Navy operations, and we understand how to assist in the preparation of the material requirements of Navy operations. </w:t>
      </w:r>
    </w:p>
    <w:p>
      <w:pPr>
        <w:pStyle w:val="Body"/>
        <w:bidi w:val="0"/>
      </w:pPr>
      <w:r>
        <w:rPr>
          <w:rFonts w:cs="Arial Unicode MS" w:eastAsia="Arial Unicode MS"/>
          <w:rtl w:val="0"/>
          <w:lang w:val="en-US"/>
        </w:rPr>
        <w:t xml:space="preserve">Based on </w:t>
      </w:r>
      <w:r>
        <w:rPr>
          <w:rFonts w:cs="Arial Unicode MS" w:eastAsia="Arial Unicode MS"/>
          <w:rtl w:val="0"/>
          <w:lang w:val="en-US"/>
        </w:rPr>
        <w:t xml:space="preserve">our extensive </w:t>
      </w:r>
      <w:r>
        <w:rPr>
          <w:rFonts w:cs="Arial Unicode MS" w:eastAsia="Arial Unicode MS"/>
          <w:rtl w:val="0"/>
          <w:lang w:val="en-US"/>
        </w:rPr>
        <w:t xml:space="preserve">experience, HunaTek is able to provide superior inventory support for contract requirements and material tracking. Because of our expertise with asset management, we will maintain accurate inventory on all AV/VTC systems including spare parts. Our team will scan and electronically file documents as required, providing quality control for layout or technical drawings, security sign-off layout drawings, signed registration lists, letters of appreciation, awards, and facility and safe end-of-day check-out logs. </w:t>
      </w:r>
    </w:p>
    <w:p>
      <w:pPr>
        <w:pStyle w:val="Body"/>
        <w:bidi w:val="0"/>
      </w:pPr>
      <w:r>
        <w:rPr>
          <w:rFonts w:cs="Arial Unicode MS" w:eastAsia="Arial Unicode MS"/>
          <w:rtl w:val="0"/>
          <w:lang w:val="en-US"/>
        </w:rPr>
        <w:t>HunaTek has provided relevant functional event support in the planning, coordinating and executing meetings, exercises, and demonstrations. Our methodology is based on an event management blueprint.</w:t>
      </w:r>
      <w:r>
        <w:rPr>
          <w:rFonts w:cs="Arial Unicode MS" w:eastAsia="Arial Unicode MS" w:hint="default"/>
          <w:rtl w:val="0"/>
        </w:rPr>
        <w:t> </w:t>
      </w:r>
      <w:r>
        <w:rPr>
          <w:rFonts w:cs="Arial Unicode MS" w:eastAsia="Arial Unicode MS"/>
          <w:rtl w:val="0"/>
          <w:lang w:val="en-US"/>
        </w:rPr>
        <w:t>The blueprint is a combination of all things that make up our implementation of OME/HEP</w:t>
      </w:r>
      <w:r>
        <w:rPr>
          <w:rFonts w:cs="Arial Unicode MS" w:eastAsia="Arial Unicode MS" w:hint="default"/>
          <w:rtl w:val="1"/>
        </w:rPr>
        <w:t>’</w:t>
      </w:r>
      <w:r>
        <w:rPr>
          <w:rFonts w:cs="Arial Unicode MS" w:eastAsia="Arial Unicode MS"/>
          <w:rtl w:val="0"/>
          <w:lang w:val="en-US"/>
        </w:rPr>
        <w:t xml:space="preserve">s event management processes and definitions. These items will include a set of checklists of the pre-event (planning) requirements and preparation, asset and logistical management, customer support during the event life cycle, and associated operational processes. Our blueprint is the detail behind this process, the </w:t>
      </w:r>
      <w:r>
        <w:rPr>
          <w:rFonts w:cs="Arial Unicode MS" w:eastAsia="Arial Unicode MS" w:hint="default"/>
          <w:rtl w:val="1"/>
          <w:lang w:val="ar-SA" w:bidi="ar-SA"/>
        </w:rPr>
        <w:t>“</w:t>
      </w:r>
      <w:r>
        <w:rPr>
          <w:rFonts w:cs="Arial Unicode MS" w:eastAsia="Arial Unicode MS"/>
          <w:rtl w:val="0"/>
        </w:rPr>
        <w:t>how</w:t>
      </w:r>
      <w:r>
        <w:rPr>
          <w:rFonts w:cs="Arial Unicode MS" w:eastAsia="Arial Unicode MS" w:hint="default"/>
          <w:rtl w:val="0"/>
        </w:rPr>
        <w:t xml:space="preserve">” </w:t>
      </w:r>
      <w:r>
        <w:rPr>
          <w:rFonts w:cs="Arial Unicode MS" w:eastAsia="Arial Unicode MS"/>
          <w:rtl w:val="0"/>
          <w:lang w:val="en-US"/>
        </w:rPr>
        <w:t xml:space="preserve">behind the methodology. Our value-add is the consistency and quality we deliver by institutionalizing this framework </w:t>
      </w:r>
      <w:r>
        <w:rPr>
          <w:rFonts w:cs="Arial Unicode MS" w:eastAsia="Arial Unicode MS" w:hint="default"/>
          <w:rtl w:val="0"/>
          <w:lang w:val="en-US"/>
        </w:rPr>
        <w:t>—</w:t>
      </w:r>
      <w:r>
        <w:rPr>
          <w:rFonts w:cs="Arial Unicode MS" w:eastAsia="Arial Unicode MS"/>
          <w:rtl w:val="0"/>
          <w:lang w:val="en-US"/>
        </w:rPr>
        <w:t xml:space="preserve"> a framework that can be improved continuously, while our blueprint ensures every event is planned and executed efficiently. HunaTek currently supports event planning and execution for other customers. Our team is experienced with event management for activities hosted on a Government site as well as offsite events at a one of our Contractor facilities. We understand the provision of support for events and meeting planning, addressing attendee support with a significant team available via our surge/bench support human resources processes. Our event planning support regularly includes multiple rooms with technicians and event personnel present for the entirety of the event to support the government</w:t>
      </w:r>
      <w:r>
        <w:rPr>
          <w:rFonts w:cs="Arial Unicode MS" w:eastAsia="Arial Unicode MS" w:hint="default"/>
          <w:rtl w:val="1"/>
        </w:rPr>
        <w:t>’</w:t>
      </w:r>
      <w:r>
        <w:rPr>
          <w:rFonts w:cs="Arial Unicode MS" w:eastAsia="Arial Unicode MS"/>
          <w:rtl w:val="0"/>
          <w:lang w:val="en-US"/>
        </w:rPr>
        <w:t xml:space="preserve">s administrative and technical requirements. </w:t>
      </w:r>
    </w:p>
    <w:tbl>
      <w:tblPr>
        <w:tblpPr w:vertAnchor="page" w:horzAnchor="page" w:tblpY="3331" w:tblpX="5984" w:leftFromText="0" w:topFromText="0" w:rightFromText="0" w:bottomFromText="0"/>
        <w:tblW w:w="5040" w:type="dxa"/>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040"/>
      </w:tblGrid>
      <w:tr>
        <w:tblPrEx>
          <w:shd w:val="clear" w:color="auto" w:fill="ced7e7"/>
        </w:tblPrEx>
        <w:trPr>
          <w:trHeight w:val="305" w:hRule="atLeast"/>
        </w:trPr>
        <w:tc>
          <w:tcPr>
            <w:tcW w:type="dxa" w:w="5040"/>
            <w:tcBorders>
              <w:top w:val="single" w:color="808080" w:sz="4" w:space="0" w:shadow="0" w:frame="0"/>
              <w:left w:val="single" w:color="808080" w:sz="4" w:space="0" w:shadow="0" w:frame="0"/>
              <w:bottom w:val="nil"/>
              <w:right w:val="single" w:color="808080" w:sz="4" w:space="0" w:shadow="0" w:frame="0"/>
            </w:tcBorders>
            <w:shd w:val="clear" w:color="auto" w:fill="38a7df"/>
            <w:tcMar>
              <w:top w:type="dxa" w:w="80"/>
              <w:left w:type="dxa" w:w="80"/>
              <w:bottom w:type="dxa" w:w="80"/>
              <w:right w:type="dxa" w:w="80"/>
            </w:tcMar>
            <w:vAlign w:val="center"/>
          </w:tcPr>
          <w:p>
            <w:pPr>
              <w:keepNext w:val="0"/>
              <w:keepLines w:val="0"/>
              <w:pageBreakBefore w:val="0"/>
              <w:widowControl w:val="0"/>
              <w:shd w:val="clear" w:color="auto" w:fill="auto"/>
              <w:tabs>
                <w:tab w:val="left" w:pos="630"/>
              </w:tabs>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4"/>
                <w:szCs w:val="24"/>
                <w:u w:val="none" w:color="ffffff"/>
                <w:vertAlign w:val="baseline"/>
                <w:rtl w:val="0"/>
                <w:lang w:val="en-US"/>
              </w:rPr>
              <w:t xml:space="preserve">HunaTek </w:t>
            </w:r>
            <w:r>
              <w:rPr>
                <w:rFonts w:ascii="Times New Roman" w:cs="Arial Unicode MS" w:hAnsi="Times New Roman" w:eastAsia="Arial Unicode MS" w:hint="default"/>
                <w:b w:val="1"/>
                <w:bCs w:val="1"/>
                <w:i w:val="0"/>
                <w:iCs w:val="0"/>
                <w:caps w:val="0"/>
                <w:smallCaps w:val="0"/>
                <w:strike w:val="0"/>
                <w:dstrike w:val="0"/>
                <w:outline w:val="0"/>
                <w:color w:val="ffffff"/>
                <w:spacing w:val="0"/>
                <w:kern w:val="0"/>
                <w:position w:val="0"/>
                <w:sz w:val="24"/>
                <w:szCs w:val="24"/>
                <w:u w:val="none" w:color="ffffff"/>
                <w:vertAlign w:val="baseline"/>
                <w:rtl w:val="0"/>
                <w:lang w:val="en-US"/>
              </w:rPr>
              <w:t xml:space="preserve">– </w:t>
            </w:r>
            <w:r>
              <w:rPr>
                <w:rStyle w:val="None"/>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4"/>
                <w:szCs w:val="24"/>
                <w:u w:val="none" w:color="ffffff"/>
                <w:vertAlign w:val="baseline"/>
                <w:rtl w:val="0"/>
                <w:lang w:val="en-US"/>
              </w:rPr>
              <w:t>Best Value Support</w:t>
            </w:r>
          </w:p>
        </w:tc>
      </w:tr>
      <w:tr>
        <w:tblPrEx>
          <w:shd w:val="clear" w:color="auto" w:fill="ced7e7"/>
        </w:tblPrEx>
        <w:trPr>
          <w:trHeight w:val="3526" w:hRule="atLeast"/>
        </w:trPr>
        <w:tc>
          <w:tcPr>
            <w:tcW w:type="dxa" w:w="5040"/>
            <w:tcBorders>
              <w:top w:val="nil"/>
              <w:left w:val="single" w:color="808080" w:sz="4" w:space="0" w:shadow="0" w:frame="0"/>
              <w:bottom w:val="single" w:color="808080" w:sz="4" w:space="0" w:shadow="0" w:frame="0"/>
              <w:right w:val="single" w:color="808080" w:sz="4" w:space="0" w:shadow="0" w:frame="0"/>
            </w:tcBorders>
            <w:shd w:val="clear" w:color="auto" w:fill="ffffff"/>
            <w:tcMar>
              <w:top w:type="dxa" w:w="80"/>
              <w:left w:type="dxa" w:w="80"/>
              <w:bottom w:type="dxa" w:w="80"/>
              <w:right w:type="dxa" w:w="80"/>
            </w:tcMar>
            <w:vAlign w:val="top"/>
          </w:tcPr>
          <w:p>
            <w:pPr>
              <w:pStyle w:val="Default"/>
              <w:numPr>
                <w:ilvl w:val="0"/>
                <w:numId w:val="3"/>
              </w:numPr>
              <w:bidi w:val="0"/>
              <w:spacing w:before="0" w:after="40" w:line="240" w:lineRule="auto"/>
              <w:ind w:right="0"/>
              <w:jc w:val="left"/>
              <w:rPr>
                <w:outline w:val="0"/>
                <w:sz w:val="22"/>
                <w:szCs w:val="22"/>
                <w:u w:color="000000"/>
                <w:rtl w:val="0"/>
                <w:lang w:val="en-US"/>
              </w:rPr>
            </w:pPr>
            <w:r>
              <w:rPr>
                <w:rStyle w:val="None"/>
                <w:outline w:val="0"/>
                <w:sz w:val="22"/>
                <w:szCs w:val="22"/>
                <w:u w:color="000000"/>
                <w:rtl w:val="0"/>
                <w:lang w:val="en-US"/>
              </w:rPr>
              <w:t>Quality</w:t>
            </w:r>
            <w:r>
              <w:rPr>
                <w:rStyle w:val="None"/>
                <w:outline w:val="0"/>
                <w:sz w:val="22"/>
                <w:szCs w:val="22"/>
                <w:u w:color="000000"/>
                <w:rtl w:val="0"/>
                <w:lang w:val="en-US"/>
              </w:rPr>
              <w:t xml:space="preserve"> in-place personnel who are </w:t>
            </w:r>
            <w:r>
              <w:rPr>
                <w:rStyle w:val="None"/>
                <w:outline w:val="0"/>
                <w:sz w:val="22"/>
                <w:szCs w:val="22"/>
                <w:u w:color="000000"/>
                <w:rtl w:val="0"/>
                <w:lang w:val="en-US"/>
              </w:rPr>
              <w:t>experienced</w:t>
            </w:r>
            <w:r>
              <w:rPr>
                <w:rStyle w:val="None"/>
                <w:outline w:val="0"/>
                <w:sz w:val="22"/>
                <w:szCs w:val="22"/>
                <w:u w:color="000000"/>
                <w:rtl w:val="0"/>
                <w:lang w:val="en-US"/>
              </w:rPr>
              <w:t xml:space="preserve">; they are </w:t>
            </w:r>
            <w:r>
              <w:rPr>
                <w:rStyle w:val="None"/>
                <w:outline w:val="0"/>
                <w:sz w:val="22"/>
                <w:szCs w:val="22"/>
                <w:u w:color="000000"/>
                <w:rtl w:val="0"/>
                <w:lang w:val="en-US"/>
              </w:rPr>
              <w:t>available to be activated on contract award</w:t>
            </w:r>
            <w:r>
              <w:rPr>
                <w:rStyle w:val="None"/>
                <w:outline w:val="0"/>
                <w:sz w:val="22"/>
                <w:szCs w:val="22"/>
                <w:u w:color="000000"/>
                <w:rtl w:val="0"/>
                <w:lang w:val="en-US"/>
              </w:rPr>
              <w:t>.</w:t>
            </w:r>
          </w:p>
          <w:p>
            <w:pPr>
              <w:pStyle w:val="Default"/>
              <w:numPr>
                <w:ilvl w:val="0"/>
                <w:numId w:val="3"/>
              </w:numPr>
              <w:spacing w:before="0" w:after="40" w:line="240" w:lineRule="auto"/>
              <w:jc w:val="left"/>
              <w:rPr>
                <w:outline w:val="0"/>
                <w:sz w:val="22"/>
                <w:szCs w:val="22"/>
                <w:u w:color="000000"/>
                <w:lang w:val="en-US"/>
              </w:rPr>
            </w:pPr>
            <w:r>
              <w:rPr>
                <w:rStyle w:val="None"/>
                <w:outline w:val="0"/>
                <w:sz w:val="22"/>
                <w:szCs w:val="22"/>
                <w:u w:color="000000"/>
                <w:rtl w:val="0"/>
                <w:lang w:val="en-US"/>
              </w:rPr>
              <w:t xml:space="preserve">More than a decade </w:t>
            </w:r>
            <w:r>
              <w:rPr>
                <w:rStyle w:val="None"/>
                <w:outline w:val="0"/>
                <w:sz w:val="22"/>
                <w:szCs w:val="22"/>
                <w:u w:color="000000"/>
                <w:rtl w:val="0"/>
                <w:lang w:val="en-US"/>
              </w:rPr>
              <w:t xml:space="preserve">proven track record </w:t>
            </w:r>
            <w:r>
              <w:rPr>
                <w:rStyle w:val="None"/>
                <w:outline w:val="0"/>
                <w:sz w:val="22"/>
                <w:szCs w:val="22"/>
                <w:u w:color="000000"/>
                <w:rtl w:val="0"/>
                <w:lang w:val="en-US"/>
              </w:rPr>
              <w:t>serving federal agencies</w:t>
            </w:r>
            <w:r>
              <w:rPr>
                <w:rStyle w:val="None"/>
                <w:outline w:val="0"/>
                <w:sz w:val="22"/>
                <w:szCs w:val="22"/>
                <w:u w:color="000000"/>
                <w:rtl w:val="0"/>
                <w:lang w:val="en-US"/>
              </w:rPr>
              <w:t>.</w:t>
            </w:r>
          </w:p>
          <w:p>
            <w:pPr>
              <w:pStyle w:val="Default"/>
              <w:numPr>
                <w:ilvl w:val="0"/>
                <w:numId w:val="3"/>
              </w:numPr>
              <w:spacing w:before="0" w:after="40" w:line="240" w:lineRule="auto"/>
              <w:jc w:val="left"/>
              <w:rPr>
                <w:outline w:val="0"/>
                <w:sz w:val="22"/>
                <w:szCs w:val="22"/>
                <w:u w:color="000000"/>
                <w:lang w:val="en-US"/>
              </w:rPr>
            </w:pPr>
            <w:r>
              <w:rPr>
                <w:rStyle w:val="None"/>
                <w:outline w:val="0"/>
                <w:sz w:val="22"/>
                <w:szCs w:val="22"/>
                <w:u w:color="000000"/>
                <w:rtl w:val="0"/>
                <w:lang w:val="en-US"/>
              </w:rPr>
              <w:t>Reach back technical support capability</w:t>
            </w:r>
            <w:r>
              <w:rPr>
                <w:rStyle w:val="None"/>
                <w:outline w:val="0"/>
                <w:sz w:val="22"/>
                <w:szCs w:val="22"/>
                <w:u w:color="000000"/>
                <w:rtl w:val="0"/>
                <w:lang w:val="en-US"/>
              </w:rPr>
              <w:t xml:space="preserve"> and corporate resources to ensure exceptional execution, no matter what </w:t>
            </w:r>
            <w:r>
              <w:rPr>
                <w:rStyle w:val="None"/>
                <w:outline w:val="0"/>
                <w:sz w:val="22"/>
                <w:szCs w:val="22"/>
                <w:u w:color="000000"/>
                <w:rtl w:val="0"/>
                <w:lang w:val="en-US"/>
              </w:rPr>
              <w:t>“</w:t>
            </w:r>
            <w:r>
              <w:rPr>
                <w:rStyle w:val="None"/>
                <w:outline w:val="0"/>
                <w:sz w:val="22"/>
                <w:szCs w:val="22"/>
                <w:u w:color="000000"/>
                <w:rtl w:val="0"/>
                <w:lang w:val="en-US"/>
              </w:rPr>
              <w:t>curve balls</w:t>
            </w:r>
            <w:r>
              <w:rPr>
                <w:rStyle w:val="None"/>
                <w:outline w:val="0"/>
                <w:sz w:val="22"/>
                <w:szCs w:val="22"/>
                <w:u w:color="000000"/>
                <w:rtl w:val="0"/>
                <w:lang w:val="en-US"/>
              </w:rPr>
              <w:t xml:space="preserve">” </w:t>
            </w:r>
            <w:r>
              <w:rPr>
                <w:rStyle w:val="None"/>
                <w:outline w:val="0"/>
                <w:sz w:val="22"/>
                <w:szCs w:val="22"/>
                <w:u w:color="000000"/>
                <w:rtl w:val="0"/>
                <w:lang w:val="en-US"/>
              </w:rPr>
              <w:t>might come our way.</w:t>
            </w:r>
          </w:p>
          <w:p>
            <w:pPr>
              <w:pStyle w:val="Default"/>
              <w:numPr>
                <w:ilvl w:val="0"/>
                <w:numId w:val="3"/>
              </w:numPr>
              <w:spacing w:before="0" w:after="40" w:line="240" w:lineRule="auto"/>
              <w:jc w:val="left"/>
              <w:rPr>
                <w:outline w:val="0"/>
                <w:color w:val="ff0000"/>
                <w:sz w:val="22"/>
                <w:szCs w:val="22"/>
                <w:u w:color="ff0000"/>
                <w:lang w:val="en-US"/>
              </w:rPr>
            </w:pPr>
            <w:r>
              <w:rPr>
                <w:rStyle w:val="None"/>
                <w:outline w:val="0"/>
                <w:color w:val="000000"/>
                <w:sz w:val="22"/>
                <w:szCs w:val="22"/>
                <w:u w:color="000000"/>
                <w:rtl w:val="0"/>
                <w:lang w:val="en-US"/>
              </w:rPr>
              <w:t xml:space="preserve">Robust infrastructure in </w:t>
            </w:r>
            <w:r>
              <w:rPr>
                <w:rStyle w:val="None"/>
                <w:outline w:val="0"/>
                <w:color w:val="000000"/>
                <w:sz w:val="22"/>
                <w:szCs w:val="22"/>
                <w:u w:color="000000"/>
                <w:rtl w:val="0"/>
                <w:lang w:val="en-US"/>
              </w:rPr>
              <w:t>the Washington DC area; capability and experience to support meetings nationally.</w:t>
            </w:r>
          </w:p>
          <w:p>
            <w:pPr>
              <w:pStyle w:val="Default"/>
              <w:numPr>
                <w:ilvl w:val="0"/>
                <w:numId w:val="4"/>
              </w:numPr>
              <w:spacing w:before="0" w:after="40" w:line="240" w:lineRule="auto"/>
              <w:jc w:val="left"/>
              <w:rPr>
                <w:outline w:val="0"/>
                <w:sz w:val="22"/>
                <w:szCs w:val="22"/>
                <w:u w:color="000000"/>
                <w:lang w:val="en-US"/>
              </w:rPr>
            </w:pPr>
            <w:r>
              <w:rPr>
                <w:rStyle w:val="None"/>
                <w:outline w:val="0"/>
                <w:sz w:val="22"/>
                <w:szCs w:val="22"/>
                <w:u w:color="000000"/>
                <w:rtl w:val="0"/>
                <w:lang w:val="en-US"/>
              </w:rPr>
              <w:t xml:space="preserve">Realistic and competitive pricing ensures skilled personnel throughout the life of the task. </w:t>
            </w:r>
          </w:p>
        </w:tc>
      </w:tr>
    </w:tbl>
    <w:p>
      <w:pPr>
        <w:pStyle w:val="Body"/>
        <w:bidi w:val="0"/>
      </w:pPr>
      <w:r>
        <w:rPr>
          <w:rStyle w:val="None"/>
          <w:rFonts w:cs="Arial Unicode MS" w:eastAsia="Arial Unicode MS"/>
          <w:b w:val="1"/>
          <w:bCs w:val="1"/>
          <w:i w:val="1"/>
          <w:iCs w:val="1"/>
          <w:u w:val="single"/>
          <w:rtl w:val="0"/>
          <w:lang w:val="en-US"/>
        </w:rPr>
        <w:t>Logistics</w:t>
      </w:r>
      <w:r>
        <w:rPr>
          <w:rFonts w:cs="Arial Unicode MS" w:eastAsia="Arial Unicode MS"/>
          <w:rtl w:val="0"/>
          <w:lang w:val="en-US"/>
        </w:rPr>
        <w:t xml:space="preserve"> (Tasks 4.x) </w:t>
      </w:r>
      <w:r>
        <w:rPr>
          <w:rFonts w:cs="Arial Unicode MS" w:eastAsia="Arial Unicode MS" w:hint="default"/>
          <w:rtl w:val="0"/>
          <w:lang w:val="en-US"/>
        </w:rPr>
        <w:t xml:space="preserve">— </w:t>
      </w:r>
      <w:r>
        <w:rPr>
          <w:rFonts w:cs="Arial Unicode MS" w:eastAsia="Arial Unicode MS"/>
          <w:rtl w:val="0"/>
          <w:lang w:val="en-US"/>
        </w:rPr>
        <w:t xml:space="preserve">HunaTek provides administrative support, addressing the planning for execution of events. We coordinate meeting logistics, customer planning, and </w:t>
      </w:r>
      <w:r>
        <w:rPr>
          <w:rFonts w:cs="Arial Unicode MS" w:eastAsia="Arial Unicode MS" w:hint="default"/>
          <w:rtl w:val="1"/>
          <w:lang w:val="ar-SA" w:bidi="ar-SA"/>
        </w:rPr>
        <w:t>“</w:t>
      </w:r>
      <w:r>
        <w:rPr>
          <w:rFonts w:cs="Arial Unicode MS" w:eastAsia="Arial Unicode MS"/>
          <w:rtl w:val="0"/>
          <w:lang w:val="en-US"/>
        </w:rPr>
        <w:t>dry run</w:t>
      </w:r>
      <w:r>
        <w:rPr>
          <w:rFonts w:cs="Arial Unicode MS" w:eastAsia="Arial Unicode MS" w:hint="default"/>
          <w:rtl w:val="0"/>
        </w:rPr>
        <w:t xml:space="preserve">” </w:t>
      </w:r>
      <w:r>
        <w:rPr>
          <w:rFonts w:cs="Arial Unicode MS" w:eastAsia="Arial Unicode MS"/>
          <w:rtl w:val="0"/>
          <w:lang w:val="en-US"/>
        </w:rPr>
        <w:t xml:space="preserve">sessions. Our support team creates required documentation for data calls, explanations, briefs and charts, PowerPoint presentations, and more, as needed. HunaTek corporate reach back means we have the </w:t>
      </w:r>
      <w:r>
        <w:rPr>
          <w:rFonts w:cs="Arial Unicode MS" w:eastAsia="Arial Unicode MS"/>
          <w:rtl w:val="0"/>
          <w:lang w:val="en-US"/>
        </w:rPr>
        <w:t>right personnel</w:t>
      </w:r>
      <w:r>
        <w:rPr>
          <w:rFonts w:cs="Arial Unicode MS" w:eastAsia="Arial Unicode MS"/>
          <w:rtl w:val="0"/>
          <w:lang w:val="en-US"/>
        </w:rPr>
        <w:t xml:space="preserve"> for </w:t>
      </w:r>
      <w:r>
        <w:rPr>
          <w:rFonts w:cs="Arial Unicode MS" w:eastAsia="Arial Unicode MS"/>
          <w:rtl w:val="0"/>
          <w:lang w:val="en-US"/>
        </w:rPr>
        <w:t>research, data retrieval/filtering/compilation and analysis as required.</w:t>
      </w:r>
      <w:r>
        <w:rPr>
          <w:rFonts w:cs="Arial Unicode MS" w:eastAsia="Arial Unicode MS"/>
          <w:rtl w:val="0"/>
          <w:lang w:val="en-US"/>
        </w:rPr>
        <w:t xml:space="preserve"> </w:t>
      </w:r>
      <w:r>
        <w:rPr>
          <w:rFonts w:cs="Arial Unicode MS" w:eastAsia="Arial Unicode MS"/>
          <w:rtl w:val="0"/>
          <w:lang w:val="en-US"/>
        </w:rPr>
        <w:t xml:space="preserve">Administrative support is vitally important to the OME/HEP because SMEs and others will be </w:t>
      </w:r>
      <w:r>
        <w:rPr>
          <w:rFonts w:cs="Arial Unicode MS" w:eastAsia="Arial Unicode MS"/>
          <w:rtl w:val="0"/>
          <w:lang w:val="en-US"/>
        </w:rPr>
        <w:t>the center point of</w:t>
      </w:r>
      <w:r>
        <w:rPr>
          <w:rFonts w:cs="Arial Unicode MS" w:eastAsia="Arial Unicode MS"/>
          <w:rtl w:val="0"/>
          <w:lang w:val="en-US"/>
        </w:rPr>
        <w:t xml:space="preserve"> events. Security most be maintained, and the frictionless execution of meetings (ensured by dry runs) will boost the effectiveness of event outcomes. HunaTek will provide support with our team of experienced technical personnel, meeting the administrative and technical requirements, system types, and other needs of OME/HEP customers. We will attend OME/HEP team/staff meetings, customer planning and dry run meetings, conduct tours of the facility as required, and provide coordination to clients for reserving parking, installation access, and other logistical needs for their event attendees, presenters, and special guests.</w:t>
      </w:r>
    </w:p>
    <w:p>
      <w:pPr>
        <w:pStyle w:val="Body"/>
        <w:bidi w:val="0"/>
      </w:pPr>
      <w:r>
        <w:rPr>
          <w:rFonts w:cs="Arial Unicode MS" w:eastAsia="Arial Unicode MS"/>
          <w:rtl w:val="0"/>
          <w:lang w:val="en-US"/>
        </w:rPr>
        <w:t>Because continuous improvement is a cornerstone of the HunaTek QCP, at the completion of each event, we will prepare a critique sheet for the COR</w:t>
      </w:r>
      <w:r>
        <w:rPr>
          <w:rFonts w:cs="Arial Unicode MS" w:eastAsia="Arial Unicode MS" w:hint="default"/>
          <w:rtl w:val="1"/>
        </w:rPr>
        <w:t>’</w:t>
      </w:r>
      <w:r>
        <w:rPr>
          <w:rFonts w:cs="Arial Unicode MS" w:eastAsia="Arial Unicode MS"/>
          <w:rtl w:val="0"/>
          <w:lang w:val="en-US"/>
        </w:rPr>
        <w:t>s review, with lessons learned, a count of onsite and offsite number of attendees, SME attendees, and notes on event operation, security, and all feedback from the event clients. Through our configuration and asset management system we will track and obtain quotes for maintenance and service contracts for network hardware/software, AV equipment, filtration units and other items as required.</w:t>
      </w:r>
      <w:r>
        <w:rPr>
          <w:rFonts w:cs="Arial Unicode MS" w:eastAsia="Arial Unicode MS"/>
          <w:rtl w:val="0"/>
          <w:lang w:val="en-US"/>
        </w:rPr>
        <w:t xml:space="preserve"> </w:t>
      </w:r>
      <w:r>
        <w:rPr>
          <w:rFonts w:cs="Arial Unicode MS" w:eastAsia="Arial Unicode MS"/>
          <w:rtl w:val="0"/>
          <w:lang w:val="en-US"/>
        </w:rPr>
        <w:t>Our facilities specialists will produce technical documents such as design drawings and performance specifications, obtain quotes from venders, manufacturers and approved sources and compile quote information in spreadsheets to use in the procurement process.</w:t>
      </w:r>
    </w:p>
    <w:p/>
    <w:p>
      <w:pPr>
        <w:pStyle w:val="Body"/>
        <w:bidi w:val="0"/>
      </w:pPr>
      <w:r>
        <w:rPr>
          <w:rFonts w:cs="Arial Unicode MS" w:eastAsia="Arial Unicode MS"/>
          <w:rtl w:val="0"/>
          <w:lang w:val="en-US"/>
        </w:rPr>
        <w:t>HunaTek is able to deliver support for fully integrated communication systems including timing systems, A/V and VTC systems. Based on nearly two decades of experience, we can integrate and deliver any software and hardware assets into the existing A/V and VTC operational network without causing network disruptions. We provide end-to-end event and meeting management and IT enterprise network services, and we understand the processes, technology, and Federal/DOD regulations that drive our customers</w:t>
      </w:r>
      <w:r>
        <w:rPr>
          <w:rFonts w:cs="Arial Unicode MS" w:eastAsia="Arial Unicode MS" w:hint="default"/>
          <w:rtl w:val="1"/>
        </w:rPr>
        <w:t xml:space="preserve">’ </w:t>
      </w:r>
      <w:r>
        <w:rPr>
          <w:rFonts w:cs="Arial Unicode MS" w:eastAsia="Arial Unicode MS"/>
          <w:rtl w:val="0"/>
          <w:lang w:val="en-US"/>
        </w:rPr>
        <w:t xml:space="preserve">needs. </w:t>
      </w:r>
    </w:p>
    <w:p>
      <w:pPr>
        <w:pStyle w:val="Body"/>
        <w:bidi w:val="0"/>
      </w:pPr>
      <w:r>
        <w:rPr>
          <w:rFonts w:cs="Arial Unicode MS" w:eastAsia="Arial Unicode MS"/>
          <w:rtl w:val="0"/>
          <w:lang w:val="en-US"/>
        </w:rPr>
        <w:t xml:space="preserve">The provision of support for events and meeting planning is a vital component of this procurement </w:t>
      </w:r>
      <w:r>
        <w:rPr>
          <w:rFonts w:cs="Arial Unicode MS" w:eastAsia="Arial Unicode MS" w:hint="default"/>
          <w:rtl w:val="0"/>
          <w:lang w:val="en-US"/>
        </w:rPr>
        <w:t xml:space="preserve">— </w:t>
      </w:r>
      <w:r>
        <w:rPr>
          <w:rFonts w:cs="Arial Unicode MS" w:eastAsia="Arial Unicode MS"/>
          <w:rtl w:val="0"/>
          <w:lang w:val="en-US"/>
        </w:rPr>
        <w:t xml:space="preserve">providing the right information ahead of time to logistics support, supporting </w:t>
      </w:r>
      <w:r>
        <w:rPr>
          <w:rFonts w:cs="Arial Unicode MS" w:eastAsia="Arial Unicode MS" w:hint="default"/>
          <w:rtl w:val="1"/>
          <w:lang w:val="ar-SA" w:bidi="ar-SA"/>
        </w:rPr>
        <w:t>“</w:t>
      </w:r>
      <w:r>
        <w:rPr>
          <w:rFonts w:cs="Arial Unicode MS" w:eastAsia="Arial Unicode MS"/>
          <w:rtl w:val="0"/>
          <w:lang w:val="en-US"/>
        </w:rPr>
        <w:t>think ahead</w:t>
      </w:r>
      <w:r>
        <w:rPr>
          <w:rFonts w:cs="Arial Unicode MS" w:eastAsia="Arial Unicode MS" w:hint="default"/>
          <w:rtl w:val="0"/>
        </w:rPr>
        <w:t xml:space="preserve">” </w:t>
      </w:r>
      <w:r>
        <w:rPr>
          <w:rFonts w:cs="Arial Unicode MS" w:eastAsia="Arial Unicode MS"/>
          <w:rtl w:val="0"/>
          <w:lang w:val="en-US"/>
        </w:rPr>
        <w:t>resource management, and providing potential participants read-aheads and agenda all contribute to greater success in knowledge transfer. This is important because we can handle multiple rooms with technicians and event personnel present for the entirety of the event in order to support the government</w:t>
      </w:r>
      <w:r>
        <w:rPr>
          <w:rFonts w:cs="Arial Unicode MS" w:eastAsia="Arial Unicode MS" w:hint="default"/>
          <w:rtl w:val="1"/>
        </w:rPr>
        <w:t>’</w:t>
      </w:r>
      <w:r>
        <w:rPr>
          <w:rFonts w:cs="Arial Unicode MS" w:eastAsia="Arial Unicode MS"/>
          <w:rtl w:val="0"/>
          <w:lang w:val="en-US"/>
        </w:rPr>
        <w:t xml:space="preserve">s administrative needs. As we have when hosting technical briefings, we provide the manual labor for room set-up, job out the video and still photography with rush production and delivery and assist participants and remote attendees with ensuring connectivity and A/V and VTC functionality. HunaTek has almost two decades of personalized support addressing technical issues, both for events/meetings and for day-to-day help desk. </w:t>
      </w:r>
    </w:p>
    <w:p>
      <w:pPr>
        <w:pStyle w:val="Body"/>
        <w:bidi w:val="0"/>
      </w:pPr>
      <w:r>
        <w:rPr>
          <w:rStyle w:val="None"/>
          <w:rFonts w:cs="Arial Unicode MS" w:eastAsia="Arial Unicode MS"/>
          <w:b w:val="1"/>
          <w:bCs w:val="1"/>
          <w:i w:val="1"/>
          <w:iCs w:val="1"/>
          <w:u w:val="single"/>
          <w:rtl w:val="0"/>
          <w:lang w:val="en-US"/>
        </w:rPr>
        <w:t>Subject Matter Expert Support</w:t>
      </w:r>
      <w:r>
        <w:rPr>
          <w:rFonts w:cs="Arial Unicode MS" w:eastAsia="Arial Unicode MS"/>
          <w:rtl w:val="0"/>
          <w:lang w:val="en-US"/>
        </w:rPr>
        <w:t xml:space="preserve"> (Tasks 3, 4) </w:t>
      </w:r>
      <w:r>
        <w:rPr>
          <w:rFonts w:cs="Arial Unicode MS" w:eastAsia="Arial Unicode MS" w:hint="default"/>
          <w:rtl w:val="0"/>
          <w:lang w:val="en-US"/>
        </w:rPr>
        <w:t xml:space="preserve">— </w:t>
      </w:r>
      <w:r>
        <w:rPr>
          <w:rFonts w:cs="Arial Unicode MS" w:eastAsia="Arial Unicode MS"/>
          <w:rtl w:val="0"/>
          <w:lang w:val="en-US"/>
        </w:rPr>
        <w:t xml:space="preserve">HunaTek has extensive experience </w:t>
      </w:r>
      <w:r>
        <w:rPr>
          <w:rFonts w:cs="Arial Unicode MS" w:eastAsia="Arial Unicode MS"/>
          <w:rtl w:val="0"/>
          <w:lang w:val="en-US"/>
        </w:rPr>
        <w:t>establishing and maintaining productive working relationship</w:t>
      </w:r>
      <w:r>
        <w:rPr>
          <w:rFonts w:cs="Arial Unicode MS" w:eastAsia="Arial Unicode MS"/>
          <w:rtl w:val="0"/>
          <w:lang w:val="en-US"/>
        </w:rPr>
        <w:t>s</w:t>
      </w:r>
      <w:r>
        <w:rPr>
          <w:rFonts w:cs="Arial Unicode MS" w:eastAsia="Arial Unicode MS"/>
          <w:rtl w:val="0"/>
          <w:lang w:val="en-US"/>
        </w:rPr>
        <w:t xml:space="preserve"> with </w:t>
      </w:r>
      <w:r>
        <w:rPr>
          <w:rFonts w:cs="Arial Unicode MS" w:eastAsia="Arial Unicode MS"/>
          <w:rtl w:val="0"/>
          <w:lang w:val="en-US"/>
        </w:rPr>
        <w:t xml:space="preserve">SMEs. </w:t>
      </w:r>
      <w:r>
        <w:rPr>
          <w:rFonts w:cs="Arial Unicode MS" w:eastAsia="Arial Unicode MS"/>
          <w:rtl w:val="0"/>
          <w:lang w:val="en-US"/>
        </w:rPr>
        <w:t>To plan, execute, monitor, and assess this effort, we would put into place the tried-and-true project management assets that HunaTek has used for the past few years to ensure on-time and on-budget task execution. We understand that achieving OME/HEP</w:t>
      </w:r>
      <w:r>
        <w:rPr>
          <w:rFonts w:cs="Arial Unicode MS" w:eastAsia="Arial Unicode MS" w:hint="default"/>
          <w:rtl w:val="1"/>
        </w:rPr>
        <w:t>’</w:t>
      </w:r>
      <w:r>
        <w:rPr>
          <w:rFonts w:cs="Arial Unicode MS" w:eastAsia="Arial Unicode MS"/>
          <w:rtl w:val="0"/>
          <w:lang w:val="en-US"/>
        </w:rPr>
        <w:t xml:space="preserve">s objectives and vision requires collaboration with trusted industry partners that encompass proven skills, knowledge, and ability. </w:t>
      </w:r>
      <w:r>
        <w:rPr>
          <w:rFonts w:cs="Arial Unicode MS" w:eastAsia="Arial Unicode MS"/>
          <w:rtl w:val="0"/>
          <w:lang w:val="en-US"/>
        </w:rPr>
        <w:t xml:space="preserve">Supporting SMEs is a </w:t>
      </w:r>
      <w:r>
        <w:rPr>
          <w:rFonts w:cs="Arial Unicode MS" w:eastAsia="Arial Unicode MS"/>
          <w:rtl w:val="0"/>
          <w:lang w:val="en-US"/>
        </w:rPr>
        <w:t>process that requires careful planning</w:t>
      </w:r>
      <w:r>
        <w:rPr>
          <w:rFonts w:cs="Arial Unicode MS" w:eastAsia="Arial Unicode MS"/>
          <w:rtl w:val="0"/>
          <w:lang w:val="en-US"/>
        </w:rPr>
        <w:t xml:space="preserve"> and</w:t>
      </w:r>
      <w:r>
        <w:rPr>
          <w:rFonts w:cs="Arial Unicode MS" w:eastAsia="Arial Unicode MS"/>
          <w:rtl w:val="0"/>
          <w:lang w:val="fr-FR"/>
        </w:rPr>
        <w:t xml:space="preserve"> attention </w:t>
      </w:r>
      <w:r>
        <w:rPr>
          <w:rFonts w:cs="Arial Unicode MS" w:eastAsia="Arial Unicode MS"/>
          <w:rtl w:val="0"/>
          <w:lang w:val="en-US"/>
        </w:rPr>
        <w:t>to detail</w:t>
      </w:r>
      <w:r>
        <w:rPr>
          <w:rFonts w:cs="Arial Unicode MS" w:eastAsia="Arial Unicode MS"/>
          <w:rtl w:val="0"/>
        </w:rPr>
        <w:t>.</w:t>
      </w:r>
      <w:r>
        <w:rPr>
          <w:rFonts w:cs="Arial Unicode MS" w:eastAsia="Arial Unicode MS"/>
          <w:rtl w:val="0"/>
          <w:lang w:val="en-US"/>
        </w:rPr>
        <w:t xml:space="preserve"> In shaping deliverables in collaboration with SMEs, we </w:t>
      </w:r>
      <w:r>
        <w:rPr>
          <w:rFonts w:cs="Arial Unicode MS" w:eastAsia="Arial Unicode MS"/>
          <w:rtl w:val="0"/>
          <w:lang w:val="en-US"/>
        </w:rPr>
        <w:t>actively engage in change management,</w:t>
      </w:r>
      <w:r>
        <w:rPr>
          <w:rFonts w:cs="Arial Unicode MS" w:eastAsia="Arial Unicode MS" w:hint="default"/>
          <w:rtl w:val="0"/>
        </w:rPr>
        <w:t xml:space="preserve">  </w:t>
      </w:r>
      <w:r>
        <w:rPr>
          <w:rFonts w:cs="Arial Unicode MS" w:eastAsia="Arial Unicode MS"/>
          <w:rtl w:val="0"/>
          <w:lang w:val="en-US"/>
        </w:rPr>
        <w:t xml:space="preserve">to steer passionate experts towards </w:t>
      </w:r>
      <w:r>
        <w:rPr>
          <w:rFonts w:cs="Arial Unicode MS" w:eastAsia="Arial Unicode MS"/>
          <w:rtl w:val="0"/>
          <w:lang w:val="en-US"/>
        </w:rPr>
        <w:t>communication</w:t>
      </w:r>
      <w:r>
        <w:rPr>
          <w:rFonts w:cs="Arial Unicode MS" w:eastAsia="Arial Unicode MS"/>
          <w:rtl w:val="0"/>
          <w:lang w:val="en-US"/>
        </w:rPr>
        <w:t xml:space="preserve"> solutions that serve </w:t>
      </w:r>
      <w:r>
        <w:rPr>
          <w:rFonts w:cs="Arial Unicode MS" w:eastAsia="Arial Unicode MS"/>
          <w:rtl w:val="0"/>
          <w:lang w:val="en-US"/>
        </w:rPr>
        <w:t>audience</w:t>
      </w:r>
      <w:r>
        <w:rPr>
          <w:rFonts w:cs="Arial Unicode MS" w:eastAsia="Arial Unicode MS"/>
          <w:rtl w:val="0"/>
        </w:rPr>
        <w:t xml:space="preserve"> best.</w:t>
      </w:r>
    </w:p>
    <w:p>
      <w:pPr>
        <w:pStyle w:val="Heading"/>
        <w:bidi w:val="0"/>
      </w:pPr>
      <w:bookmarkStart w:name="_Toc2" w:id="2"/>
      <w:r>
        <w:rPr>
          <w:rFonts w:cs="Arial Unicode MS" w:eastAsia="Arial Unicode MS"/>
          <w:rtl w:val="0"/>
          <w:lang w:val="en-US"/>
        </w:rPr>
        <w:t>History of Successes</w:t>
      </w:r>
      <w:bookmarkEnd w:id="2"/>
    </w:p>
    <w:p>
      <w:pPr>
        <w:pStyle w:val="Body"/>
        <w:bidi w:val="0"/>
      </w:pPr>
      <w:r>
        <w:rPr>
          <w:rFonts w:cs="Arial Unicode MS" w:eastAsia="Arial Unicode MS"/>
          <w:rtl w:val="0"/>
          <w:lang w:val="en-US"/>
        </w:rPr>
        <w:t xml:space="preserve">HunaTek is a mature company with support functions that enable consistent performance, accountability, and efficiency across the portfolio of projects performed by the company. Our corporate infrastructure enables our </w:t>
      </w:r>
      <w:r>
        <w:rPr>
          <w:rFonts w:cs="Arial Unicode MS" w:eastAsia="Arial Unicode MS"/>
          <w:rtl w:val="0"/>
          <w:lang w:val="en-US"/>
        </w:rPr>
        <w:t xml:space="preserve">program managers, engineers, </w:t>
      </w:r>
      <w:r>
        <w:rPr>
          <w:rFonts w:cs="Arial Unicode MS" w:eastAsia="Arial Unicode MS"/>
          <w:rtl w:val="0"/>
        </w:rPr>
        <w:t>analysts</w:t>
      </w:r>
      <w:r>
        <w:rPr>
          <w:rFonts w:cs="Arial Unicode MS" w:eastAsia="Arial Unicode MS"/>
          <w:rtl w:val="0"/>
          <w:lang w:val="en-US"/>
        </w:rPr>
        <w:t xml:space="preserve"> and other experts</w:t>
      </w:r>
      <w:r>
        <w:rPr>
          <w:rFonts w:cs="Arial Unicode MS" w:eastAsia="Arial Unicode MS"/>
          <w:rtl w:val="0"/>
          <w:lang w:val="en-US"/>
        </w:rPr>
        <w:t xml:space="preserve"> to focus on the objectives of the </w:t>
      </w:r>
      <w:r>
        <w:rPr>
          <w:rFonts w:cs="Arial Unicode MS" w:eastAsia="Arial Unicode MS"/>
          <w:rtl w:val="0"/>
          <w:lang w:val="en-US"/>
        </w:rPr>
        <w:t xml:space="preserve">client </w:t>
      </w:r>
      <w:r>
        <w:rPr>
          <w:rFonts w:cs="Arial Unicode MS" w:eastAsia="Arial Unicode MS"/>
          <w:rtl w:val="0"/>
          <w:lang w:val="it-IT"/>
        </w:rPr>
        <w:t>mission</w:t>
      </w:r>
      <w:r>
        <w:rPr>
          <w:rFonts w:cs="Arial Unicode MS" w:eastAsia="Arial Unicode MS"/>
          <w:rtl w:val="0"/>
          <w:lang w:val="en-US"/>
        </w:rPr>
        <w:t>. Working with HunaTek</w:t>
      </w:r>
      <w:r>
        <w:rPr>
          <w:rFonts w:cs="Arial Unicode MS" w:eastAsia="Arial Unicode MS"/>
          <w:rtl w:val="0"/>
          <w:lang w:val="en-US"/>
        </w:rPr>
        <w:t xml:space="preserve"> reduces risk </w:t>
      </w:r>
      <w:r>
        <w:rPr>
          <w:rFonts w:cs="Arial Unicode MS" w:eastAsia="Arial Unicode MS"/>
          <w:rtl w:val="0"/>
          <w:lang w:val="en-US"/>
        </w:rPr>
        <w:t>to the government because we</w:t>
      </w:r>
      <w:r>
        <w:rPr>
          <w:rFonts w:cs="Arial Unicode MS" w:eastAsia="Arial Unicode MS"/>
          <w:rtl w:val="0"/>
          <w:lang w:val="fr-FR"/>
        </w:rPr>
        <w:t xml:space="preserve"> ensur</w:t>
      </w:r>
      <w:r>
        <w:rPr>
          <w:rFonts w:cs="Arial Unicode MS" w:eastAsia="Arial Unicode MS"/>
          <w:rtl w:val="0"/>
          <w:lang w:val="en-US"/>
        </w:rPr>
        <w:t>e</w:t>
      </w:r>
      <w:r>
        <w:rPr>
          <w:rFonts w:cs="Arial Unicode MS" w:eastAsia="Arial Unicode MS"/>
          <w:rtl w:val="0"/>
          <w:lang w:val="en-US"/>
        </w:rPr>
        <w:t xml:space="preserve"> contract compliance</w:t>
      </w:r>
      <w:r>
        <w:rPr>
          <w:rFonts w:cs="Arial Unicode MS" w:eastAsia="Arial Unicode MS"/>
          <w:rtl w:val="0"/>
          <w:lang w:val="en-US"/>
        </w:rPr>
        <w:t xml:space="preserve"> </w:t>
      </w:r>
      <w:r>
        <w:rPr>
          <w:rFonts w:cs="Arial Unicode MS" w:eastAsia="Arial Unicode MS"/>
          <w:rtl w:val="0"/>
          <w:lang w:val="en-US"/>
        </w:rPr>
        <w:t>and increase</w:t>
      </w:r>
      <w:r>
        <w:rPr>
          <w:rFonts w:cs="Arial Unicode MS" w:eastAsia="Arial Unicode MS"/>
          <w:rtl w:val="0"/>
          <w:lang w:val="en-US"/>
        </w:rPr>
        <w:t>d</w:t>
      </w:r>
      <w:r>
        <w:rPr>
          <w:rFonts w:cs="Arial Unicode MS" w:eastAsia="Arial Unicode MS"/>
          <w:rtl w:val="0"/>
        </w:rPr>
        <w:t xml:space="preserve"> </w:t>
      </w:r>
      <w:r>
        <w:rPr>
          <w:rFonts w:cs="Arial Unicode MS" w:eastAsia="Arial Unicode MS"/>
          <w:rtl w:val="0"/>
          <w:lang w:val="en-US"/>
        </w:rPr>
        <w:t>stakeholder</w:t>
      </w:r>
      <w:r>
        <w:rPr>
          <w:rFonts w:cs="Arial Unicode MS" w:eastAsia="Arial Unicode MS"/>
          <w:rtl w:val="0"/>
          <w:lang w:val="fr-FR"/>
        </w:rPr>
        <w:t xml:space="preserve"> satisfaction</w:t>
      </w:r>
      <w:r>
        <w:rPr>
          <w:rFonts w:cs="Arial Unicode MS" w:eastAsia="Arial Unicode MS"/>
          <w:rtl w:val="0"/>
          <w:lang w:val="en-US"/>
        </w:rPr>
        <w:t xml:space="preserve">. We ensure quality service delivery because HunaTek </w:t>
      </w:r>
      <w:r>
        <w:rPr>
          <w:rFonts w:cs="Arial Unicode MS" w:eastAsia="Arial Unicode MS"/>
          <w:rtl w:val="0"/>
          <w:lang w:val="en-US"/>
        </w:rPr>
        <w:t>back-office support</w:t>
      </w:r>
      <w:r>
        <w:rPr>
          <w:rFonts w:cs="Arial Unicode MS" w:eastAsia="Arial Unicode MS"/>
          <w:rtl w:val="0"/>
          <w:lang w:val="en-US"/>
        </w:rPr>
        <w:t xml:space="preserve"> includes</w:t>
      </w:r>
      <w:r>
        <w:rPr>
          <w:rFonts w:cs="Arial Unicode MS" w:eastAsia="Arial Unicode MS"/>
          <w:rtl w:val="0"/>
        </w:rPr>
        <w:t xml:space="preserve">: </w:t>
      </w:r>
    </w:p>
    <w:p>
      <w:pPr>
        <w:pStyle w:val="Body"/>
        <w:numPr>
          <w:ilvl w:val="1"/>
          <w:numId w:val="2"/>
        </w:numPr>
        <w:bidi w:val="0"/>
      </w:pPr>
      <w:r>
        <w:rPr>
          <w:rFonts w:cs="Arial Unicode MS" w:eastAsia="Arial Unicode MS"/>
          <w:rtl w:val="0"/>
        </w:rPr>
        <w:t>HunaTek</w:t>
      </w:r>
      <w:r>
        <w:rPr>
          <w:rFonts w:cs="Arial Unicode MS" w:eastAsia="Arial Unicode MS" w:hint="default"/>
          <w:rtl w:val="1"/>
        </w:rPr>
        <w:t>’</w:t>
      </w:r>
      <w:r>
        <w:rPr>
          <w:rFonts w:cs="Arial Unicode MS" w:eastAsia="Arial Unicode MS"/>
          <w:rtl w:val="0"/>
          <w:lang w:val="en-US"/>
        </w:rPr>
        <w:t xml:space="preserve">s Accounting and Finance office maintains accounting and finance policy, and implements controls that enable corporate and project-level budgeting, planning, and financial reporting. </w:t>
      </w:r>
      <w:r>
        <w:rPr>
          <w:rFonts w:cs="Arial Unicode MS" w:eastAsia="Arial Unicode MS"/>
          <w:rtl w:val="0"/>
          <w:lang w:val="en-US"/>
        </w:rPr>
        <w:t xml:space="preserve">Our accounting system is </w:t>
      </w:r>
      <w:r>
        <w:rPr>
          <w:rFonts w:cs="Arial Unicode MS" w:eastAsia="Arial Unicode MS"/>
          <w:rtl w:val="0"/>
          <w:lang w:val="en-US"/>
        </w:rPr>
        <w:t xml:space="preserve">DCAA </w:t>
      </w:r>
      <w:r>
        <w:rPr>
          <w:rFonts w:cs="Arial Unicode MS" w:eastAsia="Arial Unicode MS"/>
          <w:rtl w:val="0"/>
          <w:lang w:val="en-US"/>
        </w:rPr>
        <w:t>a</w:t>
      </w:r>
      <w:r>
        <w:rPr>
          <w:rFonts w:cs="Arial Unicode MS" w:eastAsia="Arial Unicode MS"/>
          <w:rtl w:val="0"/>
          <w:lang w:val="en-US"/>
        </w:rPr>
        <w:t>pproved</w:t>
      </w:r>
      <w:r>
        <w:rPr>
          <w:rFonts w:cs="Arial Unicode MS" w:eastAsia="Arial Unicode MS"/>
          <w:rtl w:val="0"/>
          <w:lang w:val="en-US"/>
        </w:rPr>
        <w:t>.</w:t>
      </w:r>
    </w:p>
    <w:p>
      <w:pPr>
        <w:pStyle w:val="Body"/>
        <w:numPr>
          <w:ilvl w:val="1"/>
          <w:numId w:val="2"/>
        </w:numPr>
        <w:bidi w:val="0"/>
      </w:pPr>
      <w:r>
        <w:rPr>
          <w:rFonts w:cs="Arial Unicode MS" w:eastAsia="Arial Unicode MS"/>
          <w:rtl w:val="0"/>
        </w:rPr>
        <w:t>HunaTek</w:t>
      </w:r>
      <w:r>
        <w:rPr>
          <w:rFonts w:cs="Arial Unicode MS" w:eastAsia="Arial Unicode MS" w:hint="default"/>
          <w:rtl w:val="1"/>
        </w:rPr>
        <w:t>’</w:t>
      </w:r>
      <w:r>
        <w:rPr>
          <w:rFonts w:cs="Arial Unicode MS" w:eastAsia="Arial Unicode MS"/>
          <w:rtl w:val="0"/>
          <w:lang w:val="en-US"/>
        </w:rPr>
        <w:t xml:space="preserve">s Human Resources and Recruiting team manages internal and external staffing requirements in support of all our projects, providing the ability to attract, hire, train, and retain a high-quality workforce. </w:t>
      </w:r>
      <w:r>
        <w:rPr>
          <w:rFonts w:cs="Arial Unicode MS" w:eastAsia="Arial Unicode MS"/>
          <w:rtl w:val="0"/>
          <w:lang w:val="en-US"/>
        </w:rPr>
        <w:t>We offer a competitive compensation package, incentivizing employees to grow with the company.</w:t>
      </w:r>
    </w:p>
    <w:p>
      <w:pPr>
        <w:pStyle w:val="Body"/>
        <w:numPr>
          <w:ilvl w:val="1"/>
          <w:numId w:val="2"/>
        </w:numPr>
        <w:bidi w:val="0"/>
      </w:pPr>
      <w:r>
        <w:rPr>
          <w:rFonts w:cs="Arial Unicode MS" w:eastAsia="Arial Unicode MS"/>
          <w:rtl w:val="0"/>
        </w:rPr>
        <w:t>HunaTek</w:t>
      </w:r>
      <w:r>
        <w:rPr>
          <w:rFonts w:cs="Arial Unicode MS" w:eastAsia="Arial Unicode MS" w:hint="default"/>
          <w:rtl w:val="1"/>
        </w:rPr>
        <w:t>’</w:t>
      </w:r>
      <w:r>
        <w:rPr>
          <w:rFonts w:cs="Arial Unicode MS" w:eastAsia="Arial Unicode MS"/>
          <w:rtl w:val="0"/>
          <w:lang w:val="en-US"/>
        </w:rPr>
        <w:t xml:space="preserve">s Contracts team administers contracts and subcontracts, and is responsible for procuring materials and services from qualified suppliers and subcontractors. </w:t>
      </w:r>
    </w:p>
    <w:p>
      <w:pPr>
        <w:pStyle w:val="Body"/>
        <w:jc w:val="center"/>
        <w:rPr>
          <w:b w:val="1"/>
          <w:bCs w:val="1"/>
          <w:i w:val="1"/>
          <w:iCs w:val="1"/>
        </w:rPr>
      </w:pPr>
      <w:r>
        <w:rPr>
          <w:b w:val="1"/>
          <w:bCs w:val="1"/>
          <w:i w:val="1"/>
          <w:iCs w:val="1"/>
          <w:rtl w:val="0"/>
          <w:lang w:val="en-US"/>
        </w:rPr>
        <w:t xml:space="preserve">Contractor Performance Assessment Report (CPAR) </w:t>
      </w:r>
      <w:r>
        <w:rPr>
          <w:b w:val="1"/>
          <w:bCs w:val="1"/>
          <w:i w:val="1"/>
          <w:iCs w:val="1"/>
          <w:rtl w:val="0"/>
          <w:lang w:val="en-US"/>
        </w:rPr>
        <w:t>—</w:t>
      </w:r>
      <w:r>
        <w:rPr>
          <w:b w:val="1"/>
          <w:bCs w:val="1"/>
          <w:i w:val="1"/>
          <w:iCs w:val="1"/>
          <w:rtl w:val="0"/>
          <w:lang w:val="en-US"/>
        </w:rPr>
        <w:t xml:space="preserve"> period ending March 8, 2022</w:t>
      </w:r>
      <w:r>
        <w:rPr>
          <w:b w:val="1"/>
          <w:bCs w:val="1"/>
          <w:i w:val="1"/>
          <w:iCs w:val="1"/>
          <w:rtl w:val="0"/>
        </w:rPr>
        <w:t> </w:t>
      </w:r>
    </w:p>
    <w:tbl>
      <w:tblPr>
        <w:tblW w:w="7277"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67"/>
        <w:gridCol w:w="1784"/>
        <w:gridCol w:w="2426"/>
      </w:tblGrid>
      <w:tr>
        <w:tblPrEx>
          <w:shd w:val="clear" w:color="auto" w:fill="cdd4e9"/>
        </w:tblPrEx>
        <w:trPr>
          <w:trHeight w:val="234" w:hRule="atLeast"/>
        </w:trPr>
        <w:tc>
          <w:tcPr>
            <w:tcW w:type="dxa" w:w="3067"/>
            <w:tcBorders>
              <w:top w:val="single" w:color="004990" w:sz="12" w:space="0" w:shadow="0" w:frame="0"/>
              <w:left w:val="single" w:color="004990" w:sz="12" w:space="0" w:shadow="0" w:frame="0"/>
              <w:bottom w:val="single" w:color="000000" w:sz="6" w:space="0" w:shadow="0" w:frame="0"/>
              <w:right w:val="single" w:color="ffffff" w:sz="6" w:space="0" w:shadow="0" w:frame="0"/>
            </w:tcBorders>
            <w:shd w:val="clear" w:color="auto" w:fill="3da9d5"/>
            <w:tcMar>
              <w:top w:type="dxa" w:w="80"/>
              <w:left w:type="dxa" w:w="80"/>
              <w:bottom w:type="dxa" w:w="80"/>
              <w:right w:type="dxa" w:w="80"/>
            </w:tcMar>
            <w:vAlign w:val="center"/>
          </w:tcPr>
          <w:p>
            <w:pPr>
              <w:pStyle w:val="Body"/>
              <w:bidi w:val="0"/>
              <w:spacing w:after="160" w:line="259" w:lineRule="auto"/>
              <w:ind w:left="0" w:right="0" w:firstLine="0"/>
              <w:jc w:val="left"/>
              <w:rPr>
                <w:rtl w:val="0"/>
              </w:rPr>
            </w:pPr>
            <w:r>
              <w:rPr>
                <w:rStyle w:val="None"/>
                <w:outline w:val="0"/>
                <w:color w:val="ffffff"/>
                <w:sz w:val="20"/>
                <w:szCs w:val="20"/>
                <w:u w:color="ffffff"/>
                <w:rtl w:val="0"/>
                <w:lang w:val="en-US"/>
              </w:rPr>
              <w:t>Evaluation Areas</w:t>
            </w:r>
            <w:r>
              <w:rPr>
                <w:rStyle w:val="None"/>
                <w:outline w:val="0"/>
                <w:color w:val="ffffff"/>
                <w:sz w:val="20"/>
                <w:szCs w:val="20"/>
                <w:u w:color="ffffff"/>
                <w:rtl w:val="0"/>
                <w:lang w:val="en-US"/>
              </w:rPr>
              <w:t> </w:t>
            </w:r>
          </w:p>
        </w:tc>
        <w:tc>
          <w:tcPr>
            <w:tcW w:type="dxa" w:w="1783"/>
            <w:tcBorders>
              <w:top w:val="single" w:color="004990" w:sz="12" w:space="0" w:shadow="0" w:frame="0"/>
              <w:left w:val="single" w:color="ffffff" w:sz="6" w:space="0" w:shadow="0" w:frame="0"/>
              <w:bottom w:val="single" w:color="000000" w:sz="6" w:space="0" w:shadow="0" w:frame="0"/>
              <w:right w:val="single" w:color="ffffff" w:sz="6" w:space="0" w:shadow="0" w:frame="0"/>
            </w:tcBorders>
            <w:shd w:val="clear" w:color="auto" w:fill="3da9d5"/>
            <w:tcMar>
              <w:top w:type="dxa" w:w="80"/>
              <w:left w:type="dxa" w:w="80"/>
              <w:bottom w:type="dxa" w:w="80"/>
              <w:right w:type="dxa" w:w="80"/>
            </w:tcMar>
            <w:vAlign w:val="center"/>
          </w:tcPr>
          <w:p>
            <w:pPr>
              <w:pStyle w:val="Body"/>
              <w:bidi w:val="0"/>
              <w:spacing w:after="160" w:line="259" w:lineRule="auto"/>
              <w:ind w:left="0" w:right="0" w:firstLine="0"/>
              <w:jc w:val="center"/>
              <w:rPr>
                <w:rtl w:val="0"/>
              </w:rPr>
            </w:pPr>
            <w:r>
              <w:rPr>
                <w:rStyle w:val="None"/>
                <w:outline w:val="0"/>
                <w:color w:val="ffffff"/>
                <w:sz w:val="20"/>
                <w:szCs w:val="20"/>
                <w:u w:color="ffffff"/>
                <w:rtl w:val="0"/>
                <w:lang w:val="en-US"/>
              </w:rPr>
              <w:t>Past Rating</w:t>
            </w:r>
            <w:r>
              <w:rPr>
                <w:rStyle w:val="None"/>
                <w:outline w:val="0"/>
                <w:color w:val="ffffff"/>
                <w:sz w:val="20"/>
                <w:szCs w:val="20"/>
                <w:u w:color="ffffff"/>
                <w:rtl w:val="0"/>
                <w:lang w:val="en-US"/>
              </w:rPr>
              <w:t> </w:t>
            </w:r>
          </w:p>
        </w:tc>
        <w:tc>
          <w:tcPr>
            <w:tcW w:type="dxa" w:w="2425"/>
            <w:tcBorders>
              <w:top w:val="single" w:color="004990" w:sz="12" w:space="0" w:shadow="0" w:frame="0"/>
              <w:left w:val="single" w:color="ffffff" w:sz="6" w:space="0" w:shadow="0" w:frame="0"/>
              <w:bottom w:val="single" w:color="000000" w:sz="6" w:space="0" w:shadow="0" w:frame="0"/>
              <w:right w:val="single" w:color="004990" w:sz="12" w:space="0" w:shadow="0" w:frame="0"/>
            </w:tcBorders>
            <w:shd w:val="clear" w:color="auto" w:fill="3da9d5"/>
            <w:tcMar>
              <w:top w:type="dxa" w:w="80"/>
              <w:left w:type="dxa" w:w="80"/>
              <w:bottom w:type="dxa" w:w="80"/>
              <w:right w:type="dxa" w:w="80"/>
            </w:tcMar>
            <w:vAlign w:val="center"/>
          </w:tcPr>
          <w:p>
            <w:pPr>
              <w:pStyle w:val="Body"/>
              <w:bidi w:val="0"/>
              <w:spacing w:after="160" w:line="259" w:lineRule="auto"/>
              <w:ind w:left="0" w:right="0" w:firstLine="0"/>
              <w:jc w:val="center"/>
              <w:rPr>
                <w:rtl w:val="0"/>
              </w:rPr>
            </w:pPr>
            <w:r>
              <w:rPr>
                <w:rStyle w:val="None"/>
                <w:outline w:val="0"/>
                <w:color w:val="ffffff"/>
                <w:sz w:val="20"/>
                <w:szCs w:val="20"/>
                <w:u w:color="ffffff"/>
                <w:rtl w:val="0"/>
                <w:lang w:val="en-US"/>
              </w:rPr>
              <w:t>Rating</w:t>
            </w:r>
            <w:r>
              <w:rPr>
                <w:rStyle w:val="None"/>
                <w:outline w:val="0"/>
                <w:color w:val="ffffff"/>
                <w:sz w:val="20"/>
                <w:szCs w:val="20"/>
                <w:u w:color="ffffff"/>
                <w:rtl w:val="0"/>
                <w:lang w:val="en-US"/>
              </w:rPr>
              <w:t> </w:t>
            </w:r>
          </w:p>
        </w:tc>
      </w:tr>
      <w:tr>
        <w:tblPrEx>
          <w:shd w:val="clear" w:color="auto" w:fill="cdd4e9"/>
        </w:tblPrEx>
        <w:trPr>
          <w:trHeight w:val="227" w:hRule="atLeast"/>
        </w:trPr>
        <w:tc>
          <w:tcPr>
            <w:tcW w:type="dxa" w:w="3067"/>
            <w:tcBorders>
              <w:top w:val="single" w:color="000000" w:sz="6" w:space="0" w:shadow="0" w:frame="0"/>
              <w:left w:val="single" w:color="004990" w:sz="12" w:space="0" w:shadow="0" w:frame="0"/>
              <w:bottom w:val="single" w:color="000000" w:sz="6" w:space="0" w:shadow="0" w:frame="0"/>
              <w:right w:val="single" w:color="000000" w:sz="6" w:space="0" w:shadow="0" w:frame="0"/>
            </w:tcBorders>
            <w:shd w:val="clear" w:color="auto" w:fill="dae9f7"/>
            <w:tcMar>
              <w:top w:type="dxa" w:w="80"/>
              <w:left w:type="dxa" w:w="80"/>
              <w:bottom w:type="dxa" w:w="80"/>
              <w:right w:type="dxa" w:w="80"/>
            </w:tcMar>
            <w:vAlign w:val="center"/>
          </w:tcPr>
          <w:p>
            <w:pPr>
              <w:pStyle w:val="Body"/>
              <w:bidi w:val="0"/>
              <w:spacing w:after="160" w:line="259" w:lineRule="auto"/>
              <w:ind w:left="0" w:right="0" w:firstLine="0"/>
              <w:jc w:val="right"/>
              <w:rPr>
                <w:rtl w:val="0"/>
              </w:rPr>
            </w:pPr>
            <w:r>
              <w:rPr>
                <w:rStyle w:val="None"/>
                <w:outline w:val="0"/>
                <w:sz w:val="20"/>
                <w:szCs w:val="20"/>
                <w:u w:color="000000"/>
                <w:rtl w:val="0"/>
                <w:lang w:val="en-US"/>
              </w:rPr>
              <w:t>Quality:</w:t>
            </w:r>
            <w:r>
              <w:rPr>
                <w:rStyle w:val="None"/>
                <w:outline w:val="0"/>
                <w:sz w:val="20"/>
                <w:szCs w:val="20"/>
                <w:u w:color="000000"/>
                <w:rtl w:val="0"/>
                <w:lang w:val="en-US"/>
              </w:rPr>
              <w:t> </w:t>
            </w:r>
          </w:p>
        </w:tc>
        <w:tc>
          <w:tcPr>
            <w:tcW w:type="dxa" w:w="17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7eaf4"/>
            <w:tcMar>
              <w:top w:type="dxa" w:w="80"/>
              <w:left w:type="dxa" w:w="80"/>
              <w:bottom w:type="dxa" w:w="80"/>
              <w:right w:type="dxa" w:w="80"/>
            </w:tcMar>
            <w:vAlign w:val="center"/>
          </w:tcPr>
          <w:p>
            <w:pPr>
              <w:pStyle w:val="Body"/>
              <w:bidi w:val="0"/>
              <w:spacing w:after="160" w:line="259" w:lineRule="auto"/>
              <w:ind w:left="0" w:right="0" w:firstLine="0"/>
              <w:jc w:val="center"/>
              <w:rPr>
                <w:rtl w:val="0"/>
              </w:rPr>
            </w:pPr>
            <w:r>
              <w:rPr>
                <w:rStyle w:val="None"/>
                <w:outline w:val="0"/>
                <w:sz w:val="20"/>
                <w:szCs w:val="20"/>
                <w:u w:color="000000"/>
                <w:rtl w:val="0"/>
                <w:lang w:val="en-US"/>
              </w:rPr>
              <w:t>N/A</w:t>
            </w:r>
            <w:r>
              <w:rPr>
                <w:rStyle w:val="None"/>
                <w:outline w:val="0"/>
                <w:sz w:val="20"/>
                <w:szCs w:val="20"/>
                <w:u w:color="000000"/>
                <w:rtl w:val="0"/>
                <w:lang w:val="en-US"/>
              </w:rPr>
              <w:t> </w:t>
            </w:r>
          </w:p>
        </w:tc>
        <w:tc>
          <w:tcPr>
            <w:tcW w:type="dxa" w:w="2425"/>
            <w:tcBorders>
              <w:top w:val="single" w:color="000000" w:sz="6" w:space="0" w:shadow="0" w:frame="0"/>
              <w:left w:val="single" w:color="000000" w:sz="6" w:space="0" w:shadow="0" w:frame="0"/>
              <w:bottom w:val="single" w:color="000000" w:sz="6" w:space="0" w:shadow="0" w:frame="0"/>
              <w:right w:val="single" w:color="004990" w:sz="12" w:space="0" w:shadow="0" w:frame="0"/>
            </w:tcBorders>
            <w:shd w:val="clear" w:color="auto" w:fill="e7eaf4"/>
            <w:tcMar>
              <w:top w:type="dxa" w:w="80"/>
              <w:left w:type="dxa" w:w="80"/>
              <w:bottom w:type="dxa" w:w="80"/>
              <w:right w:type="dxa" w:w="80"/>
            </w:tcMar>
            <w:vAlign w:val="center"/>
          </w:tcPr>
          <w:p>
            <w:pPr>
              <w:pStyle w:val="Body"/>
              <w:bidi w:val="0"/>
              <w:spacing w:after="160" w:line="259" w:lineRule="auto"/>
              <w:ind w:left="0" w:right="0" w:firstLine="0"/>
              <w:jc w:val="center"/>
              <w:rPr>
                <w:rtl w:val="0"/>
              </w:rPr>
            </w:pPr>
            <w:r>
              <w:rPr>
                <w:rStyle w:val="None"/>
                <w:outline w:val="0"/>
                <w:sz w:val="20"/>
                <w:szCs w:val="20"/>
                <w:u w:color="000000"/>
                <w:rtl w:val="0"/>
                <w:lang w:val="en-US"/>
              </w:rPr>
              <w:t>Very Good</w:t>
            </w:r>
            <w:r>
              <w:rPr>
                <w:rStyle w:val="None"/>
                <w:outline w:val="0"/>
                <w:sz w:val="20"/>
                <w:szCs w:val="20"/>
                <w:u w:color="000000"/>
                <w:rtl w:val="0"/>
                <w:lang w:val="en-US"/>
              </w:rPr>
              <w:t>  </w:t>
            </w:r>
          </w:p>
        </w:tc>
      </w:tr>
      <w:tr>
        <w:tblPrEx>
          <w:shd w:val="clear" w:color="auto" w:fill="cdd4e9"/>
        </w:tblPrEx>
        <w:trPr>
          <w:trHeight w:val="227" w:hRule="atLeast"/>
        </w:trPr>
        <w:tc>
          <w:tcPr>
            <w:tcW w:type="dxa" w:w="3067"/>
            <w:tcBorders>
              <w:top w:val="single" w:color="000000" w:sz="6" w:space="0" w:shadow="0" w:frame="0"/>
              <w:left w:val="single" w:color="004990" w:sz="12" w:space="0" w:shadow="0" w:frame="0"/>
              <w:bottom w:val="single" w:color="000000" w:sz="6" w:space="0" w:shadow="0" w:frame="0"/>
              <w:right w:val="single" w:color="000000" w:sz="6" w:space="0" w:shadow="0" w:frame="0"/>
            </w:tcBorders>
            <w:shd w:val="clear" w:color="auto" w:fill="dae9f7"/>
            <w:tcMar>
              <w:top w:type="dxa" w:w="80"/>
              <w:left w:type="dxa" w:w="80"/>
              <w:bottom w:type="dxa" w:w="80"/>
              <w:right w:type="dxa" w:w="80"/>
            </w:tcMar>
            <w:vAlign w:val="center"/>
          </w:tcPr>
          <w:p>
            <w:pPr>
              <w:pStyle w:val="Body"/>
              <w:bidi w:val="0"/>
              <w:spacing w:after="160" w:line="259" w:lineRule="auto"/>
              <w:ind w:left="0" w:right="0" w:firstLine="0"/>
              <w:jc w:val="right"/>
              <w:rPr>
                <w:rtl w:val="0"/>
              </w:rPr>
            </w:pPr>
            <w:r>
              <w:rPr>
                <w:rStyle w:val="None"/>
                <w:outline w:val="0"/>
                <w:sz w:val="20"/>
                <w:szCs w:val="20"/>
                <w:u w:color="000000"/>
                <w:rtl w:val="0"/>
                <w:lang w:val="en-US"/>
              </w:rPr>
              <w:t>Schedule:</w:t>
            </w:r>
            <w:r>
              <w:rPr>
                <w:rStyle w:val="None"/>
                <w:outline w:val="0"/>
                <w:sz w:val="20"/>
                <w:szCs w:val="20"/>
                <w:u w:color="000000"/>
                <w:rtl w:val="0"/>
                <w:lang w:val="en-US"/>
              </w:rPr>
              <w:t>  </w:t>
            </w:r>
          </w:p>
        </w:tc>
        <w:tc>
          <w:tcPr>
            <w:tcW w:type="dxa" w:w="17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ff7fd"/>
            <w:tcMar>
              <w:top w:type="dxa" w:w="80"/>
              <w:left w:type="dxa" w:w="80"/>
              <w:bottom w:type="dxa" w:w="80"/>
              <w:right w:type="dxa" w:w="80"/>
            </w:tcMar>
            <w:vAlign w:val="center"/>
          </w:tcPr>
          <w:p>
            <w:pPr>
              <w:pStyle w:val="Body"/>
              <w:bidi w:val="0"/>
              <w:spacing w:after="160" w:line="259" w:lineRule="auto"/>
              <w:ind w:left="0" w:right="0" w:firstLine="0"/>
              <w:jc w:val="center"/>
              <w:rPr>
                <w:rtl w:val="0"/>
              </w:rPr>
            </w:pPr>
            <w:r>
              <w:rPr>
                <w:rStyle w:val="None"/>
                <w:outline w:val="0"/>
                <w:sz w:val="20"/>
                <w:szCs w:val="20"/>
                <w:u w:color="000000"/>
                <w:rtl w:val="0"/>
                <w:lang w:val="en-US"/>
              </w:rPr>
              <w:t>N/A</w:t>
            </w:r>
            <w:r>
              <w:rPr>
                <w:rStyle w:val="None"/>
                <w:outline w:val="0"/>
                <w:sz w:val="20"/>
                <w:szCs w:val="20"/>
                <w:u w:color="000000"/>
                <w:rtl w:val="0"/>
                <w:lang w:val="en-US"/>
              </w:rPr>
              <w:t> </w:t>
            </w:r>
          </w:p>
        </w:tc>
        <w:tc>
          <w:tcPr>
            <w:tcW w:type="dxa" w:w="2425"/>
            <w:tcBorders>
              <w:top w:val="single" w:color="000000" w:sz="6" w:space="0" w:shadow="0" w:frame="0"/>
              <w:left w:val="single" w:color="000000" w:sz="6" w:space="0" w:shadow="0" w:frame="0"/>
              <w:bottom w:val="single" w:color="000000" w:sz="6" w:space="0" w:shadow="0" w:frame="0"/>
              <w:right w:val="single" w:color="004990" w:sz="12" w:space="0" w:shadow="0" w:frame="0"/>
            </w:tcBorders>
            <w:shd w:val="clear" w:color="auto" w:fill="eff7fd"/>
            <w:tcMar>
              <w:top w:type="dxa" w:w="80"/>
              <w:left w:type="dxa" w:w="80"/>
              <w:bottom w:type="dxa" w:w="80"/>
              <w:right w:type="dxa" w:w="80"/>
            </w:tcMar>
            <w:vAlign w:val="center"/>
          </w:tcPr>
          <w:p>
            <w:pPr>
              <w:pStyle w:val="Body"/>
              <w:bidi w:val="0"/>
              <w:spacing w:after="160" w:line="259" w:lineRule="auto"/>
              <w:ind w:left="0" w:right="0" w:firstLine="0"/>
              <w:jc w:val="center"/>
              <w:rPr>
                <w:rtl w:val="0"/>
              </w:rPr>
            </w:pPr>
            <w:r>
              <w:rPr>
                <w:rStyle w:val="None"/>
                <w:outline w:val="0"/>
                <w:sz w:val="20"/>
                <w:szCs w:val="20"/>
                <w:u w:color="000000"/>
                <w:rtl w:val="0"/>
                <w:lang w:val="en-US"/>
              </w:rPr>
              <w:t>Satisfactory</w:t>
            </w:r>
            <w:r>
              <w:rPr>
                <w:rStyle w:val="None"/>
                <w:outline w:val="0"/>
                <w:sz w:val="20"/>
                <w:szCs w:val="20"/>
                <w:u w:color="000000"/>
                <w:rtl w:val="0"/>
                <w:lang w:val="en-US"/>
              </w:rPr>
              <w:t> </w:t>
            </w:r>
          </w:p>
        </w:tc>
      </w:tr>
      <w:tr>
        <w:tblPrEx>
          <w:shd w:val="clear" w:color="auto" w:fill="cdd4e9"/>
        </w:tblPrEx>
        <w:trPr>
          <w:trHeight w:val="227" w:hRule="atLeast"/>
        </w:trPr>
        <w:tc>
          <w:tcPr>
            <w:tcW w:type="dxa" w:w="3067"/>
            <w:tcBorders>
              <w:top w:val="single" w:color="000000" w:sz="6" w:space="0" w:shadow="0" w:frame="0"/>
              <w:left w:val="single" w:color="004990" w:sz="12" w:space="0" w:shadow="0" w:frame="0"/>
              <w:bottom w:val="single" w:color="000000" w:sz="6" w:space="0" w:shadow="0" w:frame="0"/>
              <w:right w:val="single" w:color="000000" w:sz="6" w:space="0" w:shadow="0" w:frame="0"/>
            </w:tcBorders>
            <w:shd w:val="clear" w:color="auto" w:fill="dae9f7"/>
            <w:tcMar>
              <w:top w:type="dxa" w:w="80"/>
              <w:left w:type="dxa" w:w="80"/>
              <w:bottom w:type="dxa" w:w="80"/>
              <w:right w:type="dxa" w:w="80"/>
            </w:tcMar>
            <w:vAlign w:val="center"/>
          </w:tcPr>
          <w:p>
            <w:pPr>
              <w:pStyle w:val="Body"/>
              <w:bidi w:val="0"/>
              <w:spacing w:after="160" w:line="259" w:lineRule="auto"/>
              <w:ind w:left="0" w:right="0" w:firstLine="0"/>
              <w:jc w:val="right"/>
              <w:rPr>
                <w:rtl w:val="0"/>
              </w:rPr>
            </w:pPr>
            <w:r>
              <w:rPr>
                <w:rStyle w:val="None"/>
                <w:outline w:val="0"/>
                <w:sz w:val="20"/>
                <w:szCs w:val="20"/>
                <w:u w:color="000000"/>
                <w:rtl w:val="0"/>
                <w:lang w:val="en-US"/>
              </w:rPr>
              <w:t>Cost Control:</w:t>
            </w:r>
            <w:r>
              <w:rPr>
                <w:rStyle w:val="None"/>
                <w:outline w:val="0"/>
                <w:sz w:val="20"/>
                <w:szCs w:val="20"/>
                <w:u w:color="000000"/>
                <w:rtl w:val="0"/>
                <w:lang w:val="en-US"/>
              </w:rPr>
              <w:t> </w:t>
            </w:r>
          </w:p>
        </w:tc>
        <w:tc>
          <w:tcPr>
            <w:tcW w:type="dxa" w:w="17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7eaf4"/>
            <w:tcMar>
              <w:top w:type="dxa" w:w="80"/>
              <w:left w:type="dxa" w:w="80"/>
              <w:bottom w:type="dxa" w:w="80"/>
              <w:right w:type="dxa" w:w="80"/>
            </w:tcMar>
            <w:vAlign w:val="center"/>
          </w:tcPr>
          <w:p>
            <w:pPr>
              <w:pStyle w:val="Body"/>
              <w:bidi w:val="0"/>
              <w:spacing w:after="160" w:line="259" w:lineRule="auto"/>
              <w:ind w:left="0" w:right="0" w:firstLine="0"/>
              <w:jc w:val="center"/>
              <w:rPr>
                <w:rtl w:val="0"/>
              </w:rPr>
            </w:pPr>
            <w:r>
              <w:rPr>
                <w:rStyle w:val="None"/>
                <w:outline w:val="0"/>
                <w:sz w:val="20"/>
                <w:szCs w:val="20"/>
                <w:u w:color="000000"/>
                <w:rtl w:val="0"/>
                <w:lang w:val="en-US"/>
              </w:rPr>
              <w:t>N/A</w:t>
            </w:r>
            <w:r>
              <w:rPr>
                <w:rStyle w:val="None"/>
                <w:outline w:val="0"/>
                <w:sz w:val="20"/>
                <w:szCs w:val="20"/>
                <w:u w:color="000000"/>
                <w:rtl w:val="0"/>
                <w:lang w:val="en-US"/>
              </w:rPr>
              <w:t> </w:t>
            </w:r>
          </w:p>
        </w:tc>
        <w:tc>
          <w:tcPr>
            <w:tcW w:type="dxa" w:w="2425"/>
            <w:tcBorders>
              <w:top w:val="single" w:color="000000" w:sz="6" w:space="0" w:shadow="0" w:frame="0"/>
              <w:left w:val="single" w:color="000000" w:sz="6" w:space="0" w:shadow="0" w:frame="0"/>
              <w:bottom w:val="single" w:color="000000" w:sz="6" w:space="0" w:shadow="0" w:frame="0"/>
              <w:right w:val="single" w:color="004990" w:sz="12" w:space="0" w:shadow="0" w:frame="0"/>
            </w:tcBorders>
            <w:shd w:val="clear" w:color="auto" w:fill="e7eaf4"/>
            <w:tcMar>
              <w:top w:type="dxa" w:w="80"/>
              <w:left w:type="dxa" w:w="80"/>
              <w:bottom w:type="dxa" w:w="80"/>
              <w:right w:type="dxa" w:w="80"/>
            </w:tcMar>
            <w:vAlign w:val="center"/>
          </w:tcPr>
          <w:p>
            <w:pPr>
              <w:pStyle w:val="Body"/>
              <w:bidi w:val="0"/>
              <w:spacing w:after="160" w:line="259" w:lineRule="auto"/>
              <w:ind w:left="0" w:right="0" w:firstLine="0"/>
              <w:jc w:val="center"/>
              <w:rPr>
                <w:rtl w:val="0"/>
              </w:rPr>
            </w:pPr>
            <w:r>
              <w:rPr>
                <w:rStyle w:val="None"/>
                <w:outline w:val="0"/>
                <w:sz w:val="20"/>
                <w:szCs w:val="20"/>
                <w:u w:color="000000"/>
                <w:rtl w:val="0"/>
                <w:lang w:val="en-US"/>
              </w:rPr>
              <w:t>Very Good</w:t>
            </w:r>
            <w:r>
              <w:rPr>
                <w:rStyle w:val="None"/>
                <w:outline w:val="0"/>
                <w:sz w:val="20"/>
                <w:szCs w:val="20"/>
                <w:u w:color="000000"/>
                <w:rtl w:val="0"/>
                <w:lang w:val="en-US"/>
              </w:rPr>
              <w:t> </w:t>
            </w:r>
          </w:p>
        </w:tc>
      </w:tr>
      <w:tr>
        <w:tblPrEx>
          <w:shd w:val="clear" w:color="auto" w:fill="cdd4e9"/>
        </w:tblPrEx>
        <w:trPr>
          <w:trHeight w:val="227" w:hRule="atLeast"/>
        </w:trPr>
        <w:tc>
          <w:tcPr>
            <w:tcW w:type="dxa" w:w="3067"/>
            <w:tcBorders>
              <w:top w:val="single" w:color="000000" w:sz="6" w:space="0" w:shadow="0" w:frame="0"/>
              <w:left w:val="single" w:color="004990" w:sz="12" w:space="0" w:shadow="0" w:frame="0"/>
              <w:bottom w:val="single" w:color="000000" w:sz="6" w:space="0" w:shadow="0" w:frame="0"/>
              <w:right w:val="single" w:color="000000" w:sz="6" w:space="0" w:shadow="0" w:frame="0"/>
            </w:tcBorders>
            <w:shd w:val="clear" w:color="auto" w:fill="dae9f7"/>
            <w:tcMar>
              <w:top w:type="dxa" w:w="80"/>
              <w:left w:type="dxa" w:w="80"/>
              <w:bottom w:type="dxa" w:w="80"/>
              <w:right w:type="dxa" w:w="80"/>
            </w:tcMar>
            <w:vAlign w:val="center"/>
          </w:tcPr>
          <w:p>
            <w:pPr>
              <w:pStyle w:val="Body"/>
              <w:bidi w:val="0"/>
              <w:spacing w:after="160" w:line="259" w:lineRule="auto"/>
              <w:ind w:left="0" w:right="0" w:firstLine="0"/>
              <w:jc w:val="right"/>
              <w:rPr>
                <w:rtl w:val="0"/>
              </w:rPr>
            </w:pPr>
            <w:r>
              <w:rPr>
                <w:rStyle w:val="None"/>
                <w:outline w:val="0"/>
                <w:sz w:val="20"/>
                <w:szCs w:val="20"/>
                <w:u w:color="000000"/>
                <w:rtl w:val="0"/>
                <w:lang w:val="en-US"/>
              </w:rPr>
              <w:t>Management:</w:t>
            </w:r>
            <w:r>
              <w:rPr>
                <w:rStyle w:val="None"/>
                <w:outline w:val="0"/>
                <w:sz w:val="20"/>
                <w:szCs w:val="20"/>
                <w:u w:color="000000"/>
                <w:rtl w:val="0"/>
                <w:lang w:val="en-US"/>
              </w:rPr>
              <w:t> </w:t>
            </w:r>
          </w:p>
        </w:tc>
        <w:tc>
          <w:tcPr>
            <w:tcW w:type="dxa" w:w="17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ff7fd"/>
            <w:tcMar>
              <w:top w:type="dxa" w:w="80"/>
              <w:left w:type="dxa" w:w="80"/>
              <w:bottom w:type="dxa" w:w="80"/>
              <w:right w:type="dxa" w:w="80"/>
            </w:tcMar>
            <w:vAlign w:val="center"/>
          </w:tcPr>
          <w:p>
            <w:pPr>
              <w:pStyle w:val="Body"/>
              <w:bidi w:val="0"/>
              <w:spacing w:after="160" w:line="259" w:lineRule="auto"/>
              <w:ind w:left="0" w:right="0" w:firstLine="0"/>
              <w:jc w:val="center"/>
              <w:rPr>
                <w:rtl w:val="0"/>
              </w:rPr>
            </w:pPr>
            <w:r>
              <w:rPr>
                <w:rStyle w:val="None"/>
                <w:outline w:val="0"/>
                <w:sz w:val="20"/>
                <w:szCs w:val="20"/>
                <w:u w:color="000000"/>
                <w:rtl w:val="0"/>
                <w:lang w:val="en-US"/>
              </w:rPr>
              <w:t>N/A</w:t>
            </w:r>
            <w:r>
              <w:rPr>
                <w:rStyle w:val="None"/>
                <w:outline w:val="0"/>
                <w:sz w:val="20"/>
                <w:szCs w:val="20"/>
                <w:u w:color="000000"/>
                <w:rtl w:val="0"/>
                <w:lang w:val="en-US"/>
              </w:rPr>
              <w:t> </w:t>
            </w:r>
          </w:p>
        </w:tc>
        <w:tc>
          <w:tcPr>
            <w:tcW w:type="dxa" w:w="2425"/>
            <w:tcBorders>
              <w:top w:val="single" w:color="000000" w:sz="6" w:space="0" w:shadow="0" w:frame="0"/>
              <w:left w:val="single" w:color="000000" w:sz="6" w:space="0" w:shadow="0" w:frame="0"/>
              <w:bottom w:val="single" w:color="000000" w:sz="6" w:space="0" w:shadow="0" w:frame="0"/>
              <w:right w:val="single" w:color="004990" w:sz="12" w:space="0" w:shadow="0" w:frame="0"/>
            </w:tcBorders>
            <w:shd w:val="clear" w:color="auto" w:fill="eff7fd"/>
            <w:tcMar>
              <w:top w:type="dxa" w:w="80"/>
              <w:left w:type="dxa" w:w="80"/>
              <w:bottom w:type="dxa" w:w="80"/>
              <w:right w:type="dxa" w:w="80"/>
            </w:tcMar>
            <w:vAlign w:val="center"/>
          </w:tcPr>
          <w:p>
            <w:pPr>
              <w:pStyle w:val="Body"/>
              <w:bidi w:val="0"/>
              <w:spacing w:after="160" w:line="259" w:lineRule="auto"/>
              <w:ind w:left="0" w:right="0" w:firstLine="0"/>
              <w:jc w:val="center"/>
              <w:rPr>
                <w:rtl w:val="0"/>
              </w:rPr>
            </w:pPr>
            <w:r>
              <w:rPr>
                <w:rStyle w:val="None"/>
                <w:outline w:val="0"/>
                <w:sz w:val="20"/>
                <w:szCs w:val="20"/>
                <w:u w:color="000000"/>
                <w:rtl w:val="0"/>
                <w:lang w:val="en-US"/>
              </w:rPr>
              <w:t>Very Good</w:t>
            </w:r>
            <w:r>
              <w:rPr>
                <w:rStyle w:val="None"/>
                <w:outline w:val="0"/>
                <w:sz w:val="20"/>
                <w:szCs w:val="20"/>
                <w:u w:color="000000"/>
                <w:rtl w:val="0"/>
                <w:lang w:val="en-US"/>
              </w:rPr>
              <w:t> </w:t>
            </w:r>
          </w:p>
        </w:tc>
      </w:tr>
      <w:tr>
        <w:tblPrEx>
          <w:shd w:val="clear" w:color="auto" w:fill="cdd4e9"/>
        </w:tblPrEx>
        <w:trPr>
          <w:trHeight w:val="227" w:hRule="atLeast"/>
        </w:trPr>
        <w:tc>
          <w:tcPr>
            <w:tcW w:type="dxa" w:w="3067"/>
            <w:tcBorders>
              <w:top w:val="single" w:color="000000" w:sz="6" w:space="0" w:shadow="0" w:frame="0"/>
              <w:left w:val="single" w:color="004990" w:sz="12" w:space="0" w:shadow="0" w:frame="0"/>
              <w:bottom w:val="single" w:color="000000" w:sz="6" w:space="0" w:shadow="0" w:frame="0"/>
              <w:right w:val="single" w:color="000000" w:sz="6" w:space="0" w:shadow="0" w:frame="0"/>
            </w:tcBorders>
            <w:shd w:val="clear" w:color="auto" w:fill="dae9f7"/>
            <w:tcMar>
              <w:top w:type="dxa" w:w="80"/>
              <w:left w:type="dxa" w:w="80"/>
              <w:bottom w:type="dxa" w:w="80"/>
              <w:right w:type="dxa" w:w="80"/>
            </w:tcMar>
            <w:vAlign w:val="center"/>
          </w:tcPr>
          <w:p>
            <w:pPr>
              <w:pStyle w:val="Body"/>
              <w:bidi w:val="0"/>
              <w:spacing w:after="160" w:line="259" w:lineRule="auto"/>
              <w:ind w:left="0" w:right="0" w:firstLine="0"/>
              <w:jc w:val="right"/>
              <w:rPr>
                <w:rtl w:val="0"/>
              </w:rPr>
            </w:pPr>
            <w:r>
              <w:rPr>
                <w:rStyle w:val="None"/>
                <w:outline w:val="0"/>
                <w:sz w:val="20"/>
                <w:szCs w:val="20"/>
                <w:u w:color="000000"/>
                <w:rtl w:val="0"/>
                <w:lang w:val="en-US"/>
              </w:rPr>
              <w:t>Small Business Subcontracting</w:t>
            </w:r>
            <w:r>
              <w:rPr>
                <w:rStyle w:val="None"/>
                <w:outline w:val="0"/>
                <w:sz w:val="20"/>
                <w:szCs w:val="20"/>
                <w:u w:color="000000"/>
                <w:rtl w:val="0"/>
                <w:lang w:val="en-US"/>
              </w:rPr>
              <w:t> </w:t>
            </w:r>
          </w:p>
        </w:tc>
        <w:tc>
          <w:tcPr>
            <w:tcW w:type="dxa" w:w="17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7eaf4"/>
            <w:tcMar>
              <w:top w:type="dxa" w:w="80"/>
              <w:left w:type="dxa" w:w="80"/>
              <w:bottom w:type="dxa" w:w="80"/>
              <w:right w:type="dxa" w:w="80"/>
            </w:tcMar>
            <w:vAlign w:val="center"/>
          </w:tcPr>
          <w:p>
            <w:pPr>
              <w:pStyle w:val="Body"/>
              <w:bidi w:val="0"/>
              <w:spacing w:after="160" w:line="259" w:lineRule="auto"/>
              <w:ind w:left="0" w:right="0" w:firstLine="0"/>
              <w:jc w:val="center"/>
              <w:rPr>
                <w:rtl w:val="0"/>
              </w:rPr>
            </w:pPr>
            <w:r>
              <w:rPr>
                <w:rStyle w:val="None"/>
                <w:outline w:val="0"/>
                <w:sz w:val="20"/>
                <w:szCs w:val="20"/>
                <w:u w:color="000000"/>
                <w:rtl w:val="0"/>
                <w:lang w:val="en-US"/>
              </w:rPr>
              <w:t>N/A</w:t>
            </w:r>
            <w:r>
              <w:rPr>
                <w:rStyle w:val="None"/>
                <w:outline w:val="0"/>
                <w:sz w:val="20"/>
                <w:szCs w:val="20"/>
                <w:u w:color="000000"/>
                <w:rtl w:val="0"/>
                <w:lang w:val="en-US"/>
              </w:rPr>
              <w:t> </w:t>
            </w:r>
          </w:p>
        </w:tc>
        <w:tc>
          <w:tcPr>
            <w:tcW w:type="dxa" w:w="2425"/>
            <w:tcBorders>
              <w:top w:val="single" w:color="000000" w:sz="6" w:space="0" w:shadow="0" w:frame="0"/>
              <w:left w:val="single" w:color="000000" w:sz="6" w:space="0" w:shadow="0" w:frame="0"/>
              <w:bottom w:val="single" w:color="000000" w:sz="6" w:space="0" w:shadow="0" w:frame="0"/>
              <w:right w:val="single" w:color="004990" w:sz="12" w:space="0" w:shadow="0" w:frame="0"/>
            </w:tcBorders>
            <w:shd w:val="clear" w:color="auto" w:fill="e7eaf4"/>
            <w:tcMar>
              <w:top w:type="dxa" w:w="80"/>
              <w:left w:type="dxa" w:w="80"/>
              <w:bottom w:type="dxa" w:w="80"/>
              <w:right w:type="dxa" w:w="80"/>
            </w:tcMar>
            <w:vAlign w:val="center"/>
          </w:tcPr>
          <w:p>
            <w:pPr>
              <w:pStyle w:val="Body"/>
              <w:bidi w:val="0"/>
              <w:spacing w:after="160" w:line="259" w:lineRule="auto"/>
              <w:ind w:left="0" w:right="0" w:firstLine="0"/>
              <w:jc w:val="center"/>
              <w:rPr>
                <w:rtl w:val="0"/>
              </w:rPr>
            </w:pPr>
            <w:r>
              <w:rPr>
                <w:rStyle w:val="None"/>
                <w:outline w:val="0"/>
                <w:sz w:val="20"/>
                <w:szCs w:val="20"/>
                <w:u w:color="000000"/>
                <w:rtl w:val="0"/>
                <w:lang w:val="en-US"/>
              </w:rPr>
              <w:t>N/A</w:t>
            </w:r>
            <w:r>
              <w:rPr>
                <w:rStyle w:val="None"/>
                <w:outline w:val="0"/>
                <w:sz w:val="20"/>
                <w:szCs w:val="20"/>
                <w:u w:color="000000"/>
                <w:rtl w:val="0"/>
                <w:lang w:val="en-US"/>
              </w:rPr>
              <w:t> </w:t>
            </w:r>
          </w:p>
        </w:tc>
      </w:tr>
      <w:tr>
        <w:tblPrEx>
          <w:shd w:val="clear" w:color="auto" w:fill="cdd4e9"/>
        </w:tblPrEx>
        <w:trPr>
          <w:trHeight w:val="234" w:hRule="atLeast"/>
        </w:trPr>
        <w:tc>
          <w:tcPr>
            <w:tcW w:type="dxa" w:w="3067"/>
            <w:tcBorders>
              <w:top w:val="single" w:color="000000" w:sz="6" w:space="0" w:shadow="0" w:frame="0"/>
              <w:left w:val="single" w:color="004990" w:sz="12" w:space="0" w:shadow="0" w:frame="0"/>
              <w:bottom w:val="single" w:color="004990" w:sz="12" w:space="0" w:shadow="0" w:frame="0"/>
              <w:right w:val="single" w:color="000000" w:sz="6" w:space="0" w:shadow="0" w:frame="0"/>
            </w:tcBorders>
            <w:shd w:val="clear" w:color="auto" w:fill="dae9f7"/>
            <w:tcMar>
              <w:top w:type="dxa" w:w="80"/>
              <w:left w:type="dxa" w:w="80"/>
              <w:bottom w:type="dxa" w:w="80"/>
              <w:right w:type="dxa" w:w="80"/>
            </w:tcMar>
            <w:vAlign w:val="center"/>
          </w:tcPr>
          <w:p>
            <w:pPr>
              <w:pStyle w:val="Body"/>
              <w:bidi w:val="0"/>
              <w:spacing w:after="160" w:line="259" w:lineRule="auto"/>
              <w:ind w:left="0" w:right="0" w:firstLine="0"/>
              <w:jc w:val="right"/>
              <w:rPr>
                <w:rtl w:val="0"/>
              </w:rPr>
            </w:pPr>
            <w:r>
              <w:rPr>
                <w:rStyle w:val="None"/>
                <w:outline w:val="0"/>
                <w:sz w:val="20"/>
                <w:szCs w:val="20"/>
                <w:u w:color="000000"/>
                <w:rtl w:val="0"/>
                <w:lang w:val="en-US"/>
              </w:rPr>
              <w:t>Regulatory Compliance</w:t>
            </w:r>
            <w:r>
              <w:rPr>
                <w:rStyle w:val="None"/>
                <w:outline w:val="0"/>
                <w:sz w:val="20"/>
                <w:szCs w:val="20"/>
                <w:u w:color="000000"/>
                <w:rtl w:val="0"/>
                <w:lang w:val="en-US"/>
              </w:rPr>
              <w:t> </w:t>
            </w:r>
          </w:p>
        </w:tc>
        <w:tc>
          <w:tcPr>
            <w:tcW w:type="dxa" w:w="1783"/>
            <w:tcBorders>
              <w:top w:val="single" w:color="000000" w:sz="6" w:space="0" w:shadow="0" w:frame="0"/>
              <w:left w:val="single" w:color="000000" w:sz="6" w:space="0" w:shadow="0" w:frame="0"/>
              <w:bottom w:val="single" w:color="004990" w:sz="12" w:space="0" w:shadow="0" w:frame="0"/>
              <w:right w:val="single" w:color="000000" w:sz="6" w:space="0" w:shadow="0" w:frame="0"/>
            </w:tcBorders>
            <w:shd w:val="clear" w:color="auto" w:fill="eff7fd"/>
            <w:tcMar>
              <w:top w:type="dxa" w:w="80"/>
              <w:left w:type="dxa" w:w="80"/>
              <w:bottom w:type="dxa" w:w="80"/>
              <w:right w:type="dxa" w:w="80"/>
            </w:tcMar>
            <w:vAlign w:val="center"/>
          </w:tcPr>
          <w:p>
            <w:pPr>
              <w:pStyle w:val="Body"/>
              <w:bidi w:val="0"/>
              <w:spacing w:after="160" w:line="259" w:lineRule="auto"/>
              <w:ind w:left="0" w:right="0" w:firstLine="0"/>
              <w:jc w:val="center"/>
              <w:rPr>
                <w:rtl w:val="0"/>
              </w:rPr>
            </w:pPr>
            <w:r>
              <w:rPr>
                <w:rStyle w:val="None"/>
                <w:outline w:val="0"/>
                <w:sz w:val="20"/>
                <w:szCs w:val="20"/>
                <w:u w:color="000000"/>
                <w:rtl w:val="0"/>
                <w:lang w:val="en-US"/>
              </w:rPr>
              <w:t>N/A</w:t>
            </w:r>
            <w:r>
              <w:rPr>
                <w:rStyle w:val="None"/>
                <w:outline w:val="0"/>
                <w:sz w:val="20"/>
                <w:szCs w:val="20"/>
                <w:u w:color="000000"/>
                <w:rtl w:val="0"/>
                <w:lang w:val="en-US"/>
              </w:rPr>
              <w:t> </w:t>
            </w:r>
          </w:p>
        </w:tc>
        <w:tc>
          <w:tcPr>
            <w:tcW w:type="dxa" w:w="2425"/>
            <w:tcBorders>
              <w:top w:val="single" w:color="000000" w:sz="6" w:space="0" w:shadow="0" w:frame="0"/>
              <w:left w:val="single" w:color="000000" w:sz="6" w:space="0" w:shadow="0" w:frame="0"/>
              <w:bottom w:val="single" w:color="004990" w:sz="12" w:space="0" w:shadow="0" w:frame="0"/>
              <w:right w:val="single" w:color="004990" w:sz="12" w:space="0" w:shadow="0" w:frame="0"/>
            </w:tcBorders>
            <w:shd w:val="clear" w:color="auto" w:fill="eff7fd"/>
            <w:tcMar>
              <w:top w:type="dxa" w:w="80"/>
              <w:left w:type="dxa" w:w="80"/>
              <w:bottom w:type="dxa" w:w="80"/>
              <w:right w:type="dxa" w:w="80"/>
            </w:tcMar>
            <w:vAlign w:val="center"/>
          </w:tcPr>
          <w:p>
            <w:pPr>
              <w:pStyle w:val="Body"/>
              <w:bidi w:val="0"/>
              <w:spacing w:after="160" w:line="259" w:lineRule="auto"/>
              <w:ind w:left="0" w:right="0" w:firstLine="0"/>
              <w:jc w:val="center"/>
              <w:rPr>
                <w:rtl w:val="0"/>
              </w:rPr>
            </w:pPr>
            <w:r>
              <w:rPr>
                <w:rStyle w:val="None"/>
                <w:outline w:val="0"/>
                <w:sz w:val="20"/>
                <w:szCs w:val="20"/>
                <w:u w:color="000000"/>
                <w:rtl w:val="0"/>
                <w:lang w:val="en-US"/>
              </w:rPr>
              <w:t>Satisfactory</w:t>
            </w:r>
            <w:r>
              <w:rPr>
                <w:rStyle w:val="None"/>
                <w:outline w:val="0"/>
                <w:sz w:val="20"/>
                <w:szCs w:val="20"/>
                <w:u w:color="000000"/>
                <w:rtl w:val="0"/>
                <w:lang w:val="en-US"/>
              </w:rPr>
              <w:t> </w:t>
            </w:r>
          </w:p>
        </w:tc>
      </w:tr>
    </w:tbl>
    <w:p>
      <w:pPr>
        <w:pStyle w:val="Body"/>
        <w:widowControl w:val="0"/>
        <w:bidi w:val="0"/>
        <w:spacing w:after="160" w:line="240" w:lineRule="auto"/>
        <w:ind w:left="0" w:right="0" w:firstLine="0"/>
        <w:jc w:val="center"/>
        <w:rPr>
          <w:rFonts w:ascii="Calibri" w:cs="Calibri" w:hAnsi="Calibri" w:eastAsia="Calibri"/>
          <w:outline w:val="0"/>
          <w:sz w:val="22"/>
          <w:szCs w:val="22"/>
          <w:u w:color="000000"/>
          <w:rtl w:val="0"/>
        </w:rPr>
      </w:pPr>
    </w:p>
    <w:p>
      <w:pPr>
        <w:pStyle w:val="Body"/>
        <w:bidi w:val="0"/>
        <w:spacing w:after="160" w:line="259" w:lineRule="auto"/>
        <w:ind w:left="0" w:right="0" w:firstLine="0"/>
        <w:jc w:val="left"/>
        <w:rPr>
          <w:outline w:val="0"/>
          <w:sz w:val="22"/>
          <w:szCs w:val="22"/>
          <w:u w:color="000000"/>
          <w:rtl w:val="0"/>
        </w:rPr>
      </w:pPr>
      <w:r>
        <w:rPr>
          <w:outline w:val="0"/>
          <w:sz w:val="22"/>
          <w:szCs w:val="22"/>
          <w:u w:color="000000"/>
          <w:rtl w:val="0"/>
        </w:rPr>
        <w:t> </w:t>
      </w:r>
      <w:r>
        <w:rPr>
          <w:rStyle w:val="None"/>
          <w:b w:val="1"/>
          <w:bCs w:val="1"/>
          <w:i w:val="1"/>
          <w:iCs w:val="1"/>
          <w:outline w:val="0"/>
          <w:sz w:val="22"/>
          <w:szCs w:val="22"/>
          <w:u w:val="single" w:color="000000"/>
          <w:rtl w:val="0"/>
          <w:lang w:val="en-US"/>
        </w:rPr>
        <w:t>Transition Successes</w:t>
      </w:r>
      <w:r>
        <w:rPr>
          <w:outline w:val="0"/>
          <w:sz w:val="22"/>
          <w:szCs w:val="22"/>
          <w:u w:color="000000"/>
          <w:rtl w:val="0"/>
          <w:lang w:val="en-US"/>
        </w:rPr>
        <w:t xml:space="preserve"> — </w:t>
      </w:r>
      <w:r>
        <w:rPr>
          <w:outline w:val="0"/>
          <w:sz w:val="22"/>
          <w:szCs w:val="22"/>
          <w:u w:color="000000"/>
          <w:rtl w:val="0"/>
          <w:lang w:val="en-US"/>
        </w:rPr>
        <w:t>HunaTek understands the complexities of transitioning mission critical contracts. Our strategy and focus during all program transitions centers on the following:</w:t>
      </w:r>
    </w:p>
    <w:p>
      <w:pPr>
        <w:pStyle w:val="Body"/>
        <w:numPr>
          <w:ilvl w:val="0"/>
          <w:numId w:val="6"/>
        </w:numPr>
        <w:bidi w:val="0"/>
      </w:pPr>
      <w:r>
        <w:rPr>
          <w:rFonts w:cs="Arial Unicode MS" w:eastAsia="Arial Unicode MS"/>
          <w:rtl w:val="0"/>
          <w:lang w:val="en-US"/>
        </w:rPr>
        <w:t xml:space="preserve">A risk-centric system focusing on stabilizing a program during its initial transition while minimizing operational impact and business processes captured. </w:t>
      </w:r>
    </w:p>
    <w:p>
      <w:pPr>
        <w:pStyle w:val="Body"/>
        <w:numPr>
          <w:ilvl w:val="0"/>
          <w:numId w:val="6"/>
        </w:numPr>
        <w:bidi w:val="0"/>
      </w:pPr>
      <w:r>
        <w:rPr>
          <w:rFonts w:cs="Arial Unicode MS" w:eastAsia="Arial Unicode MS"/>
          <w:rtl w:val="0"/>
          <w:lang w:val="en-US"/>
        </w:rPr>
        <w:t xml:space="preserve">Incumbent capture of 80% or more while bringing in new talent for the remaining 20%. </w:t>
      </w:r>
    </w:p>
    <w:p>
      <w:pPr>
        <w:pStyle w:val="Body"/>
        <w:numPr>
          <w:ilvl w:val="0"/>
          <w:numId w:val="6"/>
        </w:numPr>
        <w:bidi w:val="0"/>
      </w:pPr>
      <w:r>
        <w:rPr>
          <w:rFonts w:cs="Arial Unicode MS" w:eastAsia="Arial Unicode MS"/>
          <w:rtl w:val="0"/>
          <w:lang w:val="en-US"/>
        </w:rPr>
        <w:t>Minimizes risk of losing domain knowledge at the critical start of contract, while allowing for the opportunity of new ideas and innovation from new talent.</w:t>
      </w:r>
    </w:p>
    <w:p>
      <w:pPr>
        <w:pStyle w:val="Body"/>
        <w:bidi w:val="0"/>
      </w:pPr>
      <w:r>
        <w:rPr>
          <w:rFonts w:cs="Arial Unicode MS" w:eastAsia="Arial Unicode MS"/>
          <w:rtl w:val="0"/>
          <w:lang w:val="en-US"/>
        </w:rPr>
        <w:t>Our results below highlight the successes we</w:t>
      </w:r>
      <w:r>
        <w:rPr>
          <w:rFonts w:cs="Arial Unicode MS" w:eastAsia="Arial Unicode MS" w:hint="default"/>
          <w:rtl w:val="1"/>
        </w:rPr>
        <w:t>’</w:t>
      </w:r>
      <w:r>
        <w:rPr>
          <w:rFonts w:cs="Arial Unicode MS" w:eastAsia="Arial Unicode MS"/>
          <w:rtl w:val="0"/>
          <w:lang w:val="en-US"/>
        </w:rPr>
        <w:t>ve enjoyed with our government partner community:</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793"/>
        <w:gridCol w:w="1519"/>
        <w:gridCol w:w="1519"/>
        <w:gridCol w:w="1519"/>
      </w:tblGrid>
      <w:tr>
        <w:tblPrEx>
          <w:shd w:val="clear" w:color="auto" w:fill="cdd4e9"/>
        </w:tblPrEx>
        <w:trPr>
          <w:trHeight w:val="442" w:hRule="atLeast"/>
        </w:trPr>
        <w:tc>
          <w:tcPr>
            <w:tcW w:type="dxa" w:w="4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da9d5"/>
            <w:tcMar>
              <w:top w:type="dxa" w:w="80"/>
              <w:left w:type="dxa" w:w="80"/>
              <w:bottom w:type="dxa" w:w="80"/>
              <w:right w:type="dxa" w:w="80"/>
            </w:tcMar>
            <w:vAlign w:val="center"/>
          </w:tcPr>
          <w:p>
            <w:pPr>
              <w:pStyle w:val="Body"/>
              <w:bidi w:val="0"/>
              <w:spacing w:after="160" w:line="259" w:lineRule="auto"/>
              <w:ind w:left="0" w:right="0" w:firstLine="0"/>
              <w:jc w:val="center"/>
              <w:rPr>
                <w:rtl w:val="0"/>
              </w:rPr>
            </w:pPr>
            <w:r>
              <w:rPr>
                <w:rStyle w:val="None"/>
                <w:b w:val="1"/>
                <w:bCs w:val="1"/>
                <w:outline w:val="0"/>
                <w:color w:val="ffffff"/>
                <w:sz w:val="20"/>
                <w:szCs w:val="20"/>
                <w:u w:color="ffffff"/>
                <w:rtl w:val="0"/>
                <w:lang w:val="en-US"/>
              </w:rPr>
              <w:t>Program</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da9d5"/>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b w:val="1"/>
                <w:bCs w:val="1"/>
                <w:outline w:val="0"/>
                <w:color w:val="ffffff"/>
                <w:sz w:val="20"/>
                <w:szCs w:val="20"/>
                <w:u w:color="ffffff"/>
                <w:rtl w:val="0"/>
                <w:lang w:val="en-US"/>
              </w:rPr>
              <w:t>Transition Days</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da9d5"/>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b w:val="1"/>
                <w:bCs w:val="1"/>
                <w:outline w:val="0"/>
                <w:color w:val="ffffff"/>
                <w:sz w:val="20"/>
                <w:szCs w:val="20"/>
                <w:u w:color="ffffff"/>
                <w:rtl w:val="0"/>
                <w:lang w:val="en-US"/>
              </w:rPr>
              <w:t>Incumbent Capture %</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da9d5"/>
            <w:tcMar>
              <w:top w:type="dxa" w:w="80"/>
              <w:left w:type="dxa" w:w="80"/>
              <w:bottom w:type="dxa" w:w="80"/>
              <w:right w:type="dxa" w:w="80"/>
            </w:tcMar>
            <w:vAlign w:val="center"/>
          </w:tcPr>
          <w:p>
            <w:pPr>
              <w:pStyle w:val="Body"/>
              <w:bidi w:val="0"/>
              <w:spacing w:after="0" w:line="240" w:lineRule="auto"/>
              <w:ind w:left="0" w:right="0" w:firstLine="0"/>
              <w:jc w:val="center"/>
              <w:rPr>
                <w:rtl w:val="0"/>
              </w:rPr>
            </w:pPr>
            <w:r>
              <w:rPr>
                <w:rStyle w:val="None"/>
                <w:b w:val="1"/>
                <w:bCs w:val="1"/>
                <w:outline w:val="0"/>
                <w:color w:val="ffffff"/>
                <w:sz w:val="20"/>
                <w:szCs w:val="20"/>
                <w:u w:color="ffffff"/>
                <w:rtl w:val="0"/>
                <w:lang w:val="en-US"/>
              </w:rPr>
              <w:t>FTE</w:t>
            </w:r>
            <w:r>
              <w:rPr>
                <w:rStyle w:val="None"/>
                <w:b w:val="1"/>
                <w:bCs w:val="1"/>
                <w:outline w:val="0"/>
                <w:color w:val="ffffff"/>
                <w:sz w:val="20"/>
                <w:szCs w:val="20"/>
                <w:u w:color="ffffff"/>
                <w:rtl w:val="0"/>
                <w:lang w:val="en-US"/>
              </w:rPr>
              <w:t>’</w:t>
            </w:r>
            <w:r>
              <w:rPr>
                <w:rStyle w:val="None"/>
                <w:b w:val="1"/>
                <w:bCs w:val="1"/>
                <w:outline w:val="0"/>
                <w:color w:val="ffffff"/>
                <w:sz w:val="20"/>
                <w:szCs w:val="20"/>
                <w:u w:color="ffffff"/>
                <w:rtl w:val="0"/>
                <w:lang w:val="en-US"/>
              </w:rPr>
              <w:t>s</w:t>
            </w:r>
          </w:p>
        </w:tc>
      </w:tr>
      <w:tr>
        <w:tblPrEx>
          <w:shd w:val="clear" w:color="auto" w:fill="cdd4e9"/>
        </w:tblPrEx>
        <w:trPr>
          <w:trHeight w:val="442" w:hRule="atLeast"/>
        </w:trPr>
        <w:tc>
          <w:tcPr>
            <w:tcW w:type="dxa" w:w="4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left"/>
              <w:rPr>
                <w:rtl w:val="0"/>
              </w:rPr>
            </w:pPr>
            <w:r>
              <w:rPr>
                <w:rStyle w:val="None"/>
                <w:outline w:val="0"/>
                <w:sz w:val="20"/>
                <w:szCs w:val="20"/>
                <w:u w:color="000000"/>
                <w:rtl w:val="0"/>
                <w:lang w:val="en-US"/>
              </w:rPr>
              <w:t>Air Force Special Operations Command (AFSOC) Processing, Exploitation and Dissemination (PED)</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center"/>
              <w:rPr>
                <w:rtl w:val="0"/>
              </w:rPr>
            </w:pPr>
            <w:r>
              <w:rPr>
                <w:rStyle w:val="None"/>
                <w:outline w:val="0"/>
                <w:sz w:val="20"/>
                <w:szCs w:val="20"/>
                <w:u w:color="000000"/>
                <w:rtl w:val="0"/>
                <w:lang w:val="en-US"/>
              </w:rPr>
              <w:t>0</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center"/>
              <w:rPr>
                <w:rtl w:val="0"/>
              </w:rPr>
            </w:pPr>
            <w:r>
              <w:rPr>
                <w:rStyle w:val="None"/>
                <w:outline w:val="0"/>
                <w:sz w:val="20"/>
                <w:szCs w:val="20"/>
                <w:u w:color="000000"/>
                <w:rtl w:val="0"/>
                <w:lang w:val="en-US"/>
              </w:rPr>
              <w:t>100%</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center"/>
              <w:rPr>
                <w:rtl w:val="0"/>
              </w:rPr>
            </w:pPr>
            <w:r>
              <w:rPr>
                <w:rStyle w:val="None"/>
                <w:outline w:val="0"/>
                <w:sz w:val="20"/>
                <w:szCs w:val="20"/>
                <w:u w:color="000000"/>
                <w:rtl w:val="0"/>
                <w:lang w:val="en-US"/>
              </w:rPr>
              <w:t>14</w:t>
            </w:r>
          </w:p>
        </w:tc>
      </w:tr>
      <w:tr>
        <w:tblPrEx>
          <w:shd w:val="clear" w:color="auto" w:fill="cdd4e9"/>
        </w:tblPrEx>
        <w:trPr>
          <w:trHeight w:val="222" w:hRule="atLeast"/>
        </w:trPr>
        <w:tc>
          <w:tcPr>
            <w:tcW w:type="dxa" w:w="4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Style w:val="None"/>
                <w:outline w:val="0"/>
                <w:sz w:val="20"/>
                <w:szCs w:val="20"/>
                <w:u w:color="000000"/>
                <w:rtl w:val="0"/>
                <w:lang w:val="en-US"/>
              </w:rPr>
              <w:t>United States Marine Corps End to End (E2E) Support</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center"/>
              <w:rPr>
                <w:rtl w:val="0"/>
              </w:rPr>
            </w:pPr>
            <w:r>
              <w:rPr>
                <w:rStyle w:val="None"/>
                <w:outline w:val="0"/>
                <w:sz w:val="20"/>
                <w:szCs w:val="20"/>
                <w:u w:color="000000"/>
                <w:rtl w:val="0"/>
                <w:lang w:val="en-US"/>
              </w:rPr>
              <w:t>1 Day</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center"/>
              <w:rPr>
                <w:rtl w:val="0"/>
              </w:rPr>
            </w:pPr>
            <w:r>
              <w:rPr>
                <w:rStyle w:val="None"/>
                <w:outline w:val="0"/>
                <w:sz w:val="20"/>
                <w:szCs w:val="20"/>
                <w:u w:color="000000"/>
                <w:rtl w:val="0"/>
                <w:lang w:val="en-US"/>
              </w:rPr>
              <w:t>100%</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center"/>
              <w:rPr>
                <w:rtl w:val="0"/>
              </w:rPr>
            </w:pPr>
            <w:r>
              <w:rPr>
                <w:rStyle w:val="None"/>
                <w:outline w:val="0"/>
                <w:sz w:val="20"/>
                <w:szCs w:val="20"/>
                <w:u w:color="000000"/>
                <w:rtl w:val="0"/>
                <w:lang w:val="en-US"/>
              </w:rPr>
              <w:t>18</w:t>
            </w:r>
          </w:p>
        </w:tc>
      </w:tr>
      <w:tr>
        <w:tblPrEx>
          <w:shd w:val="clear" w:color="auto" w:fill="cdd4e9"/>
        </w:tblPrEx>
        <w:trPr>
          <w:trHeight w:val="442" w:hRule="atLeast"/>
        </w:trPr>
        <w:tc>
          <w:tcPr>
            <w:tcW w:type="dxa" w:w="4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left"/>
              <w:rPr>
                <w:rtl w:val="0"/>
              </w:rPr>
            </w:pPr>
            <w:r>
              <w:rPr>
                <w:rStyle w:val="None"/>
                <w:outline w:val="0"/>
                <w:sz w:val="20"/>
                <w:szCs w:val="20"/>
                <w:u w:color="000000"/>
                <w:rtl w:val="0"/>
                <w:lang w:val="en-US"/>
              </w:rPr>
              <w:t>U.S. Army Office of the Judge Advocate General IT Support (OTJAG)</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center"/>
              <w:rPr>
                <w:rtl w:val="0"/>
              </w:rPr>
            </w:pPr>
            <w:r>
              <w:rPr>
                <w:rStyle w:val="None"/>
                <w:outline w:val="0"/>
                <w:sz w:val="20"/>
                <w:szCs w:val="20"/>
                <w:u w:color="000000"/>
                <w:rtl w:val="0"/>
                <w:lang w:val="en-US"/>
              </w:rPr>
              <w:t>1 Day</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center"/>
              <w:rPr>
                <w:rtl w:val="0"/>
              </w:rPr>
            </w:pPr>
            <w:r>
              <w:rPr>
                <w:rStyle w:val="None"/>
                <w:outline w:val="0"/>
                <w:sz w:val="20"/>
                <w:szCs w:val="20"/>
                <w:u w:color="000000"/>
                <w:rtl w:val="0"/>
                <w:lang w:val="en-US"/>
              </w:rPr>
              <w:t>100%</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center"/>
              <w:rPr>
                <w:rtl w:val="0"/>
              </w:rPr>
            </w:pPr>
            <w:r>
              <w:rPr>
                <w:rStyle w:val="None"/>
                <w:outline w:val="0"/>
                <w:sz w:val="20"/>
                <w:szCs w:val="20"/>
                <w:u w:color="000000"/>
                <w:rtl w:val="0"/>
                <w:lang w:val="en-US"/>
              </w:rPr>
              <w:t>33</w:t>
            </w:r>
          </w:p>
        </w:tc>
      </w:tr>
      <w:tr>
        <w:tblPrEx>
          <w:shd w:val="clear" w:color="auto" w:fill="cdd4e9"/>
        </w:tblPrEx>
        <w:trPr>
          <w:trHeight w:val="442" w:hRule="atLeast"/>
        </w:trPr>
        <w:tc>
          <w:tcPr>
            <w:tcW w:type="dxa" w:w="4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Style w:val="None"/>
                <w:outline w:val="0"/>
                <w:sz w:val="20"/>
                <w:szCs w:val="20"/>
                <w:u w:color="000000"/>
                <w:rtl w:val="0"/>
                <w:lang w:val="en-US"/>
              </w:rPr>
              <w:t>Department of State Network Operations Branch IT Services (NOMBIT)</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center"/>
              <w:rPr>
                <w:rtl w:val="0"/>
              </w:rPr>
            </w:pPr>
            <w:r>
              <w:rPr>
                <w:rStyle w:val="None"/>
                <w:outline w:val="0"/>
                <w:sz w:val="20"/>
                <w:szCs w:val="20"/>
                <w:u w:color="000000"/>
                <w:rtl w:val="0"/>
                <w:lang w:val="en-US"/>
              </w:rPr>
              <w:t>14 Day</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center"/>
              <w:rPr>
                <w:rtl w:val="0"/>
              </w:rPr>
            </w:pPr>
            <w:r>
              <w:rPr>
                <w:rStyle w:val="None"/>
                <w:outline w:val="0"/>
                <w:sz w:val="20"/>
                <w:szCs w:val="20"/>
                <w:u w:color="000000"/>
                <w:rtl w:val="0"/>
                <w:lang w:val="en-US"/>
              </w:rPr>
              <w:t>82%</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center"/>
              <w:rPr>
                <w:rtl w:val="0"/>
              </w:rPr>
            </w:pPr>
            <w:r>
              <w:rPr>
                <w:rStyle w:val="None"/>
                <w:outline w:val="0"/>
                <w:sz w:val="20"/>
                <w:szCs w:val="20"/>
                <w:u w:color="000000"/>
                <w:rtl w:val="0"/>
                <w:lang w:val="en-US"/>
              </w:rPr>
              <w:t>17</w:t>
            </w:r>
          </w:p>
        </w:tc>
      </w:tr>
    </w:tbl>
    <w:p>
      <w:pPr>
        <w:pStyle w:val="Body"/>
        <w:widowControl w:val="0"/>
        <w:bidi w:val="0"/>
        <w:spacing w:after="160" w:line="240" w:lineRule="auto"/>
        <w:ind w:left="0" w:right="0" w:firstLine="0"/>
        <w:jc w:val="left"/>
        <w:rPr>
          <w:rFonts w:ascii="Calibri" w:cs="Calibri" w:hAnsi="Calibri" w:eastAsia="Calibri"/>
          <w:outline w:val="0"/>
          <w:sz w:val="22"/>
          <w:szCs w:val="22"/>
          <w:u w:color="000000"/>
          <w:rtl w:val="0"/>
        </w:rPr>
      </w:pPr>
    </w:p>
    <w:p>
      <w:pPr>
        <w:pStyle w:val="Body"/>
        <w:bidi w:val="0"/>
      </w:pPr>
      <w:r>
        <w:rPr>
          <w:rFonts w:cs="Arial Unicode MS" w:eastAsia="Arial Unicode MS"/>
          <w:rtl w:val="0"/>
          <w:lang w:val="en-US"/>
        </w:rPr>
        <w:t xml:space="preserve">As part of transition, we implement a </w:t>
      </w:r>
      <w:r>
        <w:rPr>
          <w:rFonts w:cs="Arial Unicode MS" w:eastAsia="Arial Unicode MS"/>
          <w:rtl w:val="0"/>
          <w:lang w:val="en-US"/>
        </w:rPr>
        <w:t>Pre-Award Planning</w:t>
      </w:r>
      <w:r>
        <w:rPr>
          <w:rFonts w:cs="Arial Unicode MS" w:eastAsia="Arial Unicode MS"/>
          <w:rtl w:val="0"/>
          <w:lang w:val="en-US"/>
        </w:rPr>
        <w:t xml:space="preserve"> cycle</w:t>
      </w:r>
      <w:r>
        <w:rPr>
          <w:rFonts w:cs="Arial Unicode MS" w:eastAsia="Arial Unicode MS"/>
          <w:rtl w:val="0"/>
        </w:rPr>
        <w:t xml:space="preserve">. </w:t>
      </w:r>
      <w:r>
        <w:rPr>
          <w:rFonts w:cs="Arial Unicode MS" w:eastAsia="Arial Unicode MS"/>
          <w:rtl w:val="0"/>
          <w:lang w:val="en-US"/>
        </w:rPr>
        <w:t>HunaTek</w:t>
      </w:r>
      <w:r>
        <w:rPr>
          <w:rFonts w:cs="Arial Unicode MS" w:eastAsia="Arial Unicode MS"/>
          <w:rtl w:val="0"/>
          <w:lang w:val="en-US"/>
        </w:rPr>
        <w:t xml:space="preserve"> initiates our project staffing activities as early as practical within the contract process to fill key positions, </w:t>
      </w:r>
      <w:r>
        <w:rPr>
          <w:rFonts w:cs="Arial Unicode MS" w:eastAsia="Arial Unicode MS"/>
          <w:rtl w:val="0"/>
          <w:lang w:val="en-US"/>
        </w:rPr>
        <w:t xml:space="preserve">to ensure we </w:t>
      </w:r>
      <w:r>
        <w:rPr>
          <w:rFonts w:cs="Arial Unicode MS" w:eastAsia="Arial Unicode MS"/>
          <w:rtl w:val="0"/>
          <w:lang w:val="en-US"/>
        </w:rPr>
        <w:t xml:space="preserve">exceed customer </w:t>
      </w:r>
      <w:r>
        <w:rPr>
          <w:rFonts w:cs="Arial Unicode MS" w:eastAsia="Arial Unicode MS"/>
          <w:rtl w:val="0"/>
          <w:lang w:val="en-US"/>
        </w:rPr>
        <w:t>expectations</w:t>
      </w:r>
      <w:r>
        <w:rPr>
          <w:rFonts w:cs="Arial Unicode MS" w:eastAsia="Arial Unicode MS"/>
          <w:rtl w:val="0"/>
          <w:lang w:val="en-US"/>
        </w:rPr>
        <w:t xml:space="preserve">. Consequently, transition planning and execution is a critical aspect to our process and will start even before the required on-site transition plan meeting. Our goal on day one is to </w:t>
      </w:r>
      <w:r>
        <w:rPr>
          <w:rFonts w:cs="Arial Unicode MS" w:eastAsia="Arial Unicode MS"/>
          <w:rtl w:val="0"/>
          <w:lang w:val="en-US"/>
        </w:rPr>
        <w:t>address</w:t>
      </w:r>
      <w:r>
        <w:rPr>
          <w:rFonts w:cs="Arial Unicode MS" w:eastAsia="Arial Unicode MS"/>
          <w:rtl w:val="0"/>
          <w:lang w:val="en-US"/>
        </w:rPr>
        <w:t xml:space="preserve"> all </w:t>
      </w:r>
      <w:r>
        <w:rPr>
          <w:rFonts w:cs="Arial Unicode MS" w:eastAsia="Arial Unicode MS"/>
          <w:rtl w:val="0"/>
          <w:lang w:val="en-US"/>
        </w:rPr>
        <w:t>the government</w:t>
      </w:r>
      <w:r>
        <w:rPr>
          <w:rFonts w:cs="Arial Unicode MS" w:eastAsia="Arial Unicode MS" w:hint="default"/>
          <w:rtl w:val="0"/>
          <w:lang w:val="en-US"/>
        </w:rPr>
        <w:t>’</w:t>
      </w:r>
      <w:r>
        <w:rPr>
          <w:rFonts w:cs="Arial Unicode MS" w:eastAsia="Arial Unicode MS"/>
          <w:rtl w:val="0"/>
          <w:lang w:val="en-US"/>
        </w:rPr>
        <w:t>s</w:t>
      </w:r>
      <w:r>
        <w:rPr>
          <w:rFonts w:cs="Arial Unicode MS" w:eastAsia="Arial Unicode MS"/>
          <w:rtl w:val="0"/>
          <w:lang w:val="en-US"/>
        </w:rPr>
        <w:t xml:space="preserve"> requirements, expanding our capabilities as quickly as possible</w:t>
      </w:r>
      <w:r>
        <w:rPr>
          <w:rFonts w:cs="Arial Unicode MS" w:eastAsia="Arial Unicode MS"/>
          <w:rtl w:val="0"/>
          <w:lang w:val="en-US"/>
        </w:rPr>
        <w:t xml:space="preserve"> to address any disconnects</w:t>
      </w:r>
      <w:r>
        <w:rPr>
          <w:rFonts w:cs="Arial Unicode MS" w:eastAsia="Arial Unicode MS"/>
          <w:rtl w:val="0"/>
          <w:lang w:val="en-US"/>
        </w:rPr>
        <w:t xml:space="preserve">. To accomplish this, we work collaboratively with </w:t>
      </w:r>
      <w:r>
        <w:rPr>
          <w:rFonts w:cs="Arial Unicode MS" w:eastAsia="Arial Unicode MS"/>
          <w:rtl w:val="0"/>
          <w:lang w:val="en-US"/>
        </w:rPr>
        <w:t>the government</w:t>
      </w:r>
      <w:r>
        <w:rPr>
          <w:rFonts w:cs="Arial Unicode MS" w:eastAsia="Arial Unicode MS"/>
          <w:rtl w:val="0"/>
          <w:lang w:val="en-US"/>
        </w:rPr>
        <w:t>, and any existing incumbent. An essential priority is gaining a full understanding of our customer</w:t>
      </w:r>
      <w:r>
        <w:rPr>
          <w:rFonts w:cs="Arial Unicode MS" w:eastAsia="Arial Unicode MS" w:hint="default"/>
          <w:rtl w:val="1"/>
        </w:rPr>
        <w:t>’</w:t>
      </w:r>
      <w:r>
        <w:rPr>
          <w:rFonts w:cs="Arial Unicode MS" w:eastAsia="Arial Unicode MS"/>
          <w:rtl w:val="0"/>
          <w:lang w:val="en-US"/>
        </w:rPr>
        <w:t xml:space="preserve">s current and desired operational needs, mission requirements, and organizational vision. In addition, our transition team captures and analyzes ongoing projects and initiatives, processes, systems and tools in use, as well as organizational culture. Our team also coordinates with any existing incumbents for a transfer of knowledge, as well </w:t>
      </w:r>
      <w:r>
        <w:rPr>
          <w:rFonts w:cs="Arial Unicode MS" w:eastAsia="Arial Unicode MS"/>
          <w:rtl w:val="0"/>
          <w:lang w:val="en-US"/>
        </w:rPr>
        <w:t>gaining any</w:t>
      </w:r>
      <w:r>
        <w:rPr>
          <w:rFonts w:cs="Arial Unicode MS" w:eastAsia="Arial Unicode MS"/>
          <w:rtl w:val="0"/>
          <w:lang w:val="en-US"/>
        </w:rPr>
        <w:t xml:space="preserve"> additional staffing insights. Our planning purpose is a smooth handoff of responsibilities to ensure no impact to our customers.</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25"/>
        <w:gridCol w:w="6925"/>
      </w:tblGrid>
      <w:tr>
        <w:tblPrEx>
          <w:shd w:val="clear" w:color="auto" w:fill="cdd4e9"/>
        </w:tblPrEx>
        <w:trPr>
          <w:trHeight w:val="322" w:hRule="atLeast"/>
        </w:trPr>
        <w:tc>
          <w:tcPr>
            <w:tcW w:type="dxa" w:w="9350"/>
            <w:gridSpan w:val="2"/>
            <w:tcBorders>
              <w:top w:val="nil"/>
              <w:left w:val="nil"/>
              <w:bottom w:val="single" w:color="000000" w:sz="18" w:space="0" w:shadow="0" w:frame="0"/>
              <w:right w:val="nil"/>
            </w:tcBorders>
            <w:shd w:val="clear" w:color="auto" w:fill="3da9d5"/>
            <w:tcMar>
              <w:top w:type="dxa" w:w="80"/>
              <w:left w:type="dxa" w:w="80"/>
              <w:bottom w:type="dxa" w:w="80"/>
              <w:right w:type="dxa" w:w="80"/>
            </w:tcMar>
            <w:vAlign w:val="top"/>
          </w:tcPr>
          <w:p>
            <w:pPr>
              <w:pStyle w:val="Body"/>
              <w:bidi w:val="0"/>
              <w:spacing w:before="100" w:after="100" w:line="240" w:lineRule="auto"/>
              <w:ind w:left="0" w:right="0" w:firstLine="0"/>
              <w:jc w:val="center"/>
              <w:rPr>
                <w:rtl w:val="0"/>
              </w:rPr>
            </w:pPr>
            <w:r>
              <w:rPr>
                <w:rStyle w:val="None"/>
                <w:b w:val="1"/>
                <w:bCs w:val="1"/>
                <w:color w:val="ffffff"/>
                <w:u w:color="ffffff"/>
                <w:rtl w:val="0"/>
                <w:lang w:val="en-US"/>
              </w:rPr>
              <w:t>Professional Support Services</w:t>
            </w:r>
          </w:p>
        </w:tc>
      </w:tr>
      <w:tr>
        <w:tblPrEx>
          <w:shd w:val="clear" w:color="auto" w:fill="cdd4e9"/>
        </w:tblPrEx>
        <w:trPr>
          <w:trHeight w:val="239" w:hRule="atLeast"/>
        </w:trPr>
        <w:tc>
          <w:tcPr>
            <w:tcW w:type="dxa" w:w="2425"/>
            <w:tcBorders>
              <w:top w:val="single" w:color="000000" w:sz="18" w:space="0" w:shadow="0" w:frame="0"/>
              <w:left w:val="single" w:color="bfbfbf" w:sz="4" w:space="0" w:shadow="0" w:frame="0"/>
              <w:bottom w:val="single" w:color="bfbfbf" w:sz="4" w:space="0" w:shadow="0" w:frame="0"/>
              <w:right w:val="single" w:color="bfbfbf"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Style w:val="None"/>
                <w:b w:val="1"/>
                <w:bCs w:val="1"/>
                <w:sz w:val="20"/>
                <w:szCs w:val="20"/>
                <w:u w:color="000000"/>
                <w:rtl w:val="0"/>
                <w:lang w:val="en-US"/>
              </w:rPr>
              <w:t>Contract No.:</w:t>
            </w:r>
          </w:p>
        </w:tc>
        <w:tc>
          <w:tcPr>
            <w:tcW w:type="dxa" w:w="6925"/>
            <w:tcBorders>
              <w:top w:val="single" w:color="ffffff" w:sz="18" w:space="0" w:shadow="0" w:frame="0"/>
              <w:left w:val="single" w:color="bfbfbf" w:sz="4" w:space="0" w:shadow="0" w:frame="0"/>
              <w:bottom w:val="single" w:color="bfbfbf" w:sz="4" w:space="0" w:shadow="0" w:frame="0"/>
              <w:right w:val="single" w:color="bfbfbf" w:sz="4"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left"/>
              <w:rPr>
                <w:rtl w:val="0"/>
              </w:rPr>
            </w:pPr>
            <w:r>
              <w:rPr>
                <w:rStyle w:val="None"/>
                <w:sz w:val="20"/>
                <w:szCs w:val="20"/>
                <w:u w:color="000000"/>
                <w:rtl w:val="0"/>
                <w:lang w:val="en-US"/>
              </w:rPr>
              <w:t xml:space="preserve">19AQMM20D0035 </w:t>
            </w:r>
          </w:p>
        </w:tc>
      </w:tr>
      <w:tr>
        <w:tblPrEx>
          <w:shd w:val="clear" w:color="auto" w:fill="cdd4e9"/>
        </w:tblPrEx>
        <w:trPr>
          <w:trHeight w:val="222" w:hRule="atLeast"/>
        </w:trPr>
        <w:tc>
          <w:tcPr>
            <w:tcW w:type="dxa" w:w="24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bidi w:val="0"/>
              <w:spacing w:after="0" w:line="240" w:lineRule="auto"/>
              <w:ind w:left="0" w:right="0" w:firstLine="0"/>
              <w:jc w:val="left"/>
              <w:rPr>
                <w:rtl w:val="0"/>
              </w:rPr>
            </w:pPr>
            <w:r>
              <w:rPr>
                <w:rStyle w:val="None"/>
                <w:b w:val="1"/>
                <w:bCs w:val="1"/>
                <w:sz w:val="20"/>
                <w:szCs w:val="20"/>
                <w:u w:color="000000"/>
                <w:rtl w:val="0"/>
                <w:lang w:val="en-US"/>
              </w:rPr>
              <w:t>Contract Name:</w:t>
            </w:r>
          </w:p>
        </w:tc>
        <w:tc>
          <w:tcPr>
            <w:tcW w:type="dxa" w:w="69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bidi w:val="0"/>
              <w:spacing w:after="0" w:line="240" w:lineRule="auto"/>
              <w:ind w:left="0" w:right="0" w:firstLine="0"/>
              <w:jc w:val="left"/>
              <w:rPr>
                <w:rtl w:val="0"/>
              </w:rPr>
            </w:pPr>
            <w:r>
              <w:rPr>
                <w:rStyle w:val="None"/>
                <w:sz w:val="20"/>
                <w:szCs w:val="20"/>
                <w:u w:color="000000"/>
                <w:rtl w:val="0"/>
                <w:lang w:val="en-US"/>
              </w:rPr>
              <w:t>Bureau of Counterterrorism Staff Support</w:t>
            </w:r>
          </w:p>
        </w:tc>
      </w:tr>
      <w:tr>
        <w:tblPrEx>
          <w:shd w:val="clear" w:color="auto" w:fill="cdd4e9"/>
        </w:tblPrEx>
        <w:trPr>
          <w:trHeight w:val="222" w:hRule="atLeast"/>
        </w:trPr>
        <w:tc>
          <w:tcPr>
            <w:tcW w:type="dxa" w:w="24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left"/>
              <w:rPr>
                <w:rtl w:val="0"/>
              </w:rPr>
            </w:pPr>
            <w:r>
              <w:rPr>
                <w:rStyle w:val="None"/>
                <w:b w:val="1"/>
                <w:bCs w:val="1"/>
                <w:sz w:val="20"/>
                <w:szCs w:val="20"/>
                <w:u w:color="000000"/>
                <w:rtl w:val="0"/>
                <w:lang w:val="en-US"/>
              </w:rPr>
              <w:t>Prime or Sub:</w:t>
            </w:r>
          </w:p>
        </w:tc>
        <w:tc>
          <w:tcPr>
            <w:tcW w:type="dxa" w:w="69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left"/>
              <w:rPr>
                <w:rtl w:val="0"/>
              </w:rPr>
            </w:pPr>
            <w:r>
              <w:rPr>
                <w:rStyle w:val="None"/>
                <w:sz w:val="20"/>
                <w:szCs w:val="20"/>
                <w:u w:color="000000"/>
                <w:rtl w:val="0"/>
                <w:lang w:val="en-US"/>
              </w:rPr>
              <w:t>Prime</w:t>
            </w:r>
          </w:p>
        </w:tc>
      </w:tr>
      <w:tr>
        <w:tblPrEx>
          <w:shd w:val="clear" w:color="auto" w:fill="cdd4e9"/>
        </w:tblPrEx>
        <w:trPr>
          <w:trHeight w:val="442" w:hRule="atLeast"/>
        </w:trPr>
        <w:tc>
          <w:tcPr>
            <w:tcW w:type="dxa" w:w="24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bidi w:val="0"/>
              <w:spacing w:after="0" w:line="240" w:lineRule="auto"/>
              <w:ind w:left="0" w:right="0" w:firstLine="0"/>
              <w:jc w:val="left"/>
              <w:rPr>
                <w:rtl w:val="0"/>
              </w:rPr>
            </w:pPr>
            <w:r>
              <w:rPr>
                <w:rStyle w:val="None"/>
                <w:b w:val="1"/>
                <w:bCs w:val="1"/>
                <w:sz w:val="20"/>
                <w:szCs w:val="20"/>
                <w:u w:color="000000"/>
                <w:rtl w:val="0"/>
                <w:lang w:val="en-US"/>
              </w:rPr>
              <w:t>Contract Officer:</w:t>
            </w:r>
          </w:p>
        </w:tc>
        <w:tc>
          <w:tcPr>
            <w:tcW w:type="dxa" w:w="69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bidi w:val="0"/>
              <w:spacing w:after="0" w:line="240" w:lineRule="auto"/>
              <w:ind w:left="0" w:right="0" w:firstLine="0"/>
              <w:jc w:val="left"/>
              <w:rPr>
                <w:rtl w:val="0"/>
              </w:rPr>
            </w:pPr>
            <w:r>
              <w:rPr>
                <w:rStyle w:val="None"/>
                <w:sz w:val="20"/>
                <w:szCs w:val="20"/>
                <w:u w:color="000000"/>
                <w:rtl w:val="0"/>
                <w:lang w:val="en-US"/>
              </w:rPr>
              <w:t xml:space="preserve">Kelly Wagner, Branch Chief/Sr. Contracting Officer; </w:t>
            </w:r>
            <w:r>
              <w:rPr>
                <w:rStyle w:val="Hyperlink.2"/>
                <w:sz w:val="20"/>
                <w:szCs w:val="20"/>
                <w:u w:color="000000"/>
                <w:rtl w:val="0"/>
              </w:rPr>
              <w:fldChar w:fldCharType="begin" w:fldLock="0"/>
            </w:r>
            <w:r>
              <w:rPr>
                <w:rStyle w:val="Hyperlink.2"/>
                <w:sz w:val="20"/>
                <w:szCs w:val="20"/>
                <w:u w:color="000000"/>
                <w:rtl w:val="0"/>
              </w:rPr>
              <w:instrText xml:space="preserve"> HYPERLINK "mailto:WagnerKM2@state.gov"</w:instrText>
            </w:r>
            <w:r>
              <w:rPr>
                <w:rStyle w:val="Hyperlink.2"/>
                <w:sz w:val="20"/>
                <w:szCs w:val="20"/>
                <w:u w:color="000000"/>
                <w:rtl w:val="0"/>
              </w:rPr>
              <w:fldChar w:fldCharType="separate" w:fldLock="0"/>
            </w:r>
            <w:r>
              <w:rPr>
                <w:rStyle w:val="Hyperlink.2"/>
                <w:sz w:val="20"/>
                <w:szCs w:val="20"/>
                <w:u w:color="000000"/>
                <w:rtl w:val="0"/>
                <w:lang w:val="en-US"/>
              </w:rPr>
              <w:t>WagnerKM2@state.gov</w:t>
            </w:r>
            <w:r>
              <w:rPr>
                <w:sz w:val="20"/>
                <w:szCs w:val="20"/>
                <w:u w:color="000000"/>
                <w:rtl w:val="0"/>
              </w:rPr>
              <w:fldChar w:fldCharType="end" w:fldLock="0"/>
            </w:r>
            <w:r>
              <w:rPr>
                <w:rStyle w:val="Hyperlink.2"/>
                <w:sz w:val="20"/>
                <w:szCs w:val="20"/>
                <w:u w:color="000000"/>
                <w:rtl w:val="0"/>
                <w:lang w:val="en-US"/>
              </w:rPr>
              <w:t xml:space="preserve"> , 202-531-8157</w:t>
            </w:r>
          </w:p>
        </w:tc>
      </w:tr>
      <w:tr>
        <w:tblPrEx>
          <w:shd w:val="clear" w:color="auto" w:fill="cdd4e9"/>
        </w:tblPrEx>
        <w:trPr>
          <w:trHeight w:val="222" w:hRule="atLeast"/>
        </w:trPr>
        <w:tc>
          <w:tcPr>
            <w:tcW w:type="dxa" w:w="24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left"/>
              <w:rPr>
                <w:rtl w:val="0"/>
              </w:rPr>
            </w:pPr>
            <w:r>
              <w:rPr>
                <w:rStyle w:val="Hyperlink.2"/>
                <w:b w:val="1"/>
                <w:bCs w:val="1"/>
                <w:sz w:val="20"/>
                <w:szCs w:val="20"/>
                <w:u w:color="000000"/>
                <w:rtl w:val="0"/>
                <w:lang w:val="en-US"/>
              </w:rPr>
              <w:t>Contract Specialist:</w:t>
            </w:r>
          </w:p>
        </w:tc>
        <w:tc>
          <w:tcPr>
            <w:tcW w:type="dxa" w:w="69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left"/>
              <w:rPr>
                <w:rtl w:val="0"/>
              </w:rPr>
            </w:pPr>
            <w:r>
              <w:rPr>
                <w:rStyle w:val="Hyperlink.2"/>
                <w:sz w:val="20"/>
                <w:szCs w:val="20"/>
                <w:u w:color="000000"/>
                <w:rtl w:val="0"/>
                <w:lang w:val="en-US"/>
              </w:rPr>
              <w:t xml:space="preserve">Donald Bromell, SME, </w:t>
            </w:r>
            <w:r>
              <w:rPr>
                <w:rStyle w:val="Hyperlink.3"/>
                <w:color w:val="0563c1"/>
                <w:sz w:val="20"/>
                <w:szCs w:val="20"/>
                <w:u w:color="0563c1"/>
                <w:rtl w:val="0"/>
                <w:lang w:val="en-US"/>
              </w:rPr>
              <w:fldChar w:fldCharType="begin" w:fldLock="0"/>
            </w:r>
            <w:r>
              <w:rPr>
                <w:rStyle w:val="Hyperlink.3"/>
                <w:color w:val="0563c1"/>
                <w:sz w:val="20"/>
                <w:szCs w:val="20"/>
                <w:u w:color="0563c1"/>
                <w:rtl w:val="0"/>
                <w:lang w:val="en-US"/>
              </w:rPr>
              <w:instrText xml:space="preserve"> HYPERLINK "mailto:BromellD@state.gov"</w:instrText>
            </w:r>
            <w:r>
              <w:rPr>
                <w:rStyle w:val="Hyperlink.3"/>
                <w:color w:val="0563c1"/>
                <w:sz w:val="20"/>
                <w:szCs w:val="20"/>
                <w:u w:color="0563c1"/>
                <w:rtl w:val="0"/>
                <w:lang w:val="en-US"/>
              </w:rPr>
              <w:fldChar w:fldCharType="separate" w:fldLock="0"/>
            </w:r>
            <w:r>
              <w:rPr>
                <w:rStyle w:val="Hyperlink.3"/>
                <w:color w:val="0563c1"/>
                <w:sz w:val="20"/>
                <w:szCs w:val="20"/>
                <w:u w:color="0563c1"/>
                <w:rtl w:val="0"/>
                <w:lang w:val="en-US"/>
              </w:rPr>
              <w:t>BromellD@state.gov</w:t>
            </w:r>
            <w:r>
              <w:rPr>
                <w:sz w:val="20"/>
                <w:szCs w:val="20"/>
                <w:u w:color="000000"/>
                <w:rtl w:val="0"/>
              </w:rPr>
              <w:fldChar w:fldCharType="end" w:fldLock="0"/>
            </w:r>
            <w:r>
              <w:rPr>
                <w:rStyle w:val="Hyperlink.2"/>
                <w:sz w:val="20"/>
                <w:szCs w:val="20"/>
                <w:u w:color="000000"/>
                <w:rtl w:val="0"/>
                <w:lang w:val="en-US"/>
              </w:rPr>
              <w:t>, 703-875-6112</w:t>
            </w:r>
          </w:p>
        </w:tc>
      </w:tr>
      <w:tr>
        <w:tblPrEx>
          <w:shd w:val="clear" w:color="auto" w:fill="cdd4e9"/>
        </w:tblPrEx>
        <w:trPr>
          <w:trHeight w:val="222" w:hRule="atLeast"/>
        </w:trPr>
        <w:tc>
          <w:tcPr>
            <w:tcW w:type="dxa" w:w="24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bidi w:val="0"/>
              <w:spacing w:after="0" w:line="240" w:lineRule="auto"/>
              <w:ind w:left="0" w:right="0" w:firstLine="0"/>
              <w:jc w:val="left"/>
              <w:rPr>
                <w:rtl w:val="0"/>
              </w:rPr>
            </w:pPr>
            <w:r>
              <w:rPr>
                <w:rStyle w:val="Hyperlink.2"/>
                <w:b w:val="1"/>
                <w:bCs w:val="1"/>
                <w:sz w:val="20"/>
                <w:szCs w:val="20"/>
                <w:u w:color="000000"/>
                <w:rtl w:val="0"/>
                <w:lang w:val="en-US"/>
              </w:rPr>
              <w:t>COR/COTR:</w:t>
            </w:r>
          </w:p>
        </w:tc>
        <w:tc>
          <w:tcPr>
            <w:tcW w:type="dxa" w:w="69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bidi w:val="0"/>
              <w:spacing w:after="0" w:line="240" w:lineRule="auto"/>
              <w:ind w:left="0" w:right="0" w:firstLine="0"/>
              <w:jc w:val="left"/>
              <w:rPr>
                <w:rtl w:val="0"/>
              </w:rPr>
            </w:pPr>
            <w:r>
              <w:rPr>
                <w:rStyle w:val="None"/>
                <w:sz w:val="20"/>
                <w:szCs w:val="20"/>
                <w:u w:color="000000"/>
                <w:rtl w:val="0"/>
                <w:lang w:val="en-US"/>
              </w:rPr>
              <w:t xml:space="preserve">Ayanna Gibson, Management Analyst, </w:t>
            </w:r>
            <w:r>
              <w:rPr>
                <w:rStyle w:val="Hyperlink.4"/>
                <w:color w:val="0563c1"/>
                <w:sz w:val="20"/>
                <w:szCs w:val="20"/>
                <w:u w:color="0563c1"/>
                <w:rtl w:val="0"/>
                <w:lang w:val="en-US"/>
              </w:rPr>
              <w:fldChar w:fldCharType="begin" w:fldLock="0"/>
            </w:r>
            <w:r>
              <w:rPr>
                <w:rStyle w:val="Hyperlink.4"/>
                <w:color w:val="0563c1"/>
                <w:sz w:val="20"/>
                <w:szCs w:val="20"/>
                <w:u w:color="0563c1"/>
                <w:rtl w:val="0"/>
                <w:lang w:val="en-US"/>
              </w:rPr>
              <w:instrText xml:space="preserve"> HYPERLINK "mailto:GibsonAS2@state.gov"</w:instrText>
            </w:r>
            <w:r>
              <w:rPr>
                <w:rStyle w:val="Hyperlink.4"/>
                <w:color w:val="0563c1"/>
                <w:sz w:val="20"/>
                <w:szCs w:val="20"/>
                <w:u w:color="0563c1"/>
                <w:rtl w:val="0"/>
                <w:lang w:val="en-US"/>
              </w:rPr>
              <w:fldChar w:fldCharType="separate" w:fldLock="0"/>
            </w:r>
            <w:r>
              <w:rPr>
                <w:rStyle w:val="Hyperlink.4"/>
                <w:color w:val="0563c1"/>
                <w:sz w:val="20"/>
                <w:szCs w:val="20"/>
                <w:u w:color="0563c1"/>
                <w:rtl w:val="0"/>
                <w:lang w:val="en-US"/>
              </w:rPr>
              <w:t>GibsonAS2@state.gov</w:t>
            </w:r>
            <w:r>
              <w:rPr>
                <w:sz w:val="20"/>
                <w:szCs w:val="20"/>
                <w:u w:color="000000"/>
                <w:rtl w:val="0"/>
              </w:rPr>
              <w:fldChar w:fldCharType="end" w:fldLock="0"/>
            </w:r>
            <w:r>
              <w:rPr>
                <w:rStyle w:val="None"/>
                <w:sz w:val="20"/>
                <w:szCs w:val="20"/>
                <w:u w:color="000000"/>
                <w:rtl w:val="0"/>
                <w:lang w:val="en-US"/>
              </w:rPr>
              <w:t>, 202-634-4605</w:t>
            </w:r>
          </w:p>
        </w:tc>
      </w:tr>
      <w:tr>
        <w:tblPrEx>
          <w:shd w:val="clear" w:color="auto" w:fill="cdd4e9"/>
        </w:tblPrEx>
        <w:trPr>
          <w:trHeight w:val="222" w:hRule="atLeast"/>
        </w:trPr>
        <w:tc>
          <w:tcPr>
            <w:tcW w:type="dxa" w:w="24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left"/>
              <w:rPr>
                <w:rtl w:val="0"/>
              </w:rPr>
            </w:pPr>
            <w:r>
              <w:rPr>
                <w:rStyle w:val="Hyperlink.2"/>
                <w:b w:val="1"/>
                <w:bCs w:val="1"/>
                <w:sz w:val="20"/>
                <w:szCs w:val="20"/>
                <w:u w:color="000000"/>
                <w:rtl w:val="0"/>
                <w:lang w:val="en-US"/>
              </w:rPr>
              <w:t>Contract Type:</w:t>
            </w:r>
          </w:p>
        </w:tc>
        <w:tc>
          <w:tcPr>
            <w:tcW w:type="dxa" w:w="69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left"/>
              <w:rPr>
                <w:rtl w:val="0"/>
              </w:rPr>
            </w:pPr>
            <w:r>
              <w:rPr>
                <w:rStyle w:val="Hyperlink.2"/>
                <w:sz w:val="20"/>
                <w:szCs w:val="20"/>
                <w:u w:color="000000"/>
                <w:rtl w:val="0"/>
                <w:lang w:val="en-US"/>
              </w:rPr>
              <w:t>IDIQ</w:t>
            </w:r>
          </w:p>
        </w:tc>
      </w:tr>
      <w:tr>
        <w:tblPrEx>
          <w:shd w:val="clear" w:color="auto" w:fill="cdd4e9"/>
        </w:tblPrEx>
        <w:trPr>
          <w:trHeight w:val="222" w:hRule="atLeast"/>
        </w:trPr>
        <w:tc>
          <w:tcPr>
            <w:tcW w:type="dxa" w:w="24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bidi w:val="0"/>
              <w:spacing w:after="0" w:line="240" w:lineRule="auto"/>
              <w:ind w:left="0" w:right="0" w:firstLine="0"/>
              <w:jc w:val="left"/>
              <w:rPr>
                <w:rtl w:val="0"/>
              </w:rPr>
            </w:pPr>
            <w:r>
              <w:rPr>
                <w:rStyle w:val="Hyperlink.2"/>
                <w:b w:val="1"/>
                <w:bCs w:val="1"/>
                <w:sz w:val="20"/>
                <w:szCs w:val="20"/>
                <w:u w:color="000000"/>
                <w:rtl w:val="0"/>
                <w:lang w:val="en-US"/>
              </w:rPr>
              <w:t>Contract Value:</w:t>
            </w:r>
          </w:p>
        </w:tc>
        <w:tc>
          <w:tcPr>
            <w:tcW w:type="dxa" w:w="69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bidi w:val="0"/>
              <w:spacing w:after="0" w:line="240" w:lineRule="auto"/>
              <w:ind w:left="0" w:right="0" w:firstLine="0"/>
              <w:jc w:val="left"/>
              <w:rPr>
                <w:rtl w:val="0"/>
              </w:rPr>
            </w:pPr>
            <w:r>
              <w:rPr>
                <w:rStyle w:val="Hyperlink.2"/>
                <w:sz w:val="20"/>
                <w:szCs w:val="20"/>
                <w:u w:color="000000"/>
                <w:rtl w:val="0"/>
                <w:lang w:val="en-US"/>
              </w:rPr>
              <w:t>$22M</w:t>
            </w:r>
          </w:p>
        </w:tc>
      </w:tr>
      <w:tr>
        <w:tblPrEx>
          <w:shd w:val="clear" w:color="auto" w:fill="cdd4e9"/>
        </w:tblPrEx>
        <w:trPr>
          <w:trHeight w:val="222" w:hRule="atLeast"/>
        </w:trPr>
        <w:tc>
          <w:tcPr>
            <w:tcW w:type="dxa" w:w="24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left"/>
              <w:rPr>
                <w:rtl w:val="0"/>
              </w:rPr>
            </w:pPr>
            <w:r>
              <w:rPr>
                <w:rStyle w:val="Hyperlink.2"/>
                <w:b w:val="1"/>
                <w:bCs w:val="1"/>
                <w:sz w:val="20"/>
                <w:szCs w:val="20"/>
                <w:u w:color="000000"/>
                <w:rtl w:val="0"/>
                <w:lang w:val="en-US"/>
              </w:rPr>
              <w:t>Period of Performance:</w:t>
            </w:r>
          </w:p>
        </w:tc>
        <w:tc>
          <w:tcPr>
            <w:tcW w:type="dxa" w:w="69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left"/>
              <w:rPr>
                <w:rtl w:val="0"/>
              </w:rPr>
            </w:pPr>
            <w:r>
              <w:rPr>
                <w:rStyle w:val="Hyperlink.2"/>
                <w:sz w:val="20"/>
                <w:szCs w:val="20"/>
                <w:u w:color="000000"/>
                <w:rtl w:val="0"/>
                <w:lang w:val="en-US"/>
              </w:rPr>
              <w:t xml:space="preserve">3/26/2020 </w:t>
            </w:r>
            <w:r>
              <w:rPr>
                <w:rStyle w:val="Hyperlink.2"/>
                <w:sz w:val="20"/>
                <w:szCs w:val="20"/>
                <w:u w:color="000000"/>
                <w:rtl w:val="0"/>
                <w:lang w:val="en-US"/>
              </w:rPr>
              <w:t xml:space="preserve">– </w:t>
            </w:r>
            <w:r>
              <w:rPr>
                <w:rStyle w:val="Hyperlink.2"/>
                <w:sz w:val="20"/>
                <w:szCs w:val="20"/>
                <w:u w:color="000000"/>
                <w:rtl w:val="0"/>
                <w:lang w:val="en-US"/>
              </w:rPr>
              <w:t>3/25/2025</w:t>
            </w:r>
          </w:p>
        </w:tc>
      </w:tr>
      <w:tr>
        <w:tblPrEx>
          <w:shd w:val="clear" w:color="auto" w:fill="cdd4e9"/>
        </w:tblPrEx>
        <w:trPr>
          <w:trHeight w:val="222" w:hRule="atLeast"/>
        </w:trPr>
        <w:tc>
          <w:tcPr>
            <w:tcW w:type="dxa" w:w="24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bidi w:val="0"/>
              <w:spacing w:after="0" w:line="240" w:lineRule="auto"/>
              <w:ind w:left="0" w:right="0" w:firstLine="0"/>
              <w:jc w:val="left"/>
              <w:rPr>
                <w:rtl w:val="0"/>
              </w:rPr>
            </w:pPr>
            <w:r>
              <w:rPr>
                <w:rStyle w:val="Hyperlink.2"/>
                <w:b w:val="1"/>
                <w:bCs w:val="1"/>
                <w:sz w:val="20"/>
                <w:szCs w:val="20"/>
                <w:u w:color="000000"/>
                <w:rtl w:val="0"/>
                <w:lang w:val="en-US"/>
              </w:rPr>
              <w:t>Contract Description</w:t>
            </w:r>
          </w:p>
        </w:tc>
        <w:tc>
          <w:tcPr>
            <w:tcW w:type="dxa" w:w="69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tc>
      </w:tr>
    </w:tbl>
    <w:p>
      <w:pPr>
        <w:pStyle w:val="Body"/>
        <w:bidi w:val="0"/>
      </w:pPr>
    </w:p>
    <w:p>
      <w:pPr>
        <w:pStyle w:val="Body"/>
        <w:bidi w:val="0"/>
      </w:pPr>
      <w:r>
        <w:rPr>
          <w:rFonts w:cs="Arial Unicode MS" w:eastAsia="Arial Unicode MS"/>
          <w:rtl w:val="0"/>
          <w:lang w:val="en-US"/>
        </w:rPr>
        <w:t xml:space="preserve">Under this contract, HunaTek provides staff augmentation support to the Bureau of Counterterrorism (CT) in accordance with the services defined in specific Statements of Work for each individual task order. The contract has an overall period of performance of 3/26/2020 </w:t>
      </w:r>
      <w:r>
        <w:rPr>
          <w:rFonts w:cs="Arial Unicode MS" w:eastAsia="Arial Unicode MS" w:hint="default"/>
          <w:rtl w:val="0"/>
        </w:rPr>
        <w:t xml:space="preserve">– </w:t>
      </w:r>
      <w:r>
        <w:rPr>
          <w:rFonts w:cs="Arial Unicode MS" w:eastAsia="Arial Unicode MS"/>
          <w:rtl w:val="0"/>
          <w:lang w:val="en-US"/>
        </w:rPr>
        <w:t xml:space="preserve">3/25/2025, which includes a base year with four (1) year options. HunaTek is currently providing services under option year 2, which has a period of performance of March 26, 2022 </w:t>
      </w:r>
      <w:r>
        <w:rPr>
          <w:rFonts w:cs="Arial Unicode MS" w:eastAsia="Arial Unicode MS" w:hint="default"/>
          <w:rtl w:val="0"/>
        </w:rPr>
        <w:t xml:space="preserve">– </w:t>
      </w:r>
      <w:r>
        <w:rPr>
          <w:rFonts w:cs="Arial Unicode MS" w:eastAsia="Arial Unicode MS"/>
          <w:rtl w:val="0"/>
          <w:lang w:val="en-US"/>
        </w:rPr>
        <w:t>March 25, 2023.</w:t>
      </w:r>
    </w:p>
    <w:tbl>
      <w:tblPr>
        <w:tblW w:w="934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00"/>
        <w:gridCol w:w="2790"/>
        <w:gridCol w:w="2070"/>
        <w:gridCol w:w="2685"/>
      </w:tblGrid>
      <w:tr>
        <w:tblPrEx>
          <w:shd w:val="clear" w:color="auto" w:fill="cdd4e9"/>
        </w:tblPrEx>
        <w:trPr>
          <w:trHeight w:val="322" w:hRule="atLeast"/>
        </w:trPr>
        <w:tc>
          <w:tcPr>
            <w:tcW w:type="dxa" w:w="9345"/>
            <w:gridSpan w:val="4"/>
            <w:tcBorders>
              <w:top w:val="nil"/>
              <w:left w:val="nil"/>
              <w:bottom w:val="single" w:color="000000" w:sz="18" w:space="0" w:shadow="0" w:frame="0"/>
              <w:right w:val="single" w:color="000000" w:sz="6" w:space="0" w:shadow="0" w:frame="0"/>
            </w:tcBorders>
            <w:shd w:val="clear" w:color="auto" w:fill="3da9d5"/>
            <w:tcMar>
              <w:top w:type="dxa" w:w="80"/>
              <w:left w:type="dxa" w:w="80"/>
              <w:bottom w:type="dxa" w:w="80"/>
              <w:right w:type="dxa" w:w="80"/>
            </w:tcMar>
            <w:vAlign w:val="top"/>
          </w:tcPr>
          <w:p>
            <w:pPr>
              <w:pStyle w:val="Body"/>
              <w:bidi w:val="0"/>
              <w:spacing w:before="100" w:after="100" w:line="240" w:lineRule="auto"/>
              <w:ind w:left="0" w:right="0" w:firstLine="0"/>
              <w:jc w:val="center"/>
              <w:rPr>
                <w:rtl w:val="0"/>
              </w:rPr>
            </w:pPr>
            <w:r>
              <w:rPr>
                <w:rStyle w:val="Hyperlink.2"/>
                <w:b w:val="1"/>
                <w:bCs w:val="1"/>
                <w:color w:val="ffffff"/>
                <w:u w:color="ffffff"/>
                <w:rtl w:val="0"/>
                <w:lang w:val="en-US"/>
              </w:rPr>
              <w:t>Network Operations Management Branch IT Services</w:t>
            </w:r>
            <w:r>
              <w:rPr>
                <w:rStyle w:val="Hyperlink.2"/>
                <w:b w:val="1"/>
                <w:bCs w:val="1"/>
                <w:color w:val="ffffff"/>
                <w:u w:color="ffffff"/>
                <w:rtl w:val="0"/>
                <w:lang w:val="en-US"/>
              </w:rPr>
              <w:t> </w:t>
            </w:r>
          </w:p>
        </w:tc>
      </w:tr>
      <w:tr>
        <w:tblPrEx>
          <w:shd w:val="clear" w:color="auto" w:fill="cdd4e9"/>
        </w:tblPrEx>
        <w:trPr>
          <w:trHeight w:val="242" w:hRule="atLeast"/>
        </w:trPr>
        <w:tc>
          <w:tcPr>
            <w:tcW w:type="dxa" w:w="1800"/>
            <w:tcBorders>
              <w:top w:val="single" w:color="000000" w:sz="18" w:space="0" w:shadow="0" w:frame="0"/>
              <w:left w:val="nil"/>
              <w:bottom w:val="single" w:color="000000" w:sz="6" w:space="0" w:shadow="0" w:frame="0"/>
              <w:right w:val="single" w:color="a5a5a5" w:sz="6" w:space="0" w:shadow="0" w:frame="0"/>
            </w:tcBorders>
            <w:shd w:val="clear" w:color="auto" w:fill="e7e6e6"/>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None"/>
                <w:b w:val="1"/>
                <w:bCs w:val="1"/>
                <w:sz w:val="20"/>
                <w:szCs w:val="20"/>
                <w:u w:color="000000"/>
                <w:rtl w:val="0"/>
                <w:lang w:val="en-US"/>
              </w:rPr>
              <w:t>Agency</w:t>
            </w:r>
            <w:r>
              <w:rPr>
                <w:rStyle w:val="Hyperlink.2"/>
                <w:sz w:val="20"/>
                <w:szCs w:val="20"/>
                <w:u w:color="000000"/>
                <w:rtl w:val="0"/>
                <w:lang w:val="en-US"/>
              </w:rPr>
              <w:t> </w:t>
            </w:r>
          </w:p>
        </w:tc>
        <w:tc>
          <w:tcPr>
            <w:tcW w:type="dxa" w:w="7545"/>
            <w:gridSpan w:val="3"/>
            <w:tcBorders>
              <w:top w:val="single" w:color="ffffff" w:sz="18" w:space="0" w:shadow="0" w:frame="0"/>
              <w:left w:val="single" w:color="a5a5a5" w:sz="6" w:space="0" w:shadow="0" w:frame="0"/>
              <w:bottom w:val="single" w:color="a5a5a5" w:sz="6" w:space="0" w:shadow="0" w:frame="0"/>
              <w:right w:val="single" w:color="a5a5a5" w:sz="6" w:space="0" w:shadow="0" w:frame="0"/>
            </w:tcBorders>
            <w:shd w:val="clear" w:color="auto" w:fill="e7e6e6"/>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Hyperlink.2"/>
                <w:sz w:val="20"/>
                <w:szCs w:val="20"/>
                <w:u w:color="000000"/>
                <w:rtl w:val="0"/>
                <w:lang w:val="en-US"/>
              </w:rPr>
              <w:t>Department of State / Bureau of Overseas Building Operations</w:t>
            </w:r>
            <w:r>
              <w:rPr>
                <w:rStyle w:val="Hyperlink.2"/>
                <w:sz w:val="20"/>
                <w:szCs w:val="20"/>
                <w:u w:color="000000"/>
                <w:rtl w:val="0"/>
                <w:lang w:val="en-US"/>
              </w:rPr>
              <w:t> </w:t>
            </w:r>
          </w:p>
        </w:tc>
      </w:tr>
      <w:tr>
        <w:tblPrEx>
          <w:shd w:val="clear" w:color="auto" w:fill="cdd4e9"/>
        </w:tblPrEx>
        <w:trPr>
          <w:trHeight w:val="227" w:hRule="atLeast"/>
        </w:trPr>
        <w:tc>
          <w:tcPr>
            <w:tcW w:type="dxa" w:w="1800"/>
            <w:tcBorders>
              <w:top w:val="single" w:color="000000" w:sz="6" w:space="0" w:shadow="0" w:frame="0"/>
              <w:left w:val="nil"/>
              <w:bottom w:val="single" w:color="000000" w:sz="6" w:space="0" w:shadow="0" w:frame="0"/>
              <w:right w:val="single" w:color="a5a5a5" w:sz="6" w:space="0" w:shadow="0" w:frame="0"/>
            </w:tcBorders>
            <w:shd w:val="clear" w:color="auto" w:fill="auto"/>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None"/>
                <w:b w:val="1"/>
                <w:bCs w:val="1"/>
                <w:sz w:val="20"/>
                <w:szCs w:val="20"/>
                <w:u w:color="000000"/>
                <w:rtl w:val="0"/>
                <w:lang w:val="en-US"/>
              </w:rPr>
              <w:t>Title</w:t>
            </w:r>
            <w:r>
              <w:rPr>
                <w:rStyle w:val="Hyperlink.2"/>
                <w:sz w:val="20"/>
                <w:szCs w:val="20"/>
                <w:u w:color="000000"/>
                <w:rtl w:val="0"/>
                <w:lang w:val="en-US"/>
              </w:rPr>
              <w:t> </w:t>
            </w:r>
          </w:p>
        </w:tc>
        <w:tc>
          <w:tcPr>
            <w:tcW w:type="dxa" w:w="7545"/>
            <w:gridSpan w:val="3"/>
            <w:tcBorders>
              <w:top w:val="single" w:color="a5a5a5" w:sz="6" w:space="0" w:shadow="0" w:frame="0"/>
              <w:left w:val="single" w:color="a5a5a5" w:sz="6" w:space="0" w:shadow="0" w:frame="0"/>
              <w:bottom w:val="single" w:color="a5a5a5" w:sz="6" w:space="0" w:shadow="0" w:frame="0"/>
              <w:right w:val="single" w:color="a5a5a5" w:sz="6" w:space="0" w:shadow="0" w:frame="0"/>
            </w:tcBorders>
            <w:shd w:val="clear" w:color="auto" w:fill="auto"/>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Hyperlink.2"/>
                <w:sz w:val="20"/>
                <w:szCs w:val="20"/>
                <w:u w:color="000000"/>
                <w:rtl w:val="0"/>
                <w:lang w:val="en-US"/>
              </w:rPr>
              <w:t>Network Operations Management Branch IT Services (NOMBIT)</w:t>
            </w:r>
            <w:r>
              <w:rPr>
                <w:rStyle w:val="Hyperlink.2"/>
                <w:sz w:val="20"/>
                <w:szCs w:val="20"/>
                <w:u w:color="000000"/>
                <w:rtl w:val="0"/>
                <w:lang w:val="en-US"/>
              </w:rPr>
              <w:t> </w:t>
            </w:r>
          </w:p>
        </w:tc>
      </w:tr>
      <w:tr>
        <w:tblPrEx>
          <w:shd w:val="clear" w:color="auto" w:fill="cdd4e9"/>
        </w:tblPrEx>
        <w:trPr>
          <w:trHeight w:val="227" w:hRule="atLeast"/>
        </w:trPr>
        <w:tc>
          <w:tcPr>
            <w:tcW w:type="dxa" w:w="1800"/>
            <w:tcBorders>
              <w:top w:val="single" w:color="000000" w:sz="6" w:space="0" w:shadow="0" w:frame="0"/>
              <w:left w:val="nil"/>
              <w:bottom w:val="single" w:color="000000" w:sz="6" w:space="0" w:shadow="0" w:frame="0"/>
              <w:right w:val="single" w:color="a5a5a5" w:sz="6" w:space="0" w:shadow="0" w:frame="0"/>
            </w:tcBorders>
            <w:shd w:val="clear" w:color="auto" w:fill="e7e6e6"/>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None"/>
                <w:b w:val="1"/>
                <w:bCs w:val="1"/>
                <w:sz w:val="20"/>
                <w:szCs w:val="20"/>
                <w:u w:color="000000"/>
                <w:rtl w:val="0"/>
                <w:lang w:val="en-US"/>
              </w:rPr>
              <w:t>Contract Number</w:t>
            </w:r>
            <w:r>
              <w:rPr>
                <w:rStyle w:val="Hyperlink.2"/>
                <w:sz w:val="20"/>
                <w:szCs w:val="20"/>
                <w:u w:color="000000"/>
                <w:rtl w:val="0"/>
                <w:lang w:val="en-US"/>
              </w:rPr>
              <w:t> </w:t>
            </w:r>
          </w:p>
        </w:tc>
        <w:tc>
          <w:tcPr>
            <w:tcW w:type="dxa" w:w="2790"/>
            <w:tcBorders>
              <w:top w:val="single" w:color="a5a5a5" w:sz="6" w:space="0" w:shadow="0" w:frame="0"/>
              <w:left w:val="single" w:color="a5a5a5" w:sz="6" w:space="0" w:shadow="0" w:frame="0"/>
              <w:bottom w:val="single" w:color="a5a5a5" w:sz="6" w:space="0" w:shadow="0" w:frame="0"/>
              <w:right w:val="single" w:color="a5a5a5" w:sz="6" w:space="0" w:shadow="0" w:frame="0"/>
            </w:tcBorders>
            <w:shd w:val="clear" w:color="auto" w:fill="e7e6e6"/>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Hyperlink.2"/>
                <w:sz w:val="20"/>
                <w:szCs w:val="20"/>
                <w:u w:color="000000"/>
                <w:rtl w:val="0"/>
                <w:lang w:val="en-US"/>
              </w:rPr>
              <w:t>19AQMM21D0119</w:t>
            </w:r>
            <w:r>
              <w:rPr>
                <w:rStyle w:val="Hyperlink.2"/>
                <w:sz w:val="20"/>
                <w:szCs w:val="20"/>
                <w:u w:color="000000"/>
                <w:rtl w:val="0"/>
                <w:lang w:val="en-US"/>
              </w:rPr>
              <w:t> </w:t>
            </w:r>
          </w:p>
        </w:tc>
        <w:tc>
          <w:tcPr>
            <w:tcW w:type="dxa" w:w="2070"/>
            <w:tcBorders>
              <w:top w:val="single" w:color="a5a5a5" w:sz="6" w:space="0" w:shadow="0" w:frame="0"/>
              <w:left w:val="single" w:color="a5a5a5" w:sz="6" w:space="0" w:shadow="0" w:frame="0"/>
              <w:bottom w:val="single" w:color="a5a5a5" w:sz="6" w:space="0" w:shadow="0" w:frame="0"/>
              <w:right w:val="single" w:color="000000" w:sz="6" w:space="0" w:shadow="0" w:frame="0"/>
            </w:tcBorders>
            <w:shd w:val="clear" w:color="auto" w:fill="e7e6e6"/>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None"/>
                <w:b w:val="1"/>
                <w:bCs w:val="1"/>
                <w:sz w:val="20"/>
                <w:szCs w:val="20"/>
                <w:u w:color="000000"/>
                <w:rtl w:val="0"/>
                <w:lang w:val="en-US"/>
              </w:rPr>
              <w:t>Task Order Number</w:t>
            </w:r>
            <w:r>
              <w:rPr>
                <w:rStyle w:val="Hyperlink.2"/>
                <w:sz w:val="20"/>
                <w:szCs w:val="20"/>
                <w:u w:color="000000"/>
                <w:rtl w:val="0"/>
                <w:lang w:val="en-US"/>
              </w:rPr>
              <w:t> </w:t>
            </w:r>
          </w:p>
        </w:tc>
        <w:tc>
          <w:tcPr>
            <w:tcW w:type="dxa" w:w="2685"/>
            <w:tcBorders>
              <w:top w:val="single" w:color="000000" w:sz="6" w:space="0" w:shadow="0" w:frame="0"/>
              <w:left w:val="single" w:color="000000" w:sz="6" w:space="0" w:shadow="0" w:frame="0"/>
              <w:bottom w:val="single" w:color="000000" w:sz="6" w:space="0" w:shadow="0" w:frame="0"/>
              <w:right w:val="nil"/>
            </w:tcBorders>
            <w:shd w:val="clear" w:color="auto" w:fill="e7e6e6"/>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Hyperlink.2"/>
                <w:sz w:val="20"/>
                <w:szCs w:val="20"/>
                <w:u w:color="000000"/>
                <w:rtl w:val="0"/>
                <w:lang w:val="en-US"/>
              </w:rPr>
              <w:t>19AQMM21F3450</w:t>
            </w:r>
            <w:r>
              <w:rPr>
                <w:rStyle w:val="Hyperlink.2"/>
                <w:sz w:val="20"/>
                <w:szCs w:val="20"/>
                <w:u w:color="000000"/>
                <w:rtl w:val="0"/>
                <w:lang w:val="en-US"/>
              </w:rPr>
              <w:t> </w:t>
            </w:r>
          </w:p>
        </w:tc>
      </w:tr>
      <w:tr>
        <w:tblPrEx>
          <w:shd w:val="clear" w:color="auto" w:fill="cdd4e9"/>
        </w:tblPrEx>
        <w:trPr>
          <w:trHeight w:val="227" w:hRule="atLeast"/>
        </w:trPr>
        <w:tc>
          <w:tcPr>
            <w:tcW w:type="dxa" w:w="1800"/>
            <w:tcBorders>
              <w:top w:val="single" w:color="000000" w:sz="6" w:space="0" w:shadow="0" w:frame="0"/>
              <w:left w:val="nil"/>
              <w:bottom w:val="single" w:color="000000" w:sz="6" w:space="0" w:shadow="0" w:frame="0"/>
              <w:right w:val="single" w:color="a5a5a5" w:sz="6" w:space="0" w:shadow="0" w:frame="0"/>
            </w:tcBorders>
            <w:shd w:val="clear" w:color="auto" w:fill="f2f2f2"/>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None"/>
                <w:b w:val="1"/>
                <w:bCs w:val="1"/>
                <w:sz w:val="20"/>
                <w:szCs w:val="20"/>
                <w:u w:color="000000"/>
                <w:rtl w:val="0"/>
                <w:lang w:val="en-US"/>
              </w:rPr>
              <w:t>Contract Type</w:t>
            </w:r>
            <w:r>
              <w:rPr>
                <w:rStyle w:val="Hyperlink.2"/>
                <w:sz w:val="20"/>
                <w:szCs w:val="20"/>
                <w:u w:color="000000"/>
                <w:rtl w:val="0"/>
                <w:lang w:val="en-US"/>
              </w:rPr>
              <w:t> </w:t>
            </w:r>
          </w:p>
        </w:tc>
        <w:tc>
          <w:tcPr>
            <w:tcW w:type="dxa" w:w="2790"/>
            <w:tcBorders>
              <w:top w:val="single" w:color="a5a5a5" w:sz="6" w:space="0" w:shadow="0" w:frame="0"/>
              <w:left w:val="single" w:color="a5a5a5" w:sz="6" w:space="0" w:shadow="0" w:frame="0"/>
              <w:bottom w:val="single" w:color="a5a5a5" w:sz="6" w:space="0" w:shadow="0" w:frame="0"/>
              <w:right w:val="single" w:color="a5a5a5" w:sz="6" w:space="0" w:shadow="0" w:frame="0"/>
            </w:tcBorders>
            <w:shd w:val="clear" w:color="auto" w:fill="f2f2f2"/>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Hyperlink.2"/>
                <w:sz w:val="20"/>
                <w:szCs w:val="20"/>
                <w:u w:color="000000"/>
                <w:rtl w:val="0"/>
                <w:lang w:val="en-US"/>
              </w:rPr>
              <w:t>T&amp;M</w:t>
            </w:r>
            <w:r>
              <w:rPr>
                <w:rStyle w:val="Hyperlink.2"/>
                <w:sz w:val="20"/>
                <w:szCs w:val="20"/>
                <w:u w:color="000000"/>
                <w:rtl w:val="0"/>
                <w:lang w:val="en-US"/>
              </w:rPr>
              <w:t> </w:t>
            </w:r>
          </w:p>
        </w:tc>
        <w:tc>
          <w:tcPr>
            <w:tcW w:type="dxa" w:w="2070"/>
            <w:tcBorders>
              <w:top w:val="single" w:color="a5a5a5" w:sz="6" w:space="0" w:shadow="0" w:frame="0"/>
              <w:left w:val="single" w:color="a5a5a5" w:sz="6" w:space="0" w:shadow="0" w:frame="0"/>
              <w:bottom w:val="single" w:color="a5a5a5"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None"/>
                <w:b w:val="1"/>
                <w:bCs w:val="1"/>
                <w:sz w:val="20"/>
                <w:szCs w:val="20"/>
                <w:u w:color="000000"/>
                <w:rtl w:val="0"/>
                <w:lang w:val="en-US"/>
              </w:rPr>
              <w:t>Dollar Value</w:t>
            </w:r>
            <w:r>
              <w:rPr>
                <w:rStyle w:val="Hyperlink.2"/>
                <w:sz w:val="20"/>
                <w:szCs w:val="20"/>
                <w:u w:color="000000"/>
                <w:rtl w:val="0"/>
                <w:lang w:val="en-US"/>
              </w:rPr>
              <w:t> </w:t>
            </w:r>
          </w:p>
        </w:tc>
        <w:tc>
          <w:tcPr>
            <w:tcW w:type="dxa" w:w="2685"/>
            <w:tcBorders>
              <w:top w:val="single" w:color="000000" w:sz="6" w:space="0" w:shadow="0" w:frame="0"/>
              <w:left w:val="single" w:color="000000" w:sz="6" w:space="0" w:shadow="0" w:frame="0"/>
              <w:bottom w:val="single" w:color="000000" w:sz="6" w:space="0" w:shadow="0" w:frame="0"/>
              <w:right w:val="nil"/>
            </w:tcBorders>
            <w:shd w:val="clear" w:color="auto" w:fill="f2f2f2"/>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Hyperlink.2"/>
                <w:sz w:val="20"/>
                <w:szCs w:val="20"/>
                <w:u w:color="000000"/>
                <w:rtl w:val="0"/>
                <w:lang w:val="en-US"/>
              </w:rPr>
              <w:t>$24,476,936.96</w:t>
            </w:r>
            <w:r>
              <w:rPr>
                <w:rStyle w:val="Hyperlink.2"/>
                <w:sz w:val="20"/>
                <w:szCs w:val="20"/>
                <w:u w:color="000000"/>
                <w:rtl w:val="0"/>
                <w:lang w:val="en-US"/>
              </w:rPr>
              <w:t> </w:t>
            </w:r>
          </w:p>
        </w:tc>
      </w:tr>
      <w:tr>
        <w:tblPrEx>
          <w:shd w:val="clear" w:color="auto" w:fill="cdd4e9"/>
        </w:tblPrEx>
        <w:trPr>
          <w:trHeight w:val="447" w:hRule="atLeast"/>
        </w:trPr>
        <w:tc>
          <w:tcPr>
            <w:tcW w:type="dxa" w:w="1800"/>
            <w:tcBorders>
              <w:top w:val="single" w:color="000000" w:sz="6" w:space="0" w:shadow="0" w:frame="0"/>
              <w:left w:val="nil"/>
              <w:bottom w:val="single" w:color="000000" w:sz="6" w:space="0" w:shadow="0" w:frame="0"/>
              <w:right w:val="single" w:color="a5a5a5" w:sz="6" w:space="0" w:shadow="0" w:frame="0"/>
            </w:tcBorders>
            <w:shd w:val="clear" w:color="auto" w:fill="e7e6e6"/>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None"/>
                <w:b w:val="1"/>
                <w:bCs w:val="1"/>
                <w:sz w:val="20"/>
                <w:szCs w:val="20"/>
                <w:u w:color="000000"/>
                <w:rtl w:val="0"/>
                <w:lang w:val="en-US"/>
              </w:rPr>
              <w:t>Award Date</w:t>
            </w:r>
            <w:r>
              <w:rPr>
                <w:rStyle w:val="Hyperlink.2"/>
                <w:sz w:val="20"/>
                <w:szCs w:val="20"/>
                <w:u w:color="000000"/>
                <w:rtl w:val="0"/>
                <w:lang w:val="en-US"/>
              </w:rPr>
              <w:t> </w:t>
            </w:r>
          </w:p>
        </w:tc>
        <w:tc>
          <w:tcPr>
            <w:tcW w:type="dxa" w:w="2790"/>
            <w:tcBorders>
              <w:top w:val="single" w:color="a5a5a5" w:sz="6" w:space="0" w:shadow="0" w:frame="0"/>
              <w:left w:val="single" w:color="a5a5a5" w:sz="6" w:space="0" w:shadow="0" w:frame="0"/>
              <w:bottom w:val="single" w:color="000000" w:sz="6" w:space="0" w:shadow="0" w:frame="0"/>
              <w:right w:val="single" w:color="a5a5a5" w:sz="6" w:space="0" w:shadow="0" w:frame="0"/>
            </w:tcBorders>
            <w:shd w:val="clear" w:color="auto" w:fill="e7e6e6"/>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Hyperlink.2"/>
                <w:sz w:val="20"/>
                <w:szCs w:val="20"/>
                <w:u w:color="000000"/>
                <w:rtl w:val="0"/>
                <w:lang w:val="en-US"/>
              </w:rPr>
              <w:t>9/9/21</w:t>
            </w:r>
            <w:r>
              <w:rPr>
                <w:rStyle w:val="Hyperlink.2"/>
                <w:sz w:val="20"/>
                <w:szCs w:val="20"/>
                <w:u w:color="000000"/>
                <w:rtl w:val="0"/>
                <w:lang w:val="en-US"/>
              </w:rPr>
              <w:t> </w:t>
            </w:r>
          </w:p>
        </w:tc>
        <w:tc>
          <w:tcPr>
            <w:tcW w:type="dxa" w:w="2070"/>
            <w:tcBorders>
              <w:top w:val="single" w:color="a5a5a5" w:sz="6" w:space="0" w:shadow="0" w:frame="0"/>
              <w:left w:val="single" w:color="a5a5a5" w:sz="6" w:space="0" w:shadow="0" w:frame="0"/>
              <w:bottom w:val="single" w:color="000000" w:sz="6" w:space="0" w:shadow="0" w:frame="0"/>
              <w:right w:val="single" w:color="000000" w:sz="6" w:space="0" w:shadow="0" w:frame="0"/>
            </w:tcBorders>
            <w:shd w:val="clear" w:color="auto" w:fill="e7e6e6"/>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None"/>
                <w:b w:val="1"/>
                <w:bCs w:val="1"/>
                <w:sz w:val="20"/>
                <w:szCs w:val="20"/>
                <w:u w:color="000000"/>
                <w:rtl w:val="0"/>
                <w:lang w:val="en-US"/>
              </w:rPr>
              <w:t>Period of Performance</w:t>
            </w:r>
            <w:r>
              <w:rPr>
                <w:rStyle w:val="Hyperlink.2"/>
                <w:sz w:val="20"/>
                <w:szCs w:val="20"/>
                <w:u w:color="000000"/>
                <w:rtl w:val="0"/>
                <w:lang w:val="en-US"/>
              </w:rPr>
              <w:t> </w:t>
            </w:r>
          </w:p>
        </w:tc>
        <w:tc>
          <w:tcPr>
            <w:tcW w:type="dxa" w:w="2685"/>
            <w:tcBorders>
              <w:top w:val="single" w:color="000000" w:sz="6" w:space="0" w:shadow="0" w:frame="0"/>
              <w:left w:val="single" w:color="000000" w:sz="6" w:space="0" w:shadow="0" w:frame="0"/>
              <w:bottom w:val="single" w:color="000000" w:sz="6" w:space="0" w:shadow="0" w:frame="0"/>
              <w:right w:val="nil"/>
            </w:tcBorders>
            <w:shd w:val="clear" w:color="auto" w:fill="e7e6e6"/>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Hyperlink.2"/>
                <w:sz w:val="20"/>
                <w:szCs w:val="20"/>
                <w:u w:color="000000"/>
                <w:rtl w:val="0"/>
                <w:lang w:val="en-US"/>
              </w:rPr>
              <w:t>9/22/2021 - 9/21/2026</w:t>
            </w:r>
            <w:r>
              <w:rPr>
                <w:rStyle w:val="Hyperlink.2"/>
                <w:sz w:val="20"/>
                <w:szCs w:val="20"/>
                <w:u w:color="000000"/>
                <w:rtl w:val="0"/>
                <w:lang w:val="en-US"/>
              </w:rPr>
              <w:t> </w:t>
            </w:r>
          </w:p>
        </w:tc>
      </w:tr>
      <w:tr>
        <w:tblPrEx>
          <w:shd w:val="clear" w:color="auto" w:fill="cdd4e9"/>
        </w:tblPrEx>
        <w:trPr>
          <w:trHeight w:val="227" w:hRule="atLeast"/>
        </w:trPr>
        <w:tc>
          <w:tcPr>
            <w:tcW w:type="dxa" w:w="1800"/>
            <w:tcBorders>
              <w:top w:val="single" w:color="000000" w:sz="6" w:space="0" w:shadow="0" w:frame="0"/>
              <w:left w:val="nil"/>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None"/>
                <w:b w:val="1"/>
                <w:bCs w:val="1"/>
                <w:sz w:val="20"/>
                <w:szCs w:val="20"/>
                <w:u w:color="000000"/>
                <w:rtl w:val="0"/>
                <w:lang w:val="en-US"/>
              </w:rPr>
              <w:t>Location(s)</w:t>
            </w:r>
            <w:r>
              <w:rPr>
                <w:rStyle w:val="Hyperlink.2"/>
                <w:sz w:val="20"/>
                <w:szCs w:val="20"/>
                <w:u w:color="000000"/>
                <w:rtl w:val="0"/>
                <w:lang w:val="en-US"/>
              </w:rPr>
              <w:t> </w:t>
            </w:r>
          </w:p>
        </w:tc>
        <w:tc>
          <w:tcPr>
            <w:tcW w:type="dxa" w:w="7545"/>
            <w:gridSpan w:val="3"/>
            <w:tcBorders>
              <w:top w:val="single" w:color="000000" w:sz="6" w:space="0" w:shadow="0" w:frame="0"/>
              <w:left w:val="single" w:color="000000" w:sz="6" w:space="0" w:shadow="0" w:frame="0"/>
              <w:bottom w:val="single" w:color="000000" w:sz="6" w:space="0" w:shadow="0" w:frame="0"/>
              <w:right w:val="nil"/>
            </w:tcBorders>
            <w:shd w:val="clear" w:color="auto" w:fill="ffffff"/>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Hyperlink.2"/>
                <w:sz w:val="20"/>
                <w:szCs w:val="20"/>
                <w:u w:color="000000"/>
                <w:rtl w:val="0"/>
                <w:lang w:val="en-US"/>
              </w:rPr>
              <w:t>Arlington, VA</w:t>
            </w:r>
            <w:r>
              <w:rPr>
                <w:rStyle w:val="Hyperlink.2"/>
                <w:sz w:val="20"/>
                <w:szCs w:val="20"/>
                <w:u w:color="000000"/>
                <w:rtl w:val="0"/>
                <w:lang w:val="en-US"/>
              </w:rPr>
              <w:t> </w:t>
            </w:r>
          </w:p>
        </w:tc>
      </w:tr>
      <w:tr>
        <w:tblPrEx>
          <w:shd w:val="clear" w:color="auto" w:fill="cdd4e9"/>
        </w:tblPrEx>
        <w:trPr>
          <w:trHeight w:val="1007" w:hRule="atLeast"/>
        </w:trPr>
        <w:tc>
          <w:tcPr>
            <w:tcW w:type="dxa" w:w="1800"/>
            <w:tcBorders>
              <w:top w:val="single" w:color="000000" w:sz="6" w:space="0" w:shadow="0" w:frame="0"/>
              <w:left w:val="nil"/>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None"/>
                <w:b w:val="1"/>
                <w:bCs w:val="1"/>
                <w:sz w:val="20"/>
                <w:szCs w:val="20"/>
                <w:u w:color="000000"/>
                <w:rtl w:val="0"/>
                <w:lang w:val="en-US"/>
              </w:rPr>
              <w:t>Contracting POC</w:t>
            </w:r>
            <w:r>
              <w:rPr>
                <w:rStyle w:val="Hyperlink.2"/>
                <w:sz w:val="20"/>
                <w:szCs w:val="20"/>
                <w:u w:color="000000"/>
                <w:rtl w:val="0"/>
                <w:lang w:val="en-US"/>
              </w:rPr>
              <w:t> </w:t>
            </w:r>
          </w:p>
        </w:tc>
        <w:tc>
          <w:tcPr>
            <w:tcW w:type="dxa" w:w="7545"/>
            <w:gridSpan w:val="3"/>
            <w:tcBorders>
              <w:top w:val="single" w:color="000000" w:sz="6" w:space="0" w:shadow="0" w:frame="0"/>
              <w:left w:val="single" w:color="000000" w:sz="6" w:space="0" w:shadow="0" w:frame="0"/>
              <w:bottom w:val="single" w:color="000000" w:sz="6" w:space="0" w:shadow="0" w:frame="0"/>
              <w:right w:val="nil"/>
            </w:tcBorders>
            <w:shd w:val="clear" w:color="auto" w:fill="f2f2f2"/>
            <w:tcMar>
              <w:top w:type="dxa" w:w="80"/>
              <w:left w:type="dxa" w:w="80"/>
              <w:bottom w:type="dxa" w:w="80"/>
              <w:right w:type="dxa" w:w="80"/>
            </w:tcMar>
            <w:vAlign w:val="top"/>
          </w:tcPr>
          <w:p>
            <w:pPr>
              <w:pStyle w:val="Body"/>
              <w:bidi w:val="0"/>
              <w:spacing w:before="40" w:after="40" w:line="240" w:lineRule="auto"/>
              <w:ind w:left="0" w:right="0" w:firstLine="0"/>
              <w:jc w:val="left"/>
              <w:rPr>
                <w:sz w:val="20"/>
                <w:szCs w:val="20"/>
                <w:u w:color="000000"/>
                <w:rtl w:val="0"/>
              </w:rPr>
            </w:pPr>
            <w:r>
              <w:rPr>
                <w:rStyle w:val="Hyperlink.2"/>
                <w:sz w:val="20"/>
                <w:szCs w:val="20"/>
                <w:u w:color="000000"/>
                <w:rtl w:val="0"/>
                <w:lang w:val="en-US"/>
              </w:rPr>
              <w:t>Patrick T. Dermidoff</w:t>
            </w:r>
            <w:r>
              <w:rPr>
                <w:sz w:val="20"/>
                <w:szCs w:val="20"/>
                <w:u w:color="000000"/>
                <w:rtl w:val="0"/>
                <w:lang w:val="en-US"/>
              </w:rPr>
              <w:t xml:space="preserve">, </w:t>
            </w:r>
            <w:r>
              <w:rPr>
                <w:rStyle w:val="Hyperlink.2"/>
                <w:sz w:val="20"/>
                <w:szCs w:val="20"/>
                <w:u w:color="000000"/>
                <w:rtl w:val="0"/>
                <w:lang w:val="en-US"/>
              </w:rPr>
              <w:t>Contracting Officer</w:t>
            </w:r>
            <w:r>
              <w:rPr>
                <w:rStyle w:val="Hyperlink.2"/>
                <w:sz w:val="20"/>
                <w:szCs w:val="20"/>
                <w:u w:color="000000"/>
                <w:rtl w:val="0"/>
                <w:lang w:val="en-US"/>
              </w:rPr>
              <w:t> </w:t>
            </w:r>
          </w:p>
          <w:p>
            <w:pPr>
              <w:pStyle w:val="Body"/>
              <w:spacing w:before="40" w:after="40" w:line="240" w:lineRule="auto"/>
              <w:jc w:val="left"/>
              <w:rPr>
                <w:sz w:val="20"/>
                <w:szCs w:val="20"/>
                <w:u w:color="000000"/>
              </w:rPr>
            </w:pPr>
            <w:r>
              <w:rPr>
                <w:rStyle w:val="Hyperlink.2"/>
                <w:sz w:val="20"/>
                <w:szCs w:val="20"/>
                <w:u w:color="000000"/>
                <w:rtl w:val="0"/>
                <w:lang w:val="en-US"/>
              </w:rPr>
              <w:t>A/OPE/AQM/FDC/MAJ</w:t>
            </w:r>
            <w:r>
              <w:rPr>
                <w:rStyle w:val="Hyperlink.2"/>
                <w:sz w:val="20"/>
                <w:szCs w:val="20"/>
                <w:u w:color="000000"/>
                <w:rtl w:val="0"/>
                <w:lang w:val="en-US"/>
              </w:rPr>
              <w:t> </w:t>
            </w:r>
          </w:p>
          <w:p>
            <w:pPr>
              <w:pStyle w:val="Body"/>
              <w:spacing w:before="40" w:after="40" w:line="240" w:lineRule="auto"/>
              <w:jc w:val="left"/>
              <w:rPr>
                <w:sz w:val="20"/>
                <w:szCs w:val="20"/>
                <w:u w:color="000000"/>
              </w:rPr>
            </w:pPr>
            <w:r>
              <w:rPr>
                <w:rStyle w:val="Hyperlink.2"/>
                <w:sz w:val="20"/>
                <w:szCs w:val="20"/>
                <w:u w:color="000000"/>
                <w:rtl w:val="0"/>
                <w:lang w:val="en-US"/>
              </w:rPr>
              <w:t>1701 N. Ft. Myer Drive</w:t>
            </w:r>
            <w:r>
              <w:rPr>
                <w:rStyle w:val="Hyperlink.2"/>
                <w:sz w:val="20"/>
                <w:szCs w:val="20"/>
                <w:u w:color="000000"/>
                <w:rtl w:val="0"/>
                <w:lang w:val="en-US"/>
              </w:rPr>
              <w:t xml:space="preserve">, </w:t>
            </w:r>
            <w:r>
              <w:rPr>
                <w:rStyle w:val="Hyperlink.2"/>
                <w:sz w:val="20"/>
                <w:szCs w:val="20"/>
                <w:u w:color="000000"/>
                <w:rtl w:val="0"/>
                <w:lang w:val="en-US"/>
              </w:rPr>
              <w:t>Arlington, VA 22209 (SA-6)</w:t>
            </w:r>
            <w:r>
              <w:rPr>
                <w:rStyle w:val="Hyperlink.2"/>
                <w:sz w:val="20"/>
                <w:szCs w:val="20"/>
                <w:u w:color="000000"/>
                <w:rtl w:val="0"/>
                <w:lang w:val="en-US"/>
              </w:rPr>
              <w:t> </w:t>
            </w:r>
          </w:p>
          <w:p>
            <w:pPr>
              <w:pStyle w:val="Body"/>
              <w:spacing w:before="40" w:after="40" w:line="240" w:lineRule="auto"/>
              <w:jc w:val="left"/>
            </w:pPr>
            <w:r>
              <w:rPr>
                <w:rStyle w:val="Hyperlink.2"/>
                <w:sz w:val="20"/>
                <w:szCs w:val="20"/>
                <w:u w:color="000000"/>
                <w:rtl w:val="0"/>
                <w:lang w:val="en-US"/>
              </w:rPr>
              <w:t>Office: (703) 516-1810</w:t>
            </w:r>
            <w:r>
              <w:rPr>
                <w:rStyle w:val="Hyperlink.2"/>
                <w:sz w:val="20"/>
                <w:szCs w:val="20"/>
                <w:u w:color="000000"/>
                <w:rtl w:val="0"/>
                <w:lang w:val="en-US"/>
              </w:rPr>
              <w:t> </w:t>
            </w:r>
            <w:r>
              <w:rPr>
                <w:rStyle w:val="Hyperlink.2"/>
                <w:sz w:val="20"/>
                <w:szCs w:val="20"/>
                <w:u w:color="000000"/>
                <w:rtl w:val="0"/>
                <w:lang w:val="en-US"/>
              </w:rPr>
              <w:t xml:space="preserve"> </w:t>
            </w:r>
            <w:r>
              <w:rPr>
                <w:rStyle w:val="Hyperlink.2"/>
                <w:sz w:val="20"/>
                <w:szCs w:val="20"/>
                <w:u w:color="000000"/>
                <w:rtl w:val="0"/>
                <w:lang w:val="en-US"/>
              </w:rPr>
              <w:t>Cell: (202) 531-2669</w:t>
            </w:r>
            <w:r>
              <w:rPr>
                <w:rStyle w:val="Hyperlink.2"/>
                <w:sz w:val="20"/>
                <w:szCs w:val="20"/>
                <w:u w:color="000000"/>
                <w:rtl w:val="0"/>
                <w:lang w:val="en-US"/>
              </w:rPr>
              <w:t> </w:t>
            </w:r>
            <w:r>
              <w:rPr>
                <w:rStyle w:val="Hyperlink.2"/>
                <w:sz w:val="20"/>
                <w:szCs w:val="20"/>
                <w:u w:color="000000"/>
                <w:rtl w:val="0"/>
                <w:lang w:val="en-US"/>
              </w:rPr>
              <w:t xml:space="preserve"> </w:t>
            </w:r>
            <w:r>
              <w:rPr>
                <w:rStyle w:val="Hyperlink.2"/>
                <w:sz w:val="20"/>
                <w:szCs w:val="20"/>
                <w:u w:color="000000"/>
                <w:rtl w:val="0"/>
                <w:lang w:val="en-US"/>
              </w:rPr>
              <w:t>Email: dermidoffpt@state.gov</w:t>
            </w:r>
            <w:r>
              <w:rPr>
                <w:rStyle w:val="Hyperlink.2"/>
                <w:sz w:val="20"/>
                <w:szCs w:val="20"/>
                <w:u w:color="000000"/>
                <w:rtl w:val="0"/>
                <w:lang w:val="en-US"/>
              </w:rPr>
              <w:t> </w:t>
            </w:r>
          </w:p>
        </w:tc>
      </w:tr>
      <w:tr>
        <w:tblPrEx>
          <w:shd w:val="clear" w:color="auto" w:fill="cdd4e9"/>
        </w:tblPrEx>
        <w:trPr>
          <w:trHeight w:val="689" w:hRule="atLeast"/>
        </w:trPr>
        <w:tc>
          <w:tcPr>
            <w:tcW w:type="dxa" w:w="1800"/>
            <w:tcBorders>
              <w:top w:val="single" w:color="000000" w:sz="6" w:space="0" w:shadow="0" w:frame="0"/>
              <w:left w:val="nil"/>
              <w:bottom w:val="single" w:color="000000" w:sz="24"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None"/>
                <w:b w:val="1"/>
                <w:bCs w:val="1"/>
                <w:sz w:val="20"/>
                <w:szCs w:val="20"/>
                <w:u w:color="000000"/>
                <w:rtl w:val="0"/>
                <w:lang w:val="en-US"/>
              </w:rPr>
              <w:t>Technical POC</w:t>
            </w:r>
            <w:r>
              <w:rPr>
                <w:rStyle w:val="Hyperlink.2"/>
                <w:sz w:val="20"/>
                <w:szCs w:val="20"/>
                <w:u w:color="000000"/>
                <w:rtl w:val="0"/>
                <w:lang w:val="en-US"/>
              </w:rPr>
              <w:t> </w:t>
            </w:r>
          </w:p>
        </w:tc>
        <w:tc>
          <w:tcPr>
            <w:tcW w:type="dxa" w:w="7545"/>
            <w:gridSpan w:val="3"/>
            <w:tcBorders>
              <w:top w:val="single" w:color="000000" w:sz="6" w:space="0" w:shadow="0" w:frame="0"/>
              <w:left w:val="single" w:color="000000" w:sz="6" w:space="0" w:shadow="0" w:frame="0"/>
              <w:bottom w:val="single" w:color="000000" w:sz="24" w:space="0" w:shadow="0" w:frame="0"/>
              <w:right w:val="nil"/>
            </w:tcBorders>
            <w:shd w:val="clear" w:color="auto" w:fill="ffffff"/>
            <w:tcMar>
              <w:top w:type="dxa" w:w="80"/>
              <w:left w:type="dxa" w:w="80"/>
              <w:bottom w:type="dxa" w:w="80"/>
              <w:right w:type="dxa" w:w="80"/>
            </w:tcMar>
            <w:vAlign w:val="top"/>
          </w:tcPr>
          <w:p>
            <w:pPr>
              <w:pStyle w:val="Body"/>
              <w:bidi w:val="0"/>
              <w:spacing w:after="0" w:line="240" w:lineRule="auto"/>
              <w:ind w:left="0" w:right="0" w:firstLine="0"/>
              <w:jc w:val="left"/>
              <w:rPr>
                <w:sz w:val="20"/>
                <w:szCs w:val="20"/>
                <w:u w:color="000000"/>
                <w:rtl w:val="0"/>
              </w:rPr>
            </w:pPr>
            <w:r>
              <w:rPr>
                <w:rStyle w:val="Hyperlink.2"/>
                <w:sz w:val="20"/>
                <w:szCs w:val="20"/>
                <w:u w:color="000000"/>
                <w:rtl w:val="0"/>
                <w:lang w:val="en-US"/>
              </w:rPr>
              <w:t>Danilo Stapula</w:t>
            </w:r>
            <w:r>
              <w:rPr>
                <w:rStyle w:val="Hyperlink.2"/>
                <w:sz w:val="20"/>
                <w:szCs w:val="20"/>
                <w:u w:color="000000"/>
                <w:rtl w:val="0"/>
                <w:lang w:val="en-US"/>
              </w:rPr>
              <w:t> </w:t>
            </w:r>
            <w:r>
              <w:rPr>
                <w:rStyle w:val="Hyperlink.2"/>
                <w:sz w:val="20"/>
                <w:szCs w:val="20"/>
                <w:u w:color="000000"/>
                <w:rtl w:val="0"/>
                <w:lang w:val="en-US"/>
              </w:rPr>
              <w:t xml:space="preserve"> - </w:t>
            </w:r>
            <w:r>
              <w:rPr>
                <w:rStyle w:val="Hyperlink.2"/>
                <w:sz w:val="20"/>
                <w:szCs w:val="20"/>
                <w:u w:color="000000"/>
                <w:rtl w:val="0"/>
                <w:lang w:val="en-US"/>
              </w:rPr>
              <w:t>Chief Information Officer</w:t>
            </w:r>
            <w:r>
              <w:rPr>
                <w:rStyle w:val="Hyperlink.2"/>
                <w:sz w:val="20"/>
                <w:szCs w:val="20"/>
                <w:u w:color="000000"/>
                <w:rtl w:val="0"/>
                <w:lang w:val="en-US"/>
              </w:rPr>
              <w:t xml:space="preserve">, </w:t>
            </w:r>
            <w:r>
              <w:rPr>
                <w:rStyle w:val="Hyperlink.2"/>
                <w:sz w:val="20"/>
                <w:szCs w:val="20"/>
                <w:u w:color="000000"/>
                <w:rtl w:val="0"/>
                <w:lang w:val="en-US"/>
              </w:rPr>
              <w:t>US. Department of State</w:t>
            </w:r>
            <w:r>
              <w:rPr>
                <w:rStyle w:val="Hyperlink.2"/>
                <w:sz w:val="20"/>
                <w:szCs w:val="20"/>
                <w:u w:color="000000"/>
                <w:rtl w:val="0"/>
                <w:lang w:val="en-US"/>
              </w:rPr>
              <w:t> </w:t>
            </w:r>
          </w:p>
          <w:p>
            <w:pPr>
              <w:pStyle w:val="Body"/>
              <w:spacing w:after="0" w:line="240" w:lineRule="auto"/>
              <w:jc w:val="left"/>
              <w:rPr>
                <w:sz w:val="20"/>
                <w:szCs w:val="20"/>
                <w:u w:color="000000"/>
              </w:rPr>
            </w:pPr>
            <w:r>
              <w:rPr>
                <w:rStyle w:val="Hyperlink.2"/>
                <w:sz w:val="20"/>
                <w:szCs w:val="20"/>
                <w:u w:color="000000"/>
                <w:rtl w:val="0"/>
                <w:lang w:val="en-US"/>
              </w:rPr>
              <w:t>Bureau of Overseas Buildings Operations</w:t>
            </w:r>
            <w:r>
              <w:rPr>
                <w:rStyle w:val="Hyperlink.2"/>
                <w:sz w:val="20"/>
                <w:szCs w:val="20"/>
                <w:u w:color="000000"/>
                <w:rtl w:val="0"/>
                <w:lang w:val="en-US"/>
              </w:rPr>
              <w:t> </w:t>
            </w:r>
          </w:p>
          <w:p>
            <w:pPr>
              <w:pStyle w:val="Body"/>
              <w:spacing w:after="0" w:line="240" w:lineRule="auto"/>
              <w:jc w:val="left"/>
            </w:pPr>
            <w:r>
              <w:rPr>
                <w:rStyle w:val="Hyperlink.2"/>
                <w:sz w:val="20"/>
                <w:szCs w:val="20"/>
                <w:u w:color="000000"/>
                <w:rtl w:val="0"/>
                <w:lang w:val="en-US"/>
              </w:rPr>
              <w:t>M 571 438 5302 | StapulaDE@state.gov</w:t>
            </w:r>
            <w:r>
              <w:rPr>
                <w:rStyle w:val="Hyperlink.2"/>
                <w:sz w:val="20"/>
                <w:szCs w:val="20"/>
                <w:u w:color="000000"/>
                <w:rtl w:val="0"/>
                <w:lang w:val="en-US"/>
              </w:rPr>
              <w:t> </w:t>
            </w:r>
          </w:p>
        </w:tc>
      </w:tr>
    </w:tbl>
    <w:p>
      <w:pPr>
        <w:pStyle w:val="Body"/>
        <w:bidi w:val="0"/>
      </w:pPr>
    </w:p>
    <w:p>
      <w:pPr>
        <w:pStyle w:val="Body"/>
        <w:bidi w:val="0"/>
      </w:pPr>
      <w:r>
        <w:rPr>
          <w:rFonts w:cs="Arial Unicode MS" w:eastAsia="Arial Unicode MS"/>
          <w:rtl w:val="0"/>
          <w:lang w:val="en-US"/>
        </w:rPr>
        <w:t xml:space="preserve">Under this contract, HunaTek provides staff augmentation support to the Directorate of Cyber and Technology Security (CTS), Bureau of Diplomatic Security (DS). The contract has an overall period of performance of 9/30/2021 </w:t>
      </w:r>
      <w:r>
        <w:rPr>
          <w:rFonts w:cs="Arial Unicode MS" w:eastAsia="Arial Unicode MS"/>
          <w:rtl w:val="0"/>
          <w:lang w:val="en-US"/>
        </w:rPr>
        <w:t>-</w:t>
      </w:r>
      <w:r>
        <w:rPr>
          <w:rFonts w:cs="Arial Unicode MS" w:eastAsia="Arial Unicode MS"/>
          <w:rtl w:val="0"/>
          <w:lang w:val="en-US"/>
        </w:rPr>
        <w:t xml:space="preserve"> 9/29/2026, which includes a base year with four (1) year options. HunaTek is currently providing services under the base year, which has a period of performance of September 30, 2021 through September 29, 2022.</w:t>
      </w:r>
    </w:p>
    <w:sectPr>
      <w:headerReference w:type="default" r:id="rId9"/>
      <w:footerReference w:type="default" r:id="rId10"/>
      <w:pgSz w:w="12240" w:h="15840" w:orient="portrait"/>
      <w:pgMar w:top="1440" w:right="1440" w:bottom="1440" w:left="1440" w:header="720" w:footer="864"/>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Bdr>
        <w:top w:val="single" w:color="919191" w:sz="8" w:space="0" w:shadow="0" w:frame="0"/>
        <w:left w:val="nil"/>
        <w:bottom w:val="nil"/>
        <w:right w:val="nil"/>
      </w:pBdr>
      <w:tabs>
        <w:tab w:val="center" w:pos="4680"/>
        <w:tab w:val="right" w:pos="9360"/>
        <w:tab w:val="clear" w:pos="9020"/>
      </w:tabs>
      <w:jc w:val="left"/>
    </w:pPr>
    <w:r>
      <w:rPr>
        <w:rtl w:val="0"/>
        <w:lang w:val="en-US"/>
      </w:rPr>
      <w:t>Confidential &amp; Proprietary Information</w:t>
      <w:tab/>
      <w:tab/>
    </w:r>
    <w:r>
      <w:rPr>
        <w:rtl w:val="0"/>
        <w:lang w:val="en-US"/>
      </w:rPr>
      <w:t xml:space="preserve">Page </w:t>
    </w:r>
    <w:r>
      <w:rPr/>
      <w:fldChar w:fldCharType="begin" w:fldLock="0"/>
    </w:r>
    <w:r>
      <w:instrText xml:space="preserve"> PAGE </w:instrText>
    </w:r>
    <w:r>
      <w:rPr/>
      <w:fldChar w:fldCharType="separate" w:fldLock="0"/>
    </w:r>
    <w:r>
      <w:t>ii</w:t>
    </w:r>
    <w:r>
      <w:rPr/>
      <w:fldChar w:fldCharType="end" w:fldLock="0"/>
    </w:r>
    <w:r>
      <w:rPr>
        <w:rtl w:val="0"/>
        <w:lang w:val="en-US"/>
      </w:rPr>
      <w:t xml:space="preserve"> of </w:t>
    </w:r>
    <w:r>
      <w:rPr/>
      <w:fldChar w:fldCharType="begin" w:fldLock="0"/>
    </w:r>
    <w:r>
      <w:instrText xml:space="preserve"> NUMPAGES </w:instrText>
    </w:r>
    <w:r>
      <w:rPr/>
      <w:fldChar w:fldCharType="separate" w:fldLock="0"/>
    </w:r>
    <w:r>
      <w:t>ii</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Bdr>
        <w:top w:val="single" w:color="919191" w:sz="8" w:space="0" w:shadow="0" w:frame="0"/>
        <w:left w:val="nil"/>
        <w:bottom w:val="nil"/>
        <w:right w:val="nil"/>
      </w:pBdr>
      <w:tabs>
        <w:tab w:val="center" w:pos="4680"/>
        <w:tab w:val="right" w:pos="9360"/>
        <w:tab w:val="clear" w:pos="9020"/>
      </w:tabs>
      <w:jc w:val="left"/>
    </w:pPr>
    <w:r>
      <w:rPr>
        <w:rtl w:val="0"/>
        <w:lang w:val="en-US"/>
      </w:rPr>
      <w:t>Confidential &amp; Proprietary Information</w:t>
      <w:tab/>
      <w:tab/>
    </w:r>
    <w:r>
      <w:rPr>
        <w:rtl w:val="0"/>
        <w:lang w:val="en-US"/>
      </w:rPr>
      <w:t xml:space="preserve">Page </w:t>
    </w:r>
    <w:r>
      <w:rPr/>
      <w:fldChar w:fldCharType="begin" w:fldLock="0"/>
    </w:r>
    <w:r>
      <w:instrText xml:space="preserve"> PAGE </w:instrText>
    </w:r>
    <w:r>
      <w:rPr/>
      <w:fldChar w:fldCharType="separate" w:fldLock="0"/>
    </w:r>
    <w:r>
      <w:t>10</w:t>
    </w:r>
    <w:r>
      <w:rPr/>
      <w:fldChar w:fldCharType="end" w:fldLock="0"/>
    </w:r>
    <w:r>
      <w:rPr>
        <w:rtl w:val="0"/>
        <w:lang w:val="en-US"/>
      </w:rPr>
      <w:t xml:space="preserve"> of </w:t>
    </w:r>
    <w:r>
      <w:rPr/>
      <w:fldChar w:fldCharType="begin" w:fldLock="0"/>
    </w:r>
    <w:r>
      <w:instrText xml:space="preserve"> NUMPAGES </w:instrText>
    </w:r>
    <w:r>
      <w:rPr/>
      <w:fldChar w:fldCharType="separate" w:fldLock="0"/>
    </w:r>
    <w:r>
      <w:t>10</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Bdr>
        <w:top w:val="nil"/>
        <w:left w:val="nil"/>
        <w:bottom w:val="single" w:color="919191" w:sz="8" w:space="0" w:shadow="0" w:frame="0"/>
        <w:right w:val="nil"/>
      </w:pBdr>
      <w:tabs>
        <w:tab w:val="center" w:pos="4680"/>
        <w:tab w:val="right" w:pos="9360"/>
        <w:tab w:val="clear" w:pos="9020"/>
      </w:tabs>
      <w:jc w:val="left"/>
    </w:pPr>
    <w:r>
      <w:rPr>
        <w:rtl w:val="0"/>
        <w:lang w:val="en-US"/>
      </w:rPr>
      <w:t>HunaTek</w:t>
    </w:r>
    <w:r>
      <w:rPr>
        <w:rtl w:val="0"/>
      </w:rPr>
      <w:tab/>
      <w:tab/>
      <w:t xml:space="preserve">US Dept. of </w:t>
    </w:r>
    <w:r>
      <w:rPr>
        <w:rtl w:val="0"/>
        <w:lang w:val="en-US"/>
      </w:rPr>
      <w:t>Ed</w:t>
    </w:r>
    <w:r>
      <w:rPr>
        <w:rtl w:val="0"/>
      </w:rPr>
      <w:t xml:space="preserve"> </w:t>
    </w:r>
    <w:r>
      <w:rPr>
        <w:rtl w:val="0"/>
        <w:lang w:val="en-US"/>
      </w:rPr>
      <w:t xml:space="preserve">- </w:t>
    </w:r>
    <w:r>
      <w:rPr>
        <w:rtl w:val="0"/>
      </w:rPr>
      <w:t>ESEP190025AP</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Bdr>
        <w:top w:val="nil"/>
        <w:left w:val="nil"/>
        <w:bottom w:val="single" w:color="000000" w:sz="8" w:space="0" w:shadow="0" w:frame="0"/>
        <w:right w:val="nil"/>
      </w:pBdr>
      <w:tabs>
        <w:tab w:val="center" w:pos="4680"/>
        <w:tab w:val="right" w:pos="9360"/>
        <w:tab w:val="clear" w:pos="9020"/>
      </w:tabs>
      <w:jc w:val="left"/>
    </w:pPr>
    <w:r>
      <w:rPr>
        <w:rtl w:val="0"/>
        <w:lang w:val="en-US"/>
      </w:rPr>
      <w:t>Hunatek</w:t>
    </w:r>
    <w:r>
      <w:rPr>
        <w:rtl w:val="0"/>
      </w:rPr>
      <w:tab/>
      <w:tab/>
      <w:t>US Dept. of Ed - ESEP190025AP</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15.0pt;height:15.0pt;">
        <v:imagedata r:id="rId1" o:title="BD15056_.png"/>
      </v:shape>
    </w:pict>
  </w:numPicBullet>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lvl w:ilvl="0">
      <w:start w:val="1"/>
      <w:numFmt w:val="bullet"/>
      <w:suff w:val="tab"/>
      <w:lvlText w:val="·"/>
      <w:lvlPicBulletId w:val="0"/>
      <w:lvlJc w:val="left"/>
      <w:pPr>
        <w:tabs>
          <w:tab w:val="left" w:pos="634"/>
        </w:tabs>
        <w:ind w:left="36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1">
      <w:start w:val="1"/>
      <w:numFmt w:val="bullet"/>
      <w:suff w:val="tab"/>
      <w:lvlText w:val="·"/>
      <w:lvlPicBulletId w:val="0"/>
      <w:lvlJc w:val="left"/>
      <w:pPr>
        <w:tabs>
          <w:tab w:val="left" w:pos="360"/>
          <w:tab w:val="left" w:pos="634"/>
        </w:tabs>
        <w:ind w:left="108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2">
      <w:start w:val="1"/>
      <w:numFmt w:val="bullet"/>
      <w:suff w:val="tab"/>
      <w:lvlText w:val="·"/>
      <w:lvlPicBulletId w:val="0"/>
      <w:lvlJc w:val="left"/>
      <w:pPr>
        <w:tabs>
          <w:tab w:val="left" w:pos="360"/>
          <w:tab w:val="left" w:pos="634"/>
        </w:tabs>
        <w:ind w:left="180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3">
      <w:start w:val="1"/>
      <w:numFmt w:val="bullet"/>
      <w:suff w:val="tab"/>
      <w:lvlText w:val="·"/>
      <w:lvlPicBulletId w:val="0"/>
      <w:lvlJc w:val="left"/>
      <w:pPr>
        <w:tabs>
          <w:tab w:val="left" w:pos="360"/>
          <w:tab w:val="left" w:pos="634"/>
        </w:tabs>
        <w:ind w:left="25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4">
      <w:start w:val="1"/>
      <w:numFmt w:val="bullet"/>
      <w:suff w:val="tab"/>
      <w:lvlText w:val="·"/>
      <w:lvlPicBulletId w:val="0"/>
      <w:lvlJc w:val="left"/>
      <w:pPr>
        <w:tabs>
          <w:tab w:val="left" w:pos="360"/>
          <w:tab w:val="left" w:pos="634"/>
        </w:tabs>
        <w:ind w:left="324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5">
      <w:start w:val="1"/>
      <w:numFmt w:val="bullet"/>
      <w:suff w:val="tab"/>
      <w:lvlText w:val="·"/>
      <w:lvlPicBulletId w:val="0"/>
      <w:lvlJc w:val="left"/>
      <w:pPr>
        <w:tabs>
          <w:tab w:val="left" w:pos="360"/>
          <w:tab w:val="left" w:pos="634"/>
        </w:tabs>
        <w:ind w:left="396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6">
      <w:start w:val="1"/>
      <w:numFmt w:val="bullet"/>
      <w:suff w:val="tab"/>
      <w:lvlText w:val="·"/>
      <w:lvlPicBulletId w:val="0"/>
      <w:lvlJc w:val="left"/>
      <w:pPr>
        <w:tabs>
          <w:tab w:val="left" w:pos="360"/>
          <w:tab w:val="left" w:pos="634"/>
        </w:tabs>
        <w:ind w:left="468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7">
      <w:start w:val="1"/>
      <w:numFmt w:val="bullet"/>
      <w:suff w:val="tab"/>
      <w:lvlText w:val="·"/>
      <w:lvlPicBulletId w:val="0"/>
      <w:lvlJc w:val="left"/>
      <w:pPr>
        <w:tabs>
          <w:tab w:val="left" w:pos="360"/>
          <w:tab w:val="left" w:pos="634"/>
        </w:tabs>
        <w:ind w:left="540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8">
      <w:start w:val="1"/>
      <w:numFmt w:val="bullet"/>
      <w:suff w:val="tab"/>
      <w:lvlText w:val="·"/>
      <w:lvlPicBulletId w:val="0"/>
      <w:lvlJc w:val="left"/>
      <w:pPr>
        <w:tabs>
          <w:tab w:val="left" w:pos="360"/>
          <w:tab w:val="left" w:pos="634"/>
        </w:tabs>
        <w:ind w:left="61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abstractNum>
  <w:abstractNum w:abstractNumId="3">
    <w:multiLevelType w:val="hybridMultilevel"/>
    <w:numStyleLink w:val="Imported Style 4"/>
  </w:abstractNum>
  <w:abstractNum w:abstractNumId="4">
    <w:multiLevelType w:val="hybridMultilevel"/>
    <w:styleLink w:val="Imported Style 4"/>
    <w:lvl w:ilvl="0">
      <w:start w:val="1"/>
      <w:numFmt w:val="bullet"/>
      <w:suff w:val="tab"/>
      <w:lvlText w:val="·"/>
      <w:lvlJc w:val="left"/>
      <w:pPr>
        <w:ind w:left="75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2"/>
    <w:lvlOverride w:ilvl="0">
      <w:lvl w:ilvl="0">
        <w:start w:val="1"/>
        <w:numFmt w:val="bullet"/>
        <w:suff w:val="tab"/>
        <w:lvlText w:val="·"/>
        <w:lvlPicBulletId w:val="0"/>
        <w:lvlJc w:val="left"/>
        <w:pPr>
          <w:tabs>
            <w:tab w:val="left" w:pos="634"/>
          </w:tabs>
          <w:ind w:left="432" w:hanging="432"/>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1">
      <w:lvl w:ilvl="1">
        <w:start w:val="1"/>
        <w:numFmt w:val="bullet"/>
        <w:suff w:val="tab"/>
        <w:lvlText w:val="·"/>
        <w:lvlPicBulletId w:val="0"/>
        <w:lvlJc w:val="left"/>
        <w:pPr>
          <w:tabs>
            <w:tab w:val="left" w:pos="360"/>
            <w:tab w:val="left" w:pos="634"/>
          </w:tabs>
          <w:ind w:left="1152" w:hanging="432"/>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2">
      <w:lvl w:ilvl="2">
        <w:start w:val="1"/>
        <w:numFmt w:val="bullet"/>
        <w:suff w:val="tab"/>
        <w:lvlText w:val="·"/>
        <w:lvlPicBulletId w:val="0"/>
        <w:lvlJc w:val="left"/>
        <w:pPr>
          <w:tabs>
            <w:tab w:val="left" w:pos="360"/>
            <w:tab w:val="left" w:pos="634"/>
          </w:tabs>
          <w:ind w:left="1872" w:hanging="432"/>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3">
      <w:lvl w:ilvl="3">
        <w:start w:val="1"/>
        <w:numFmt w:val="bullet"/>
        <w:suff w:val="tab"/>
        <w:lvlText w:val="·"/>
        <w:lvlPicBulletId w:val="0"/>
        <w:lvlJc w:val="left"/>
        <w:pPr>
          <w:tabs>
            <w:tab w:val="left" w:pos="360"/>
            <w:tab w:val="left" w:pos="634"/>
          </w:tabs>
          <w:ind w:left="2592" w:hanging="432"/>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4">
      <w:lvl w:ilvl="4">
        <w:start w:val="1"/>
        <w:numFmt w:val="bullet"/>
        <w:suff w:val="tab"/>
        <w:lvlText w:val="·"/>
        <w:lvlPicBulletId w:val="0"/>
        <w:lvlJc w:val="left"/>
        <w:pPr>
          <w:tabs>
            <w:tab w:val="left" w:pos="360"/>
            <w:tab w:val="left" w:pos="634"/>
          </w:tabs>
          <w:ind w:left="3312" w:hanging="432"/>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5">
      <w:lvl w:ilvl="5">
        <w:start w:val="1"/>
        <w:numFmt w:val="bullet"/>
        <w:suff w:val="tab"/>
        <w:lvlText w:val="·"/>
        <w:lvlPicBulletId w:val="0"/>
        <w:lvlJc w:val="left"/>
        <w:pPr>
          <w:tabs>
            <w:tab w:val="left" w:pos="360"/>
            <w:tab w:val="left" w:pos="634"/>
          </w:tabs>
          <w:ind w:left="4032" w:hanging="432"/>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6">
      <w:lvl w:ilvl="6">
        <w:start w:val="1"/>
        <w:numFmt w:val="bullet"/>
        <w:suff w:val="tab"/>
        <w:lvlText w:val="·"/>
        <w:lvlPicBulletId w:val="0"/>
        <w:lvlJc w:val="left"/>
        <w:pPr>
          <w:tabs>
            <w:tab w:val="left" w:pos="360"/>
            <w:tab w:val="left" w:pos="634"/>
          </w:tabs>
          <w:ind w:left="4752" w:hanging="432"/>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7">
      <w:lvl w:ilvl="7">
        <w:start w:val="1"/>
        <w:numFmt w:val="bullet"/>
        <w:suff w:val="tab"/>
        <w:lvlText w:val="·"/>
        <w:lvlPicBulletId w:val="0"/>
        <w:lvlJc w:val="left"/>
        <w:pPr>
          <w:tabs>
            <w:tab w:val="left" w:pos="360"/>
            <w:tab w:val="left" w:pos="634"/>
          </w:tabs>
          <w:ind w:left="5472" w:hanging="432"/>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8">
      <w:lvl w:ilvl="8">
        <w:start w:val="1"/>
        <w:numFmt w:val="bullet"/>
        <w:suff w:val="tab"/>
        <w:lvlText w:val="·"/>
        <w:lvlPicBulletId w:val="0"/>
        <w:lvlJc w:val="left"/>
        <w:pPr>
          <w:tabs>
            <w:tab w:val="left" w:pos="360"/>
            <w:tab w:val="left" w:pos="634"/>
          </w:tabs>
          <w:ind w:left="6192" w:hanging="432"/>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num>
  <w:num w:numId="5">
    <w:abstractNumId w:val="4"/>
  </w:num>
  <w:num w:numId="6">
    <w:abstractNumId w:val="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color w:val="000000"/>
      <w:spacing w:val="0"/>
      <w:kern w:val="0"/>
      <w:position w:val="0"/>
      <w:sz w:val="22"/>
      <w:szCs w:val="22"/>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style>
  <w:style w:type="character" w:styleId="Hyperlink.0">
    <w:name w:val="Hyperlink.0"/>
    <w:basedOn w:val="Hyperlink"/>
    <w:next w:val="Hyperlink.0"/>
    <w:rPr>
      <w:u w:val="single"/>
    </w:rPr>
  </w:style>
  <w:style w:type="paragraph" w:styleId="TOC 1 parent">
    <w:name w:val="TOC 1 parent"/>
    <w:next w:val="TOC 1 parent"/>
    <w:pPr>
      <w:keepNext w:val="0"/>
      <w:keepLines w:val="0"/>
      <w:pageBreakBefore w:val="0"/>
      <w:widowControl w:val="1"/>
      <w:shd w:val="clear" w:color="auto" w:fill="auto"/>
      <w:tabs>
        <w:tab w:val="right" w:pos="9360"/>
      </w:tabs>
      <w:suppressAutoHyphens w:val="0"/>
      <w:bidi w:val="0"/>
      <w:spacing w:before="1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color w:val="000000"/>
      <w:spacing w:val="0"/>
      <w:kern w:val="0"/>
      <w:position w:val="0"/>
      <w:sz w:val="28"/>
      <w:szCs w:val="28"/>
      <w:u w:val="none"/>
      <w:vertAlign w:val="baseline"/>
    </w:rPr>
  </w:style>
  <w:style w:type="paragraph" w:styleId="TOC 1">
    <w:name w:val="TOC 1"/>
    <w:basedOn w:val="TOC 1 parent"/>
    <w:next w:val="TOC 1 parent"/>
    <w:pPr>
      <w:tabs>
        <w:tab w:val="right" w:pos="9360" w:leader="dot"/>
        <w:tab w:val="clear" w:pos="9360"/>
      </w:tabs>
    </w:pPr>
    <w:rPr>
      <w:sz w:val="24"/>
      <w:szCs w:val="24"/>
    </w:rPr>
  </w:style>
  <w:style w:type="paragraph" w:styleId="Heading">
    <w:name w:val="Heading"/>
    <w:next w:val="Body"/>
    <w:pPr>
      <w:keepNext w:val="1"/>
      <w:keepLines w:val="0"/>
      <w:pageBreakBefore w:val="0"/>
      <w:widowControl w:val="1"/>
      <w:pBdr>
        <w:top w:val="single" w:color="000000" w:sz="4" w:space="0" w:shadow="0" w:frame="0"/>
        <w:left w:val="nil"/>
        <w:bottom w:val="nil"/>
        <w:right w:val="nil"/>
      </w:pBdr>
      <w:shd w:val="clear" w:color="auto" w:fill="auto"/>
      <w:suppressAutoHyphens w:val="0"/>
      <w:bidi w:val="0"/>
      <w:spacing w:before="440" w:after="180" w:line="24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color w:val="000000"/>
      <w:spacing w:val="0"/>
      <w:kern w:val="0"/>
      <w:position w:val="0"/>
      <w:sz w:val="28"/>
      <w:szCs w:val="28"/>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lang w:val="en-US"/>
    </w:rPr>
  </w:style>
  <w:style w:type="character" w:styleId="None">
    <w:name w:val="None"/>
  </w:style>
  <w:style w:type="character" w:styleId="Hyperlink.1">
    <w:name w:val="Hyperlink.1"/>
    <w:basedOn w:val="None"/>
    <w:next w:val="Hyperlink.1"/>
    <w:rPr>
      <w:rFonts w:ascii="Times New Roman" w:cs="Times New Roman" w:hAnsi="Times New Roman" w:eastAsia="Times New Roman"/>
      <w:outline w:val="0"/>
      <w:u w:val="single"/>
      <w:lang w:val="en-US"/>
    </w:rPr>
  </w:style>
  <w:style w:type="numbering" w:styleId="Bullet">
    <w:name w:val="Bullet"/>
    <w:pPr>
      <w:numPr>
        <w:numId w:val="1"/>
      </w:numPr>
    </w:pPr>
  </w:style>
  <w:style w:type="numbering" w:styleId="Imported Style 4">
    <w:name w:val="Imported Style 4"/>
    <w:pPr>
      <w:numPr>
        <w:numId w:val="5"/>
      </w:numPr>
    </w:pPr>
  </w:style>
  <w:style w:type="character" w:styleId="Hyperlink.2">
    <w:name w:val="Hyperlink.2"/>
    <w:basedOn w:val="None"/>
    <w:next w:val="Hyperlink.2"/>
    <w:rPr>
      <w:lang w:val="en-US"/>
    </w:rPr>
  </w:style>
  <w:style w:type="character" w:styleId="Hyperlink.3">
    <w:name w:val="Hyperlink.3"/>
    <w:basedOn w:val="Hyperlink.0"/>
    <w:next w:val="Hyperlink.3"/>
    <w:rPr>
      <w:color w:val="0563c1"/>
      <w:u w:color="0563c1"/>
      <w:lang w:val="en-US"/>
    </w:rPr>
  </w:style>
  <w:style w:type="character" w:styleId="Hyperlink.4">
    <w:name w:val="Hyperlink.4"/>
    <w:basedOn w:val="Hyperlink.0"/>
    <w:next w:val="Hyperlink.4"/>
    <w:rPr>
      <w:rFonts w:ascii="Times New Roman" w:cs="Times New Roman" w:hAnsi="Times New Roman" w:eastAsia="Times New Roman"/>
      <w:color w:val="0563c1"/>
      <w:u w:color="0563c1"/>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1.jpe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_rels/numbering.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1" baseline="0" cap="none" i="0" spc="0" strike="noStrike" sz="1200" u="none" kumimoji="0" normalizeH="0">
            <a:ln>
              <a:noFill/>
            </a:ln>
            <a:solidFill>
              <a:srgbClr val="FFFFFF"/>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90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