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</w:rPr>
        <w:t>Sol. W9124D-23-R-0007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 | 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Information Technology Support Services (ITSS), </w:t>
      </w:r>
      <w:r>
        <w:rPr>
          <w:rFonts w:ascii="Calibri" w:cs="Calibri" w:hAnsi="Calibri" w:eastAsia="Calibri"/>
          <w:sz w:val="20"/>
          <w:szCs w:val="20"/>
        </w:rPr>
        <w:br w:type="textWrapping"/>
      </w:r>
      <w:r>
        <w:rPr>
          <w:rFonts w:ascii="Calibri" w:hAnsi="Calibri"/>
          <w:sz w:val="20"/>
          <w:szCs w:val="20"/>
          <w:rtl w:val="0"/>
          <w:lang w:val="en-US"/>
        </w:rPr>
        <w:t>U.S. Army Recruiting Command, Fort Knox, KY (USAREC)</w:t>
      </w:r>
    </w:p>
    <w:p>
      <w:pPr>
        <w:pStyle w:val="Body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  <w:r>
        <w:rPr>
          <w:rFonts w:ascii="Calibri" w:hAnsi="Calibri"/>
          <w:b w:val="1"/>
          <w:bCs w:val="1"/>
          <w:sz w:val="20"/>
          <w:szCs w:val="20"/>
          <w:u w:val="single"/>
          <w:rtl w:val="0"/>
          <w:lang w:val="en-US"/>
        </w:rPr>
        <w:t>Section</w:t>
        <w:tab/>
        <w:t>Subsection</w:t>
        <w:tab/>
        <w:t>Sub</w:t>
      </w:r>
      <w:r>
        <w:rPr>
          <w:rFonts w:ascii="Calibri" w:hAnsi="Calibri" w:hint="default"/>
          <w:b w:val="1"/>
          <w:bCs w:val="1"/>
          <w:sz w:val="20"/>
          <w:szCs w:val="20"/>
          <w:u w:val="single"/>
          <w:rtl w:val="0"/>
          <w:lang w:val="en-US"/>
        </w:rPr>
        <w:t>¶</w:t>
        <w:tab/>
      </w:r>
      <w:r>
        <w:rPr>
          <w:rFonts w:ascii="Calibri" w:hAnsi="Calibri"/>
          <w:b w:val="1"/>
          <w:bCs w:val="1"/>
          <w:sz w:val="20"/>
          <w:szCs w:val="20"/>
          <w:u w:val="single"/>
          <w:rtl w:val="0"/>
          <w:lang w:val="en-US"/>
        </w:rPr>
        <w:t>Assigned to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Understanding of the Government</w:t>
      </w:r>
      <w:r>
        <w:rPr>
          <w:rFonts w:ascii="Calibri" w:hAnsi="Calibri" w:hint="default"/>
          <w:sz w:val="20"/>
          <w:szCs w:val="20"/>
          <w:rtl w:val="1"/>
        </w:rPr>
        <w:t>’</w:t>
      </w:r>
      <w:r>
        <w:rPr>
          <w:rFonts w:ascii="Calibri" w:hAnsi="Calibri"/>
          <w:sz w:val="20"/>
          <w:szCs w:val="20"/>
          <w:rtl w:val="0"/>
          <w:lang w:val="en-US"/>
        </w:rPr>
        <w:t>s Needs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ab/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 xml:space="preserve">Evaluation Criteria </w:t>
        <w:tab/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Corporate Information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 xml:space="preserve">Corporate Experience  (1.3) </w:t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Technical Approach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>Requirements Specifications (5.2.1)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5.2. Requirements Engineering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>Project Controls (5.9.1)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>Data Analysis of Business Information (5.16.1)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>Help Desk/Ticket Resolution/Incident Response (5.20.1)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>Problem and Event Management (5.20.6)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>Configuration and Administration of Army and Commercial Platforms (5.22.6.4)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spacing w:line="192" w:lineRule="auto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 xml:space="preserve">5.22. Support the Administration </w:t>
      </w:r>
      <w:r>
        <w:rPr>
          <w:rFonts w:ascii="Calibri" w:cs="Calibri" w:hAnsi="Calibri" w:eastAsia="Calibri"/>
          <w:sz w:val="20"/>
          <w:szCs w:val="20"/>
        </w:rPr>
        <w:tab/>
        <w:br w:type="textWrapping"/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of the IT Workforce Readiness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</w:rPr>
        <w:t>Monitoring (5.24.1)</w:t>
      </w:r>
      <w:r>
        <w:rPr>
          <w:rFonts w:ascii="Calibri" w:cs="Calibri" w:hAnsi="Calibri" w:eastAsia="Calibri"/>
          <w:sz w:val="20"/>
          <w:szCs w:val="20"/>
        </w:rPr>
        <w:tab/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5.24 Network Operations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>Other Task Areas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5.1. Functional Support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5.3. Business Process Modeling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5.4. Software Engineering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5.5. Applications and Web Integration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nl-NL"/>
        </w:rPr>
        <w:t>5.6. Data Engineering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5.7. Database Management and Administration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5.8. Project Management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5.10. Software Integration Engineering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 xml:space="preserve">5.11. Training Support Services for Recruiting </w:t>
      </w:r>
      <w:r>
        <w:rPr>
          <w:rFonts w:ascii="Calibri" w:cs="Calibri" w:hAnsi="Calibri" w:eastAsia="Calibri"/>
          <w:sz w:val="20"/>
          <w:szCs w:val="20"/>
        </w:rPr>
        <w:br w:type="textWrapping"/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and Retention College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5.12. Process Improvement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5.13. Information Technology Asset Coordinator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5.14. Telecommunications Control Officer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5.15. Test and Evaluation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5.17 General System Support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5.18. Computer Graphics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5.19. Technical Writers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fr-FR"/>
        </w:rPr>
        <w:t>5.21. Information Management Services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5.23. Administrative Support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5.25. Cyber Security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  <w:tab/>
      </w:r>
      <w:r>
        <w:rPr>
          <w:rFonts w:ascii="Calibri" w:hAnsi="Calibri"/>
          <w:sz w:val="20"/>
          <w:szCs w:val="20"/>
          <w:rtl w:val="0"/>
          <w:lang w:val="en-US"/>
        </w:rPr>
        <w:t>5.26. Monthly Report</w:t>
      </w:r>
      <w:r>
        <w:rPr>
          <w:rFonts w:ascii="Calibri" w:cs="Calibri" w:hAnsi="Calibri" w:eastAsia="Calibri"/>
          <w:sz w:val="20"/>
          <w:szCs w:val="20"/>
        </w:rPr>
        <w:tab/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Quality Control / Quality Assurance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ab/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sz w:val="20"/>
          <w:szCs w:val="20"/>
          <w:rtl w:val="0"/>
          <w:lang w:val="en-US"/>
        </w:rPr>
        <w:t>Management Approach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>Approach to Managing Personnel and Deliverables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 xml:space="preserve">Subcontractor Management </w:t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 xml:space="preserve">Recruiting and Retaining Cleared, Qualified Personnel </w:t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n-US"/>
        </w:rPr>
        <w:t xml:space="preserve">Staffing Plan (1.2) </w:t>
        <w:tab/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ab/>
        <w:t>TBD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</w:rPr>
        <w:t>Securit</w:t>
      </w:r>
      <w:r>
        <w:rPr>
          <w:rFonts w:ascii="Calibri" w:hAnsi="Calibri"/>
          <w:sz w:val="20"/>
          <w:szCs w:val="20"/>
          <w:rtl w:val="0"/>
          <w:lang w:val="en-US"/>
        </w:rPr>
        <w:t>y</w:t>
        <w:tab/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pt-PT"/>
        </w:rPr>
        <w:t>GFI/GFP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ab/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Calibri" w:hAnsi="Calibri"/>
          <w:sz w:val="20"/>
          <w:szCs w:val="20"/>
          <w:rtl w:val="0"/>
          <w:lang w:val="es-ES_tradnl"/>
        </w:rPr>
        <w:t>OCI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ab/>
        <w:tab/>
        <w:t>HunaTek</w:t>
      </w:r>
    </w:p>
    <w:p>
      <w:pPr>
        <w:pStyle w:val="Body"/>
        <w:tabs>
          <w:tab w:val="left" w:pos="1890"/>
          <w:tab w:val="left" w:pos="3690"/>
          <w:tab w:val="right" w:pos="9090" w:leader="dot"/>
        </w:tabs>
      </w:pPr>
      <w:r>
        <w:rPr>
          <w:rFonts w:ascii="Calibri" w:hAnsi="Calibri"/>
          <w:sz w:val="20"/>
          <w:szCs w:val="20"/>
          <w:rtl w:val="0"/>
          <w:lang w:val="fr-FR"/>
        </w:rPr>
        <w:t>Transition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ab/>
        <w:tab/>
        <w:tab/>
        <w:t>HunaTek</w:t>
      </w:r>
    </w:p>
    <w:sectPr>
      <w:headerReference w:type="default" r:id="rId4"/>
      <w:footerReference w:type="default" r:id="rId5"/>
      <w:pgSz w:w="12240" w:h="15840" w:orient="portrait"/>
      <w:pgMar w:top="1080" w:right="1440" w:bottom="720" w:left="1440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Calibri" w:hAnsi="Calibri"/>
        <w:b w:val="1"/>
        <w:bCs w:val="1"/>
        <w:sz w:val="22"/>
        <w:szCs w:val="22"/>
      </w:rPr>
      <w:tab/>
    </w:r>
    <w:r>
      <w:rPr>
        <w:rFonts w:ascii="Calibri" w:hAnsi="Calibri"/>
        <w:b w:val="1"/>
        <w:bCs w:val="1"/>
        <w:sz w:val="22"/>
        <w:szCs w:val="22"/>
        <w:rtl w:val="0"/>
        <w:lang w:val="en-US"/>
      </w:rPr>
      <w:t>Outline / Technical Response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