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מ-57 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53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נשקע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הנשקע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 ורוחבו 200–250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הנשקע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כ-Backstop שאפשר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40" w:before="0"/>
        <w:jc w:val="right"/>
      </w:pPr>
      <w:r>
        <w:rPr>
          <w:rFonts w:ascii="Arial" w:hAnsi="Arial" w:cs="Arial"/>
          <w:b/>
          <w:bCs/>
          <w:sz w:val="22"/>
          <w:szCs w:val="22"/>
          <w:rtl w:val="1"/>
          <w:lang w:bidi="he-IL" w:val="en-US"/>
        </w:rPr>
        <w:t>הערה 11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אלו הן שקע מטפן, שקע פליני, שקע סטראבו ותעלת רודוס, שעומקן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w:t>
      </w:r>
    </w:p>
    <w:p>
      <w:pPr>
        <w:keepNext/>
        <w:bidi/>
        <w:spacing w:line="240" w:lineRule="auto" w:after="40" w:before="0"/>
        <w:jc w:val="right"/>
      </w:pPr>
      <w:r>
        <w:rPr>
          <w:rFonts w:ascii="Arial" w:hAnsi="Arial" w:cs="Arial"/>
          <w:b/>
          <w:bCs/>
          <w:sz w:val="22"/>
          <w:szCs w:val="22"/>
          <w:rtl w:val="1"/>
          <w:lang w:bidi="he-IL" w:val="en-US"/>
        </w:rPr>
        <w:t>הערה 18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שקעי פליני וסטראבו ערוכים כשרשרת אגנים במערך מדורג (en échelon) בכיוון צפון-מזרח–דרום-מערב, המבטא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פסגתה, ברמת אנטאוס שמצפון לקירנאיקה, מגיעה לעומק מים של פחות מ-1,250 מטר, ואילו הזרועות היונית והלבנטינית יורדות לעומקים של כ-3,200 וכ-2,200 מטר בהתאמה.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מגיעה המנסרה לרוחב של כ-200 ק"מ, ובקטע שבין מרכז כרתים ללוב היא מצטמצמת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22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26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28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ה-Backstop,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29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40" w:before="0"/>
        <w:jc w:val="right"/>
      </w:pPr>
      <w:r>
        <w:rPr>
          <w:rFonts w:ascii="Arial" w:hAnsi="Arial" w:cs="Arial"/>
          <w:b/>
          <w:bCs/>
          <w:sz w:val="22"/>
          <w:szCs w:val="22"/>
          <w:rtl w:val="1"/>
          <w:lang w:bidi="he-IL" w:val="en-US"/>
        </w:rPr>
        <w:t>הערה 30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31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32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33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34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35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36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37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38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39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התפשטות דרומה של הכיסוי המלחי הדוקטילי מייצרת בחגורת הקמטים מערכת צפופה של העתקי הזזה.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ובאזור ה-Backstop השטוח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48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49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היא נשלטת בשילוב של מצב גיאודינמי של תחילת התנגשות, קינמטיקה משתנה ופיזור לא אחיד של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“These variations are believed to be controled by several main parameters: a specific geodynamic setting (incipient collision), a unique regional kinematics (frontal convergence south of Crete and oblique subduction with opposite sense of shear for the Ionian and Levantine domains), and finally a complex distribution, within parts of its cover, of thick ductile sedimentary layers”</w:t>
      </w:r>
    </w:p>
    <w:p>
      <w:pPr>
        <w:keepNext/>
        <w:bidi/>
        <w:spacing w:line="240" w:lineRule="auto" w:after="40" w:before="0"/>
        <w:jc w:val="right"/>
      </w:pPr>
      <w:r>
        <w:rPr>
          <w:rFonts w:ascii="Arial" w:hAnsi="Arial" w:cs="Arial"/>
          <w:b/>
          <w:bCs/>
          <w:sz w:val="22"/>
          <w:szCs w:val="22"/>
          <w:rtl w:val="1"/>
          <w:lang w:bidi="he-IL" w:val="en-US"/>
        </w:rPr>
        <w:t>הערה 53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54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מזינות את הרי הבוץ ומניעות את הגלישות הכבידתיות שמעל ה-Backstop.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p>
      <w:pPr>
        <w:keepNext/>
        <w:bidi/>
        <w:spacing w:line="240" w:lineRule="auto" w:after="40" w:before="0"/>
        <w:jc w:val="right"/>
      </w:pPr>
      <w:r>
        <w:rPr>
          <w:rFonts w:ascii="Arial" w:hAnsi="Arial" w:cs="Arial"/>
          <w:b/>
          <w:bCs/>
          <w:sz w:val="22"/>
          <w:szCs w:val="22"/>
          <w:rtl w:val="1"/>
          <w:lang w:bidi="he-IL" w:val="en-US"/>
        </w:rPr>
        <w:t>הערה 55 — ייחוס מקור</w:t>
      </w:r>
    </w:p>
    <w:p>
      <w:pPr>
        <w:bidi/>
        <w:spacing w:line="240" w:lineRule="auto" w:after="40" w:before="0"/>
        <w:ind w:right="283" w:end="283"/>
        <w:jc w:val="right"/>
      </w:pPr>
      <w:r>
        <w:rPr>
          <w:rFonts w:ascii="Arial" w:hAnsi="Arial" w:cs="Arial"/>
          <w:sz w:val="22"/>
          <w:szCs w:val="22"/>
          <w:rtl w:val="1"/>
          <w:lang w:bidi="he-IL" w:val="en-US"/>
        </w:rPr>
        <w:t>תוכן ההערה: מקור איור 2</w:t>
      </w:r>
    </w:p>
    <w:p>
      <w:pPr>
        <w:bidi/>
        <w:spacing w:line="240" w:lineRule="auto" w:after="200" w:before="0"/>
        <w:ind w:right="283" w:end="283"/>
        <w:jc w:val="right"/>
      </w:pPr>
      <w:r>
        <w:rPr>
          <w:rFonts w:ascii="Arial" w:hAnsi="Arial" w:cs="Arial"/>
          <w:sz w:val="22"/>
          <w:szCs w:val="22"/>
          <w:rtl w:val="1"/>
          <w:lang w:bidi="he-IL" w:val="en-US"/>
        </w:rPr>
        <w:t>הערה ביבליוגרפית: מזהה DOI של Güneş et al. (2018).</w:t>
      </w:r>
    </w:p>
    <w:p>
      <w:pPr>
        <w:keepNext/>
        <w:bidi/>
        <w:spacing w:line="240" w:lineRule="auto" w:after="40" w:before="0"/>
        <w:jc w:val="right"/>
      </w:pPr>
      <w:r>
        <w:rPr>
          <w:rFonts w:ascii="Arial" w:hAnsi="Arial" w:cs="Arial"/>
          <w:b/>
          <w:bCs/>
          <w:sz w:val="22"/>
          <w:szCs w:val="22"/>
          <w:rtl w:val="1"/>
          <w:lang w:bidi="he-IL" w:val="en-US"/>
        </w:rPr>
        <w:t>הערה 56 — ייחוס מקור</w:t>
      </w:r>
    </w:p>
    <w:p>
      <w:pPr>
        <w:bidi/>
        <w:spacing w:line="240" w:lineRule="auto" w:after="40" w:before="0"/>
        <w:ind w:right="283" w:end="283"/>
        <w:jc w:val="right"/>
      </w:pPr>
      <w:r>
        <w:rPr>
          <w:rFonts w:ascii="Arial" w:hAnsi="Arial" w:cs="Arial"/>
          <w:sz w:val="22"/>
          <w:szCs w:val="22"/>
          <w:rtl w:val="1"/>
          <w:lang w:bidi="he-IL" w:val="en-US"/>
        </w:rPr>
        <w:t>תוכן ההערה: מאמר בפורמט AGU, הממוספר בפסקאות ולא בעמודים; ההפניות בגוף העבודה ניתנות בהתאם, לפי תקציר, מספר פסקה או פרק.</w:t>
      </w:r>
    </w:p>
    <w:p>
      <w:pPr>
        <w:bidi/>
        <w:spacing w:line="240" w:lineRule="auto" w:after="200" w:before="0"/>
        <w:ind w:right="283" w:end="283"/>
        <w:jc w:val="right"/>
      </w:pPr>
      <w:r>
        <w:rPr>
          <w:rFonts w:ascii="Arial" w:hAnsi="Arial" w:cs="Arial"/>
          <w:sz w:val="22"/>
          <w:szCs w:val="22"/>
          <w:rtl w:val="1"/>
          <w:lang w:bidi="he-IL" w:val="en-US"/>
        </w:rPr>
        <w:t>הערה ביבליוגרפית: מזהה DOI ופורמט המספור של Kopf et al. (2003).</w:t>
      </w:r>
    </w:p>
    <w:p>
      <w:pPr>
        <w:keepNext/>
        <w:bidi/>
        <w:spacing w:line="240" w:lineRule="auto" w:after="40" w:before="0"/>
        <w:jc w:val="right"/>
      </w:pPr>
      <w:r>
        <w:rPr>
          <w:rFonts w:ascii="Arial" w:hAnsi="Arial" w:cs="Arial"/>
          <w:b/>
          <w:bCs/>
          <w:sz w:val="22"/>
          <w:szCs w:val="22"/>
          <w:rtl w:val="1"/>
          <w:lang w:bidi="he-IL" w:val="en-US"/>
        </w:rPr>
        <w:t>הערה 57 — ייחוס מקור</w:t>
      </w:r>
    </w:p>
    <w:p>
      <w:pPr>
        <w:bidi/>
        <w:spacing w:line="240" w:lineRule="auto" w:after="40" w:before="0"/>
        <w:ind w:right="283" w:end="283"/>
        <w:jc w:val="right"/>
      </w:pPr>
      <w:r>
        <w:rPr>
          <w:rFonts w:ascii="Arial" w:hAnsi="Arial" w:cs="Arial"/>
          <w:sz w:val="22"/>
          <w:szCs w:val="22"/>
          <w:rtl w:val="1"/>
          <w:lang w:bidi="he-IL" w:val="en-US"/>
        </w:rPr>
        <w:t>תוכן ההערה: מאמר בפורמט AGU, הממוספר בפסקאות ולא בעמודים</w:t>
      </w:r>
    </w:p>
    <w:p>
      <w:pPr>
        <w:bidi/>
        <w:spacing w:line="240" w:lineRule="auto" w:after="200" w:before="0"/>
        <w:ind w:right="283" w:end="283"/>
        <w:jc w:val="right"/>
      </w:pPr>
      <w:r>
        <w:rPr>
          <w:rFonts w:ascii="Arial" w:hAnsi="Arial" w:cs="Arial"/>
          <w:sz w:val="22"/>
          <w:szCs w:val="22"/>
          <w:rtl w:val="1"/>
          <w:lang w:bidi="he-IL" w:val="en-US"/>
        </w:rPr>
        <w:t>הערה ביבליוגרפית: מזהה DOI ופורמט המספור של Royden &amp; Papanikolaou (2011).</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