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בין שני התחומים האלה מתנשאת המנסרה כרכס רחב ומתון.</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מיקומם בין קשת האיים לבין גוף המנסרה הופך אותם למלכודות סדימנט יעילות, הלוכדות חומר שמגיע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פסגתה, ברמת אנטאוס שמצפון לקירנאיקה, מגיעה לעומק מים של פחות מ-1,250 מטר, ואילו הזרועות היונית והלבנטינית יורדות לעומקים של כ-3,200 וכ-2,200 מטר בהתאמה.</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גם הרוחב אינו אחיד. מול המישור התהומי היוני מגיעה המנסרה לרוחב של כ-200 ק"מ, ובקטע שבין מרכז כרתים ללוב היא מצטמצמת לכ-130 ק"מ בלבד.</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2"/>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4"/>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7"/>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הם חלון ישיר אל משטר הלחצים בעומק הטריז, ופיזורם משמש כלי מורפולוגי לזיהוי אזורי הדפורמציה הפעילה.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46"/>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שהוא מאפשר לדפורמציה להתפרס על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היא נשלטת בשילוב של מצב גיאודינמי של תחילת התנגשות, קינמטיקה משתנה ופיזור לא אחיד של שכבות המלח.</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הקינמטיקה עצמה אינה נתון ראשוני. היא נובעת מהרכב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כך נוצרת שרשרת סיבתית שראשיתה בעומק וסופה בצורת פני הקרקעית.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54"/>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5"/>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6"/>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r>
        <w:rPr>
          <w:rStyle w:val="FootnoteReference"/>
          <w:rFonts w:ascii="Arial" w:cs="Arial" w:eastAsia="Arial" w:hAnsi="Arial"/>
          <w:b w:val="false"/>
          <w:bCs w:val="false"/>
          <w:i w:val="false"/>
          <w:iCs w:val="false"/>
          <w:color w:val="000000"/>
          <w:sz w:val="22"/>
          <w:szCs w:val="22"/>
          <w:rtl w:val="0"/>
        </w:rPr>
        <w:footnoteReference w:id="57"/>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w:t>
      </w:r>
    </w:p>
  </w:footnote>
  <w:footnote w:id="12">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1">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2">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28">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29">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2">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3">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4">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6">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7">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6">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8">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49">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1">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52">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5">
    <w:p>
      <w:pPr>
        <w:pStyle w:val="FootnoteText"/>
        <w:bidi/>
      </w:pPr>
      <w:r>
        <w:rPr>
          <w:rStyle w:val="FootnoteReference"/>
        </w:rPr>
        <w:footnoteRef/>
      </w:r>
      <w:r>
        <w:rPr>
          <w:rFonts w:ascii="Arial" w:hAnsi="Arial" w:cs="Arial" w:eastAsia="Arial"/>
          <w:sz w:val="20"/>
          <w:szCs w:val="20"/>
          <w:rtl/>
        </w:rPr>
        <w:t xml:space="preserve"> מקור איור 2</w:t>
      </w:r>
    </w:p>
  </w:footnote>
  <w:footnote w:id="56">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 w:id="57">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