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bidi/>
        <w:spacing w:line="240" w:lineRule="auto" w:after="80" w:before="0"/>
        <w:jc w:val="right"/>
      </w:pPr>
      <w:r>
        <w:rPr>
          <w:rFonts w:ascii="Arial" w:hAnsi="Arial" w:cs="Arial"/>
          <w:b/>
          <w:bCs/>
          <w:sz w:val="28"/>
          <w:szCs w:val="28"/>
          <w:rtl w:val="1"/>
          <w:lang w:bidi="he-IL" w:val="en-US"/>
        </w:rPr>
        <w:t>מסמך אימות ציטוטים</w:t>
      </w:r>
    </w:p>
    <w:p>
      <w:pPr>
        <w:bidi/>
        <w:spacing w:line="240" w:lineRule="auto" w:after="160" w:before="0"/>
        <w:jc w:val="right"/>
      </w:pPr>
      <w:r>
        <w:rPr>
          <w:rFonts w:ascii="Arial" w:hAnsi="Arial" w:cs="Arial"/>
          <w:sz w:val="22"/>
          <w:szCs w:val="22"/>
          <w:rtl w:val="1"/>
          <w:lang w:bidi="he-IL" w:val="en-US"/>
        </w:rPr>
        <w:t>מסמך עבודה פנימי, נלווה לעבודת הסיכום "מערכות שקע אוקייני ומנסרות הצטברות: הקשת ההלנית". המסמך אינו חלק מן ההגשה.</w:t>
      </w:r>
    </w:p>
    <w:p>
      <w:pPr>
        <w:bidi/>
        <w:spacing w:line="240" w:lineRule="auto" w:after="200" w:before="0"/>
        <w:jc w:val="right"/>
      </w:pPr>
      <w:r>
        <w:rPr>
          <w:rFonts w:ascii="Arial" w:hAnsi="Arial" w:cs="Arial"/>
          <w:sz w:val="22"/>
          <w:szCs w:val="22"/>
          <w:rtl w:val="1"/>
          <w:lang w:bidi="he-IL" w:val="en-US"/>
        </w:rPr>
        <w:t>לכל אחת מהערות השוליים שבעבודה מובאים כאן המקור, הלוקטור המדויק (עמוד מודפס אצל Huguen ו-Güneş; מספר פסקה בפורמט AGU אצל Kopf ו-Royden), הטענה כפי שנוסחה בעבודה, והציטוט המילולי שממנו היא נגזרת. כל 60 הציטוטים אותרו אוטומטית בקובצי ה-PDF של המאמרים, בעמוד או בפסקה שהלוקטור טוען לו, לפני שנכתבו לכאן.</w:t>
      </w:r>
    </w:p>
    <w:p>
      <w:pPr>
        <w:keepNext/>
        <w:bidi/>
        <w:spacing w:line="240" w:lineRule="auto" w:after="80" w:before="0"/>
        <w:jc w:val="right"/>
      </w:pPr>
      <w:r>
        <w:rPr>
          <w:rFonts w:ascii="Arial" w:hAnsi="Arial" w:cs="Arial"/>
          <w:b/>
          <w:bCs/>
          <w:sz w:val="24"/>
          <w:szCs w:val="24"/>
          <w:rtl w:val="1"/>
          <w:lang w:bidi="he-IL" w:val="en-US"/>
        </w:rPr>
        <w:t>המקורות</w:t>
      </w:r>
    </w:p>
    <w:p>
      <w:pPr>
        <w:spacing w:line="240" w:lineRule="auto" w:after="80" w:before="0"/>
        <w:ind w:left="340" w:start="340"/>
        <w:jc w:val="left"/>
      </w:pPr>
      <w:r>
        <w:rPr>
          <w:rFonts w:ascii="Arial" w:hAnsi="Arial" w:cs="Arial"/>
          <w:sz w:val="20"/>
          <w:szCs w:val="20"/>
          <w:rtl w:val="0"/>
          <w:lang w:bidi="he-IL" w:val="en-US"/>
        </w:rPr>
        <w:t>Güneş, P., Aksu, A. E., &amp; Hall, J. (2018). Internal seismic stratigraphy of the Messinian evaporites across the northern sector of the eastern Mediterranean Sea. Marine and Petroleum Geology, 91, 297–320.</w:t>
      </w:r>
    </w:p>
    <w:p>
      <w:pPr>
        <w:spacing w:line="240" w:lineRule="auto" w:after="80" w:before="0"/>
        <w:ind w:left="340" w:start="340"/>
        <w:jc w:val="left"/>
      </w:pPr>
      <w:r>
        <w:rPr>
          <w:rFonts w:ascii="Arial" w:hAnsi="Arial" w:cs="Arial"/>
          <w:sz w:val="20"/>
          <w:szCs w:val="20"/>
          <w:rtl w:val="0"/>
          <w:lang w:bidi="he-IL" w:val="en-US"/>
        </w:rPr>
        <w:t>Huguen, C., Chamot-Rooke, N., Loubrieu, B., &amp; Mascle, J. (2006). Morphology of a pre-collisional, salt-bearing, accretionary complex: The Mediterranean Ridge (Eastern Mediterranean). Marine Geophysical Researches, 27(1), 61–75.</w:t>
      </w:r>
    </w:p>
    <w:p>
      <w:pPr>
        <w:spacing w:line="240" w:lineRule="auto" w:after="80" w:before="0"/>
        <w:ind w:left="340" w:start="340"/>
        <w:jc w:val="left"/>
      </w:pPr>
      <w:r>
        <w:rPr>
          <w:rFonts w:ascii="Arial" w:hAnsi="Arial" w:cs="Arial"/>
          <w:sz w:val="20"/>
          <w:szCs w:val="20"/>
          <w:rtl w:val="0"/>
          <w:lang w:bidi="he-IL" w:val="en-US"/>
        </w:rPr>
        <w:t>Kopf, A., Mascle, J., &amp; Klaeschen, D. (2003). The Mediterranean Ridge: A mass balance across the fastest growing accretionary complex on Earth. Journal of Geophysical Research: Solid Earth, 108(B8), 2372.</w:t>
      </w:r>
    </w:p>
    <w:p>
      <w:pPr>
        <w:spacing w:line="240" w:lineRule="auto" w:after="80" w:before="0"/>
        <w:ind w:left="340" w:start="340"/>
        <w:jc w:val="left"/>
      </w:pPr>
      <w:r>
        <w:rPr>
          <w:rFonts w:ascii="Arial" w:hAnsi="Arial" w:cs="Arial"/>
          <w:sz w:val="20"/>
          <w:szCs w:val="20"/>
          <w:rtl w:val="0"/>
          <w:lang w:bidi="he-IL" w:val="en-US"/>
        </w:rPr>
        <w:t>Royden, L. H., &amp; Papanikolaou, D. J. (2011). Slab segmentation and late Cenozoic disruption of the Hellenic arc. Geochemistry, Geophysics, Geosystems, 12(3), Q03010.</w:t>
      </w:r>
    </w:p>
    <w:p>
      <w:pPr>
        <w:bidi/>
        <w:spacing w:line="240" w:lineRule="auto" w:after="120" w:before="0"/>
        <w:jc w:val="right"/>
      </w:pPr>
    </w:p>
    <w:p>
      <w:pPr>
        <w:keepNext/>
        <w:bidi/>
        <w:spacing w:line="240" w:lineRule="auto" w:after="120" w:before="0"/>
        <w:jc w:val="right"/>
      </w:pPr>
      <w:r>
        <w:rPr>
          <w:rFonts w:ascii="Arial" w:hAnsi="Arial" w:cs="Arial"/>
          <w:b/>
          <w:bCs/>
          <w:sz w:val="24"/>
          <w:szCs w:val="24"/>
          <w:rtl w:val="1"/>
          <w:lang w:bidi="he-IL" w:val="en-US"/>
        </w:rPr>
        <w:t>ההערות</w:t>
      </w:r>
    </w:p>
    <w:p>
      <w:pPr>
        <w:keepNext/>
        <w:bidi/>
        <w:spacing w:line="240" w:lineRule="auto" w:after="40" w:before="0"/>
        <w:jc w:val="right"/>
      </w:pPr>
      <w:r>
        <w:rPr>
          <w:rFonts w:ascii="Arial" w:hAnsi="Arial" w:cs="Arial"/>
          <w:b/>
          <w:bCs/>
          <w:sz w:val="22"/>
          <w:szCs w:val="22"/>
          <w:rtl w:val="1"/>
          <w:lang w:bidi="he-IL" w:val="en-US"/>
        </w:rPr>
        <w:t>הערה 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C., Chamot-Rooke, N., Loubrieu, B., &amp; Mascle, J. (2006). Morphology of a pre-collisional, salt-bearing, accretionary complex: The Mediterranean Ridge (Eastern Mediterranean). Marine Geophysical Researches, 27(1), 61–75.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לאורכה נשקע הלוח האפריקאי מתחת ללוח הים האגאי בקצב העולה על 3 ס"מ לשנה.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“which results from the relatively rapid (&gt;3 cm/year) subduction of the African plate beneath eastern Europe”</w:t>
      </w:r>
    </w:p>
    <w:p>
      <w:pPr>
        <w:keepNext/>
        <w:bidi/>
        <w:spacing w:line="240" w:lineRule="auto" w:after="40" w:before="0"/>
        <w:jc w:val="right"/>
      </w:pPr>
      <w:r>
        <w:rPr>
          <w:rFonts w:ascii="Arial" w:hAnsi="Arial" w:cs="Arial"/>
          <w:b/>
          <w:bCs/>
          <w:sz w:val="22"/>
          <w:szCs w:val="22"/>
          <w:rtl w:val="1"/>
          <w:lang w:bidi="he-IL" w:val="en-US"/>
        </w:rPr>
        <w:t>הערה 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הקרום הנשקע הוא שרידו של אגן אוקייני מזוזואי עמוק, שכמעט כולו נסגר בהתכנסות ארוכת-הטווח בין אירואסיה לאפריקה.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“The Eastern Mediterranean Sea is a remnant of a deep Mesozoic oceanic basin, now almost totally consumed as a result of long-term plate convergence between Eurasia and Africa.”</w:t>
      </w:r>
    </w:p>
    <w:p>
      <w:pPr>
        <w:keepNext/>
        <w:bidi/>
        <w:spacing w:line="240" w:lineRule="auto" w:after="40" w:before="0"/>
        <w:jc w:val="right"/>
      </w:pPr>
      <w:r>
        <w:rPr>
          <w:rFonts w:ascii="Arial" w:hAnsi="Arial" w:cs="Arial"/>
          <w:b/>
          <w:bCs/>
          <w:sz w:val="22"/>
          <w:szCs w:val="22"/>
          <w:rtl w:val="1"/>
          <w:lang w:bidi="he-IL" w:val="en-US"/>
        </w:rPr>
        <w:t>הערה 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שקעי מטפן, פליני וסטראבו מלווים את מרגלות מדרונות היבשת של הפלופונס, כרתים ורודוס.</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“and surrounding the foot of Peloponnesus, Crete and Rhodes islands continental slopes”</w:t>
      </w:r>
    </w:p>
    <w:p>
      <w:pPr>
        <w:keepNext/>
        <w:bidi/>
        <w:spacing w:line="240" w:lineRule="auto" w:after="40" w:before="0"/>
        <w:jc w:val="right"/>
      </w:pPr>
      <w:r>
        <w:rPr>
          <w:rFonts w:ascii="Arial" w:hAnsi="Arial" w:cs="Arial"/>
          <w:b/>
          <w:bCs/>
          <w:sz w:val="22"/>
          <w:szCs w:val="22"/>
          <w:rtl w:val="1"/>
          <w:lang w:bidi="he-IL" w:val="en-US"/>
        </w:rPr>
        <w:t>הערה 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זהו טריז משקעים מקושת שאורכו עולה על 1,500 ק"מ.</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“a large, arc-shaped, sedimentary wedge, more than 1500 km long and 200-250 km wide, known as the Mediterranean Ridge”</w:t>
      </w:r>
    </w:p>
    <w:p>
      <w:pPr>
        <w:keepNext/>
        <w:bidi/>
        <w:spacing w:line="240" w:lineRule="auto" w:after="40" w:before="0"/>
        <w:jc w:val="right"/>
      </w:pPr>
      <w:r>
        <w:rPr>
          <w:rFonts w:ascii="Arial" w:hAnsi="Arial" w:cs="Arial"/>
          <w:b/>
          <w:bCs/>
          <w:sz w:val="22"/>
          <w:szCs w:val="22"/>
          <w:rtl w:val="1"/>
          <w:lang w:bidi="he-IL" w:val="en-US"/>
        </w:rPr>
        <w:t>הערה 5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A., Mascle, J., &amp; Klaeschen, D. (2003). The Mediterranean Ridge: A mass balance across the fastest growing accretionary complex on Earth. Journal of Geophysical Research: Solid Earth, 108(B8), 2372. פס' 2 (סעיף 1, Introduction). המאמר בפורמט AGU, הממוספר בפסקאות ולא בעמודים, ולכן ההפניות אליו ניתנות לפי תקציר, מספר פסקה או פרק.</w:t>
      </w:r>
    </w:p>
    <w:p>
      <w:pPr>
        <w:bidi/>
        <w:spacing w:line="240" w:lineRule="auto" w:after="40" w:before="0"/>
        <w:ind w:right="283" w:end="283"/>
        <w:jc w:val="right"/>
      </w:pPr>
      <w:r>
        <w:rPr>
          <w:rFonts w:ascii="Arial" w:hAnsi="Arial" w:cs="Arial"/>
          <w:sz w:val="22"/>
          <w:szCs w:val="22"/>
          <w:rtl w:val="1"/>
          <w:lang w:bidi="he-IL" w:val="en-US"/>
        </w:rPr>
        <w:t>הטענה בעבודה: היא נחשבת למנסרת ההצטברות הצומחת במהירות הגבוהה ביותר בעולם.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2 (עמוד 1 בקובץ ה-PDF):</w:t>
      </w:r>
    </w:p>
    <w:p>
      <w:pPr>
        <w:spacing w:line="240" w:lineRule="auto" w:after="200" w:before="0"/>
        <w:ind w:left="680" w:start="680"/>
        <w:jc w:val="left"/>
      </w:pPr>
      <w:r>
        <w:rPr>
          <w:rFonts w:ascii="Arial" w:hAnsi="Arial" w:cs="Arial"/>
          <w:i/>
          <w:iCs/>
          <w:sz w:val="20"/>
          <w:szCs w:val="20"/>
          <w:rtl w:val="0"/>
          <w:lang w:bidi="he-IL" w:val="en-US"/>
        </w:rPr>
        <w:t>“It has been demonstrated to be the fastest outward growing wedge in most recent Earth history, with a rate of up to 10 km Myr1 [Kastens, 1991].”</w:t>
      </w:r>
    </w:p>
    <w:p>
      <w:pPr>
        <w:keepNext/>
        <w:bidi/>
        <w:spacing w:line="240" w:lineRule="auto" w:after="40" w:before="0"/>
        <w:jc w:val="right"/>
      </w:pPr>
      <w:r>
        <w:rPr>
          <w:rFonts w:ascii="Arial" w:hAnsi="Arial" w:cs="Arial"/>
          <w:b/>
          <w:bCs/>
          <w:sz w:val="22"/>
          <w:szCs w:val="22"/>
          <w:rtl w:val="1"/>
          <w:lang w:bidi="he-IL" w:val="en-US"/>
        </w:rPr>
        <w:t>הערה 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התהליך מגרד מן הלוח האפריקאי הנשקע ערמת משקעים עבה, שעוביה מגיע עד 12 ק"מ.</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“The Mediterranean Ridge, which consists of a thick pile (up to 12 km) of offscrapped and stacked sediments”</w:t>
      </w:r>
    </w:p>
    <w:p>
      <w:pPr>
        <w:keepNext/>
        <w:bidi/>
        <w:spacing w:line="240" w:lineRule="auto" w:after="40" w:before="0"/>
        <w:jc w:val="right"/>
      </w:pPr>
      <w:r>
        <w:rPr>
          <w:rFonts w:ascii="Arial" w:hAnsi="Arial" w:cs="Arial"/>
          <w:b/>
          <w:bCs/>
          <w:sz w:val="22"/>
          <w:szCs w:val="22"/>
          <w:rtl w:val="1"/>
          <w:lang w:bidi="he-IL" w:val="en-US"/>
        </w:rPr>
        <w:t>הערה 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ההצטברות החלה לפני כ-19 מיליון שנה, במקביל לחשיפת יריעות דחיפה בשולי הקשת,</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onset of accretion coincides with exhumation of thrust sheets (19 Ma), followed by rapid sediment accretion with thick, evaporite-bearing incoming successions facilitating outward growth of the wedge.”</w:t>
      </w:r>
    </w:p>
    <w:p>
      <w:pPr>
        <w:keepNext/>
        <w:bidi/>
        <w:spacing w:line="240" w:lineRule="auto" w:after="40" w:before="0"/>
        <w:jc w:val="right"/>
      </w:pPr>
      <w:r>
        <w:rPr>
          <w:rFonts w:ascii="Arial" w:hAnsi="Arial" w:cs="Arial"/>
          <w:b/>
          <w:bCs/>
          <w:sz w:val="22"/>
          <w:szCs w:val="22"/>
          <w:rtl w:val="1"/>
          <w:lang w:bidi="he-IL" w:val="en-US"/>
        </w:rPr>
        <w:t>הערה 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שכבות אלו הושקעו במיוקן העליון, בתקופה המסינית, ועוביין מגיע מקומית עד 2 ק"מ בכיסוי העליון של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“partly because it contains, in its upper sedimentary cover, thick Upper Miocene/Messinian evaporitic sequences (locally up to 2 km)”</w:t>
      </w:r>
    </w:p>
    <w:p>
      <w:pPr>
        <w:keepNext/>
        <w:bidi/>
        <w:spacing w:line="240" w:lineRule="auto" w:after="40" w:before="0"/>
        <w:jc w:val="right"/>
      </w:pPr>
      <w:r>
        <w:rPr>
          <w:rFonts w:ascii="Arial" w:hAnsi="Arial" w:cs="Arial"/>
          <w:b/>
          <w:bCs/>
          <w:sz w:val="22"/>
          <w:szCs w:val="22"/>
          <w:rtl w:val="1"/>
          <w:lang w:bidi="he-IL" w:val="en-US"/>
        </w:rPr>
        <w:t>הערה 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אלו שכבות דוקטיליות, בשונה משאר הכיסוי הסדימנטרי.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“and finally a complex distribution, within parts of its cover, of thick ductile sedimentary layers (i.e. Messinian evaporites)”</w:t>
      </w:r>
    </w:p>
    <w:p>
      <w:pPr>
        <w:keepNext/>
        <w:bidi/>
        <w:spacing w:line="240" w:lineRule="auto" w:after="40" w:before="0"/>
        <w:jc w:val="right"/>
      </w:pPr>
      <w:r>
        <w:rPr>
          <w:rFonts w:ascii="Arial" w:hAnsi="Arial" w:cs="Arial"/>
          <w:b/>
          <w:bCs/>
          <w:sz w:val="22"/>
          <w:szCs w:val="22"/>
          <w:rtl w:val="1"/>
          <w:lang w:bidi="he-IL" w:val="en-US"/>
        </w:rPr>
        <w:t>הערה 10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איור 1a.</w:t>
      </w:r>
    </w:p>
    <w:p>
      <w:pPr>
        <w:bidi/>
        <w:spacing w:line="240" w:lineRule="auto" w:after="40" w:before="0"/>
        <w:ind w:right="283" w:end="283"/>
        <w:jc w:val="right"/>
      </w:pPr>
      <w:r>
        <w:rPr>
          <w:rFonts w:ascii="Arial" w:hAnsi="Arial" w:cs="Arial"/>
          <w:sz w:val="22"/>
          <w:szCs w:val="22"/>
          <w:rtl w:val="1"/>
          <w:lang w:bidi="he-IL" w:val="en-US"/>
        </w:rPr>
        <w:t>הטענה בעבודה: כרתים היא רמה טופוגרפית של קדם-הקשת (forearc), אשר שימשה בעבר כמשענת (backstop) שאפשרה את הצטברות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בכיתוב איור 1a (עמוד 2 בקובץ ה-PDF):</w:t>
      </w:r>
    </w:p>
    <w:p>
      <w:pPr>
        <w:spacing w:line="240" w:lineRule="auto" w:after="200" w:before="0"/>
        <w:ind w:left="680" w:start="680"/>
        <w:jc w:val="left"/>
      </w:pPr>
      <w:r>
        <w:rPr>
          <w:rFonts w:ascii="Arial" w:hAnsi="Arial" w:cs="Arial"/>
          <w:i/>
          <w:iCs/>
          <w:sz w:val="20"/>
          <w:szCs w:val="20"/>
          <w:rtl w:val="0"/>
          <w:lang w:bidi="he-IL" w:val="en-US"/>
        </w:rPr>
        <w:t>“Crete is a forearc topographic high, which earlier acted as the backstop to allow accretion of the Mediterranean Ridge (light shading).”</w:t>
      </w:r>
    </w:p>
    <w:p>
      <w:pPr>
        <w:keepNext/>
        <w:bidi/>
        <w:spacing w:line="240" w:lineRule="auto" w:after="40" w:before="0"/>
        <w:jc w:val="right"/>
      </w:pPr>
      <w:r>
        <w:rPr>
          <w:rFonts w:ascii="Arial" w:hAnsi="Arial" w:cs="Arial"/>
          <w:b/>
          <w:bCs/>
          <w:sz w:val="22"/>
          <w:szCs w:val="22"/>
          <w:rtl w:val="1"/>
          <w:lang w:bidi="he-IL" w:val="en-US"/>
        </w:rPr>
        <w:t>הערה 11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(היונית) ובזרוע המזרחית (הלבנטינית), לעומת זאת, ההפחתה אלכסונית ובעלת כיווני גזירה הפוכים זה לזה.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“a unique regional kinematics, controlled by frontal convergence south of Crete (central Mediterranean Ridge) and oblique subduction with opposite sense of shear for the western (Ionian) and eastern (Levantine) domains of the Mediterranean Ridge”</w:t>
      </w:r>
    </w:p>
    <w:p>
      <w:pPr>
        <w:keepNext/>
        <w:bidi/>
        <w:spacing w:line="240" w:lineRule="auto" w:after="40" w:before="0"/>
        <w:jc w:val="right"/>
      </w:pPr>
      <w:r>
        <w:rPr>
          <w:rFonts w:ascii="Arial" w:hAnsi="Arial" w:cs="Arial"/>
          <w:b/>
          <w:bCs/>
          <w:sz w:val="22"/>
          <w:szCs w:val="22"/>
          <w:rtl w:val="1"/>
          <w:lang w:bidi="he-IL" w:val="en-US"/>
        </w:rPr>
        <w:t>הערה 12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L. H., &amp; Papanikolaou, D. J. (2011). Slab segmentation and late Cenozoic disruption of the Hellenic arc. Geochemistry, Geophysics, Geosystems, 12(3), Q03010. פס' 7 (סעיף 2.1, Active Subduction). גם מאמר זה בפורמט AGU, הממוספר בפסקאות.</w:t>
      </w:r>
    </w:p>
    <w:p>
      <w:pPr>
        <w:bidi/>
        <w:spacing w:line="240" w:lineRule="auto" w:after="40" w:before="0"/>
        <w:ind w:right="283" w:end="283"/>
        <w:jc w:val="right"/>
      </w:pPr>
      <w:r>
        <w:rPr>
          <w:rFonts w:ascii="Arial" w:hAnsi="Arial" w:cs="Arial"/>
          <w:sz w:val="22"/>
          <w:szCs w:val="22"/>
          <w:rtl w:val="1"/>
          <w:lang w:bidi="he-IL" w:val="en-US"/>
        </w:rPr>
        <w:t>הטענה בעבודה: מדידות GPS מראות התכנסות של כ-35 מ"מ לשנה לרוחב ההלנידים הדרומיים, בין אפריקה לבין נקודות בלוח האגאי הרוכב.</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7 (עמוד 2 בקובץ ה-PDF):</w:t>
      </w:r>
    </w:p>
    <w:p>
      <w:pPr>
        <w:spacing w:line="240" w:lineRule="auto" w:after="200" w:before="0"/>
        <w:ind w:left="680" w:start="680"/>
        <w:jc w:val="left"/>
      </w:pPr>
      <w:r>
        <w:rPr>
          <w:rFonts w:ascii="Arial" w:hAnsi="Arial" w:cs="Arial"/>
          <w:i/>
          <w:iCs/>
          <w:sz w:val="20"/>
          <w:szCs w:val="20"/>
          <w:rtl w:val="0"/>
          <w:lang w:bidi="he-IL" w:val="en-US"/>
        </w:rPr>
        <w:t>“GPS data indicate a convergence rate of ~35 mm/yr across the southern Hellenides, as measured between Africa and points in the overriding (Aegean) domain”</w:t>
      </w:r>
    </w:p>
    <w:p>
      <w:pPr>
        <w:keepNext/>
        <w:bidi/>
        <w:spacing w:line="240" w:lineRule="auto" w:after="40" w:before="0"/>
        <w:jc w:val="right"/>
      </w:pPr>
      <w:r>
        <w:rPr>
          <w:rFonts w:ascii="Arial" w:hAnsi="Arial" w:cs="Arial"/>
          <w:b/>
          <w:bCs/>
          <w:sz w:val="22"/>
          <w:szCs w:val="22"/>
          <w:rtl w:val="1"/>
          <w:lang w:bidi="he-IL" w:val="en-US"/>
        </w:rPr>
        <w:t>הערה 13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מדרומו שוקעת ליתוספרה אוקיינית יונית, צפופה הרבה יותר, בקצב של כ-35 מ"מ לשנה.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“a rapidly subducting Ionian oceanic lithosphere in the south (~35 mm/yr)”</w:t>
      </w:r>
    </w:p>
    <w:p>
      <w:pPr>
        <w:keepNext/>
        <w:bidi/>
        <w:spacing w:line="240" w:lineRule="auto" w:after="40" w:before="0"/>
        <w:jc w:val="right"/>
      </w:pPr>
      <w:r>
        <w:rPr>
          <w:rFonts w:ascii="Arial" w:hAnsi="Arial" w:cs="Arial"/>
          <w:b/>
          <w:bCs/>
          <w:sz w:val="22"/>
          <w:szCs w:val="22"/>
          <w:rtl w:val="1"/>
          <w:lang w:bidi="he-IL" w:val="en-US"/>
        </w:rPr>
        <w:t>הערה 14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ההבדל בין המקטעים גדול דיו כדי להסיט את חזית ההפחתה עצמה, שמוסטת בהיסט ימני של 100–120 ק"מ לרוחב אזור העתק קפלוניה.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active Hellenic subduction front is dextrally offset by 100-120 km across the Kephalonia Transform Zone”</w:t>
      </w:r>
    </w:p>
    <w:p>
      <w:pPr>
        <w:keepNext/>
        <w:bidi/>
        <w:spacing w:line="240" w:lineRule="auto" w:after="40" w:before="0"/>
        <w:jc w:val="right"/>
      </w:pPr>
      <w:r>
        <w:rPr>
          <w:rFonts w:ascii="Arial" w:hAnsi="Arial" w:cs="Arial"/>
          <w:b/>
          <w:bCs/>
          <w:sz w:val="22"/>
          <w:szCs w:val="22"/>
          <w:rtl w:val="1"/>
          <w:lang w:bidi="he-IL" w:val="en-US"/>
        </w:rPr>
        <w:t>הערה 15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אלו הן שקע מטפן, שקע פליני, שקע סטראבו ותעלת רודוס, שעומקן נע בין 3,000 ל-5,000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“the Mediterranean Ridge is bathymetrically bounded by a series of disconnected and deep troughs (Matapan, Pliny, Strabo Trenches, Rhodes Trough), ranging in depth from 5000 to 3000 m”</w:t>
      </w:r>
    </w:p>
    <w:p>
      <w:pPr>
        <w:keepNext/>
        <w:bidi/>
        <w:spacing w:line="240" w:lineRule="auto" w:after="40" w:before="0"/>
        <w:jc w:val="right"/>
      </w:pPr>
      <w:r>
        <w:rPr>
          <w:rFonts w:ascii="Arial" w:hAnsi="Arial" w:cs="Arial"/>
          <w:b/>
          <w:bCs/>
          <w:sz w:val="22"/>
          <w:szCs w:val="22"/>
          <w:rtl w:val="1"/>
          <w:lang w:bidi="he-IL" w:val="en-US"/>
        </w:rPr>
        <w:t>הערה 16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מדרום גובלת המנסרה במישורים תהומיים רדודים יותר, ובהם המישור התהומי היוני בעומק 4,000 מטר ומישור הרודוטוס בעומק כ-3,100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“the Mediterranean Ridge faces discontinuous segments of abyssal plains whose water depths range between 4000 m (Ionian Abyssal Plain) to 3100 m (Herodotus Abyssal Plain at the base of the Egyptian margin)”</w:t>
      </w:r>
    </w:p>
    <w:p>
      <w:pPr>
        <w:keepNext/>
        <w:bidi/>
        <w:spacing w:line="240" w:lineRule="auto" w:after="40" w:before="0"/>
        <w:jc w:val="right"/>
      </w:pPr>
      <w:r>
        <w:rPr>
          <w:rFonts w:ascii="Arial" w:hAnsi="Arial" w:cs="Arial"/>
          <w:b/>
          <w:bCs/>
          <w:sz w:val="22"/>
          <w:szCs w:val="22"/>
          <w:rtl w:val="1"/>
          <w:lang w:bidi="he-IL" w:val="en-US"/>
        </w:rPr>
        <w:t>הערה 17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מדובר בשקערורית של קדם-הקשת (forearc depression) שהמילוי הסדימנטרי בה מועט.</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18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חזית הדפורמציה האמיתית, שבה מתחיל גירוד המשקעים, נדדה דרומה עם ההצטברות המתמשכת, והיום היא נמצאת בשוליים החיצוניים של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“However, with ongoing accretion in the Plio-Quaternary this deformation front migrated southward, so that 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19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72–73 (הסעיפים The Eastern Mediterranean Ridge ו-Conclusion).</w:t>
      </w:r>
    </w:p>
    <w:p>
      <w:pPr>
        <w:bidi/>
        <w:spacing w:line="240" w:lineRule="auto" w:after="40" w:before="0"/>
        <w:ind w:right="283" w:end="283"/>
        <w:jc w:val="right"/>
      </w:pPr>
      <w:r>
        <w:rPr>
          <w:rFonts w:ascii="Arial" w:hAnsi="Arial" w:cs="Arial"/>
          <w:sz w:val="22"/>
          <w:szCs w:val="22"/>
          <w:rtl w:val="1"/>
          <w:lang w:bidi="he-IL" w:val="en-US"/>
        </w:rPr>
        <w:t>הטענה בעבודה: הם ערוכים במערך מדורג (en échelon) בכיוון צפון-מזרח–דרום-מערב, אגניהם רחבים ומלאים חלקית במשקעים, והמבנה כולו מבטא תנועת גזירה שמאלית.</w:t>
      </w:r>
    </w:p>
    <w:p>
      <w:pPr>
        <w:keepNext/>
        <w:bidi/>
        <w:spacing w:line="240" w:lineRule="auto" w:after="20" w:before="0"/>
        <w:ind w:right="283" w:end="283"/>
        <w:jc w:val="right"/>
      </w:pPr>
      <w:r>
        <w:rPr>
          <w:rFonts w:ascii="Arial" w:hAnsi="Arial" w:cs="Arial"/>
          <w:sz w:val="22"/>
          <w:szCs w:val="22"/>
          <w:rtl w:val="1"/>
          <w:lang w:bidi="he-IL" w:val="en-US"/>
        </w:rPr>
        <w:t>ציטוט מדויק (Huguen et al. (2006)) — אומת בעמ' 72 (עמוד 12 בקובץ ה-PDF):</w:t>
      </w:r>
    </w:p>
    <w:p>
      <w:pPr>
        <w:spacing w:line="240" w:lineRule="auto" w:after="40" w:before="0"/>
        <w:ind w:left="680" w:start="680"/>
        <w:jc w:val="left"/>
      </w:pPr>
      <w:r>
        <w:rPr>
          <w:rFonts w:ascii="Arial" w:hAnsi="Arial" w:cs="Arial"/>
          <w:i/>
          <w:iCs/>
          <w:sz w:val="20"/>
          <w:szCs w:val="20"/>
          <w:rtl w:val="0"/>
          <w:lang w:bidi="he-IL" w:val="en-US"/>
        </w:rPr>
        <w:t>“composed by a set of disconnected ''en echelon'' distributed deep troughs with a general NE-SW trend”</w:t>
      </w:r>
    </w:p>
    <w:p>
      <w:pPr>
        <w:keepNext/>
        <w:bidi/>
        <w:spacing w:line="240" w:lineRule="auto" w:after="20" w:before="0"/>
        <w:ind w:right="283" w:end="283"/>
        <w:jc w:val="right"/>
      </w:pPr>
      <w:r>
        <w:rPr>
          <w:rFonts w:ascii="Arial" w:hAnsi="Arial" w:cs="Arial"/>
          <w:sz w:val="22"/>
          <w:szCs w:val="22"/>
          <w:rtl w:val="1"/>
          <w:lang w:bidi="he-IL" w:val="en-US"/>
        </w:rPr>
        <w:t>ציטוט מדויק (Huguen et al. (2006))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“Both trenches are composed of successive wide and partly sedimented basins, en echelon arranged, and clearly representative of left lateral strike-slip movement.”</w:t>
      </w:r>
    </w:p>
    <w:p>
      <w:pPr>
        <w:keepNext/>
        <w:bidi/>
        <w:spacing w:line="240" w:lineRule="auto" w:after="40" w:before="0"/>
        <w:jc w:val="right"/>
      </w:pPr>
      <w:r>
        <w:rPr>
          <w:rFonts w:ascii="Arial" w:hAnsi="Arial" w:cs="Arial"/>
          <w:b/>
          <w:bCs/>
          <w:sz w:val="22"/>
          <w:szCs w:val="22"/>
          <w:rtl w:val="1"/>
          <w:lang w:bidi="he-IL" w:val="en-US"/>
        </w:rPr>
        <w:t>הערה 20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Eastern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לצידו מתנשאים הרי סטראבו, שרשרת מבנים בתימטריים מסיביים בכיוון כללי N60, שנקרעו משולי כרתים.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“Between these two trenches, the backstop area is composed of: a plateau-like area, slightly sloping northwards, and characterized by large lobe-like features, interpreted as gravity induced deformation (Mascle et al., 1999), and the Strabo Seamounts, a series of massive bathymetric highs trending in a general N60 direction, rifted from the Cretan margin”</w:t>
      </w:r>
    </w:p>
    <w:p>
      <w:pPr>
        <w:keepNext/>
        <w:bidi/>
        <w:spacing w:line="240" w:lineRule="auto" w:after="40" w:before="0"/>
        <w:jc w:val="right"/>
      </w:pPr>
      <w:r>
        <w:rPr>
          <w:rFonts w:ascii="Arial" w:hAnsi="Arial" w:cs="Arial"/>
          <w:b/>
          <w:bCs/>
          <w:sz w:val="22"/>
          <w:szCs w:val="22"/>
          <w:rtl w:val="1"/>
          <w:lang w:bidi="he-IL" w:val="en-US"/>
        </w:rPr>
        <w:t>הערה 21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האחד הוא הגבול בין שולי כרתים לאזור המשענת, המתבטא בשקע פליני, והשני הוא המגע בין הרי סטראבו לתחום הפנימי של המנסרה, המתבטא בשקע סטראבו.</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“Along the eastern branch, shearing is also mainly restricted to the boundary between the Cretan margin and the backstop area (Pliny Trench) and the contact between the Strabo Mountains and the Mediterranean Ridge Inner domain (Strabo Trench).”</w:t>
      </w:r>
    </w:p>
    <w:p>
      <w:pPr>
        <w:keepNext/>
        <w:bidi/>
        <w:spacing w:line="240" w:lineRule="auto" w:after="40" w:before="0"/>
        <w:jc w:val="right"/>
      </w:pPr>
      <w:r>
        <w:rPr>
          <w:rFonts w:ascii="Arial" w:hAnsi="Arial" w:cs="Arial"/>
          <w:b/>
          <w:bCs/>
          <w:sz w:val="22"/>
          <w:szCs w:val="22"/>
          <w:rtl w:val="1"/>
          <w:lang w:bidi="he-IL" w:val="en-US"/>
        </w:rPr>
        <w:t>הערה 22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מצפון תוחם אותה שקע מטפן, העובר למרגלות המדרון היבשתי האגאי.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“a northern area in tectonic backthrust contact with a flat inner region extending just south of the deep troughs (Matapan Trench) that run at the base of the Aegean continental slope”</w:t>
      </w:r>
    </w:p>
    <w:p>
      <w:pPr>
        <w:keepNext/>
        <w:bidi/>
        <w:spacing w:line="240" w:lineRule="auto" w:after="40" w:before="0"/>
        <w:jc w:val="right"/>
      </w:pPr>
      <w:r>
        <w:rPr>
          <w:rFonts w:ascii="Arial" w:hAnsi="Arial" w:cs="Arial"/>
          <w:b/>
          <w:bCs/>
          <w:sz w:val="22"/>
          <w:szCs w:val="22"/>
          <w:rtl w:val="1"/>
          <w:lang w:bidi="he-IL" w:val="en-US"/>
        </w:rPr>
        <w:t>הערה 23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מדרום, מול המדרון הלובי התלול, אין שקע כלל, אלא תעלה צרה ושטוחת-קרקעית בעומק ממוצע של כ-2,800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“with only a very narrow, flat-bottomed furrow (water depth averaging 2800 m) north of the steep Libyan continental slope”</w:t>
      </w:r>
    </w:p>
    <w:p>
      <w:pPr>
        <w:keepNext/>
        <w:bidi/>
        <w:spacing w:line="240" w:lineRule="auto" w:after="40" w:before="0"/>
        <w:jc w:val="right"/>
      </w:pPr>
      <w:r>
        <w:rPr>
          <w:rFonts w:ascii="Arial" w:hAnsi="Arial" w:cs="Arial"/>
          <w:b/>
          <w:bCs/>
          <w:sz w:val="22"/>
          <w:szCs w:val="22"/>
          <w:rtl w:val="1"/>
          <w:lang w:bidi="he-IL" w:val="en-US"/>
        </w:rPr>
        <w:t>הערה 24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מנסרת ים התיכון היא המבנה המורפולוגי הבולט ביותר של הים התיכון המזרחי.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“The deep eastern Mediterranean basin is characterized by three conspicuous morphologic features - besides the Mediterranean Ridge proper - which represents the major morphologic relief.”</w:t>
      </w:r>
    </w:p>
    <w:p>
      <w:pPr>
        <w:keepNext/>
        <w:bidi/>
        <w:spacing w:line="240" w:lineRule="auto" w:after="40" w:before="0"/>
        <w:jc w:val="right"/>
      </w:pPr>
      <w:r>
        <w:rPr>
          <w:rFonts w:ascii="Arial" w:hAnsi="Arial" w:cs="Arial"/>
          <w:b/>
          <w:bCs/>
          <w:sz w:val="22"/>
          <w:szCs w:val="22"/>
          <w:rtl w:val="1"/>
          <w:lang w:bidi="he-IL" w:val="en-US"/>
        </w:rPr>
        <w:t>הערה 25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ו-65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המיפוי הרב-קרני והפרופילים הסיסמיים שנאספו בעשור שקדם למחקר אפשרו למדוד את ממדיה לאורך הקשת.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“During the last decade this tectono-sedimentary accretionary prism, which results from the Hellenic subduction, has been intensively surveyed by swath mapping, multichannel seismic profiling and deep dives.”</w:t>
      </w:r>
    </w:p>
    <w:p>
      <w:pPr>
        <w:keepNext/>
        <w:bidi/>
        <w:spacing w:line="240" w:lineRule="auto" w:after="40" w:before="0"/>
        <w:jc w:val="right"/>
      </w:pPr>
      <w:r>
        <w:rPr>
          <w:rFonts w:ascii="Arial" w:hAnsi="Arial" w:cs="Arial"/>
          <w:b/>
          <w:bCs/>
          <w:sz w:val="22"/>
          <w:szCs w:val="22"/>
          <w:rtl w:val="1"/>
          <w:lang w:bidi="he-IL" w:val="en-US"/>
        </w:rPr>
        <w:t>הערה 26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פסגת המנסרה נמצאת ברמת אנטאוס שמצפון לקירנאיקה, בעומק מים של פחות מ-1,250 מטר, ואילו הזרועות היונית והלבנטינית יורדות לעומקים של כ-3,200 וכ-2,200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“Its summit, just north of Cyrenaica (Antaeus High, Figure 2), reaches water depth of less than 1250 m, while its Ionian and Levantine branches extend into water depths of approximately respectively 3200 and 2200 m”</w:t>
      </w:r>
    </w:p>
    <w:p>
      <w:pPr>
        <w:keepNext/>
        <w:bidi/>
        <w:spacing w:line="240" w:lineRule="auto" w:after="40" w:before="0"/>
        <w:jc w:val="right"/>
      </w:pPr>
      <w:r>
        <w:rPr>
          <w:rFonts w:ascii="Arial" w:hAnsi="Arial" w:cs="Arial"/>
          <w:b/>
          <w:bCs/>
          <w:sz w:val="22"/>
          <w:szCs w:val="22"/>
          <w:rtl w:val="1"/>
          <w:lang w:bidi="he-IL" w:val="en-US"/>
        </w:rPr>
        <w:t>הערה 27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מול המישור התהומי היוני רוחב המנסרה מגיע לכ-200 ק"מ, ובקטע שבין מרכז כרתים ללוב הוא מצטמצם לכ-130 ק"מ בלבד.</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“It reaches its maximum width, about 200 km, facing the deep Ionian Abyssal Plain. Between central Crete and Libya, the ridge appears much narrower, with an average width of only 130 km.”</w:t>
      </w:r>
    </w:p>
    <w:p>
      <w:pPr>
        <w:keepNext/>
        <w:bidi/>
        <w:spacing w:line="240" w:lineRule="auto" w:after="40" w:before="0"/>
        <w:jc w:val="right"/>
      </w:pPr>
      <w:r>
        <w:rPr>
          <w:rFonts w:ascii="Arial" w:hAnsi="Arial" w:cs="Arial"/>
          <w:b/>
          <w:bCs/>
          <w:sz w:val="22"/>
          <w:szCs w:val="22"/>
          <w:rtl w:val="1"/>
          <w:lang w:bidi="he-IL" w:val="en-US"/>
        </w:rPr>
        <w:t>הערה 28 — ייחוס מקור</w:t>
      </w:r>
    </w:p>
    <w:p>
      <w:pPr>
        <w:bidi/>
        <w:spacing w:line="240" w:lineRule="auto" w:after="40" w:before="0"/>
        <w:ind w:right="283" w:end="283"/>
        <w:jc w:val="right"/>
      </w:pPr>
      <w:r>
        <w:rPr>
          <w:rFonts w:ascii="Arial" w:hAnsi="Arial" w:cs="Arial"/>
          <w:sz w:val="22"/>
          <w:szCs w:val="22"/>
          <w:rtl w:val="1"/>
          <w:lang w:bidi="he-IL" w:val="en-US"/>
        </w:rPr>
        <w:t>תוכן ההערה: Mikenorton, Hellenic subduction zone, Wikimedia Commons, רישיון CC BY-SA 3.0.</w:t>
      </w:r>
    </w:p>
    <w:p>
      <w:pPr>
        <w:bidi/>
        <w:spacing w:line="240" w:lineRule="auto" w:after="200" w:before="0"/>
        <w:ind w:right="283" w:end="283"/>
        <w:jc w:val="right"/>
      </w:pPr>
      <w:r>
        <w:rPr>
          <w:rFonts w:ascii="Arial" w:hAnsi="Arial" w:cs="Arial"/>
          <w:sz w:val="22"/>
          <w:szCs w:val="22"/>
          <w:rtl w:val="1"/>
          <w:lang w:bidi="he-IL" w:val="en-US"/>
        </w:rPr>
        <w:t>ייחוס מקור לאיור 1 (Wikimedia Commons, CC BY-SA 3.0).</w:t>
      </w:r>
    </w:p>
    <w:p>
      <w:pPr>
        <w:keepNext/>
        <w:bidi/>
        <w:spacing w:line="240" w:lineRule="auto" w:after="40" w:before="0"/>
        <w:jc w:val="right"/>
      </w:pPr>
      <w:r>
        <w:rPr>
          <w:rFonts w:ascii="Arial" w:hAnsi="Arial" w:cs="Arial"/>
          <w:b/>
          <w:bCs/>
          <w:sz w:val="22"/>
          <w:szCs w:val="22"/>
          <w:rtl w:val="1"/>
          <w:lang w:bidi="he-IL" w:val="en-US"/>
        </w:rPr>
        <w:t>הערה 29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בחתך צפון–דרום מתחלקת המנסרה לשלוש פרובינציות מורפוסטרוקטורליות.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“Truffert (1992) identified, on the base of the deformational pattern, three different morphostructural provinces: an outer folded front, an almost flat central province, and a northern area in tectonic backthrust contact with a flat inner region”</w:t>
      </w:r>
    </w:p>
    <w:p>
      <w:pPr>
        <w:keepNext/>
        <w:bidi/>
        <w:spacing w:line="240" w:lineRule="auto" w:after="40" w:before="0"/>
        <w:jc w:val="right"/>
      </w:pPr>
      <w:r>
        <w:rPr>
          <w:rFonts w:ascii="Arial" w:hAnsi="Arial" w:cs="Arial"/>
          <w:b/>
          <w:bCs/>
          <w:sz w:val="22"/>
          <w:szCs w:val="22"/>
          <w:rtl w:val="1"/>
          <w:lang w:bidi="he-IL" w:val="en-US"/>
        </w:rPr>
        <w:t>הערה 30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חלוקה זו זוהתה תחילה בזרוע המערבית, ופרובינציות דומות זוהו גם בזרועות המרכזית והלבנטינית.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“Comparable morphostructural domains, showing local variations, have been recognized within the central and Levantine Mediterranean Ridge branches”</w:t>
      </w:r>
    </w:p>
    <w:p>
      <w:pPr>
        <w:keepNext/>
        <w:bidi/>
        <w:spacing w:line="240" w:lineRule="auto" w:after="40" w:before="0"/>
        <w:jc w:val="right"/>
      </w:pPr>
      <w:r>
        <w:rPr>
          <w:rFonts w:ascii="Arial" w:hAnsi="Arial" w:cs="Arial"/>
          <w:b/>
          <w:bCs/>
          <w:sz w:val="22"/>
          <w:szCs w:val="22"/>
          <w:rtl w:val="1"/>
          <w:lang w:bidi="he-IL" w:val="en-US"/>
        </w:rPr>
        <w:t>הערה 31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הקמטים בחזית המנסרה הדוקים היכן שהאוורית דקה, במיוחד בקטע שבין כרתים ללוב, והם מתרחבים בהדרגה לעבר הזרועות הלבנטינית והיונית ככל שהאוורית מתעבה.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“Folds are tight where evaporites are thin, in particular between Crete and Libya where little space is available for the wedge to grow, and they progressively widen towards the Levantine and Ionian branches of the Mediterranean Ridge due to both thickening of the evaporitic layers”</w:t>
      </w:r>
    </w:p>
    <w:p>
      <w:pPr>
        <w:keepNext/>
        <w:bidi/>
        <w:spacing w:line="240" w:lineRule="auto" w:after="40" w:before="0"/>
        <w:jc w:val="right"/>
      </w:pPr>
      <w:r>
        <w:rPr>
          <w:rFonts w:ascii="Arial" w:hAnsi="Arial" w:cs="Arial"/>
          <w:b/>
          <w:bCs/>
          <w:sz w:val="22"/>
          <w:szCs w:val="22"/>
          <w:rtl w:val="1"/>
          <w:lang w:bidi="he-IL" w:val="en-US"/>
        </w:rPr>
        <w:t>הערה 32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67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זהו גוף קשיח המתפקד כ"סדן" מכני בעל צורה מורכבת, שאליו נדחסים משקעי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67 (עמוד 7 בקובץ ה-PDF):</w:t>
      </w:r>
    </w:p>
    <w:p>
      <w:pPr>
        <w:spacing w:line="240" w:lineRule="auto" w:after="200" w:before="0"/>
        <w:ind w:left="680" w:start="680"/>
        <w:jc w:val="left"/>
      </w:pPr>
      <w:r>
        <w:rPr>
          <w:rFonts w:ascii="Arial" w:hAnsi="Arial" w:cs="Arial"/>
          <w:i/>
          <w:iCs/>
          <w:sz w:val="20"/>
          <w:szCs w:val="20"/>
          <w:rtl w:val="0"/>
          <w:lang w:bidi="he-IL" w:val="en-US"/>
        </w:rPr>
        <w:t>“the Mediterranean Ridge Hellenic backstop (Figures 3 and 4), acting as a mechanical ''buttress'' of complex shape”</w:t>
      </w:r>
    </w:p>
    <w:p>
      <w:pPr>
        <w:keepNext/>
        <w:bidi/>
        <w:spacing w:line="240" w:lineRule="auto" w:after="40" w:before="0"/>
        <w:jc w:val="right"/>
      </w:pPr>
      <w:r>
        <w:rPr>
          <w:rFonts w:ascii="Arial" w:hAnsi="Arial" w:cs="Arial"/>
          <w:b/>
          <w:bCs/>
          <w:sz w:val="22"/>
          <w:szCs w:val="22"/>
          <w:rtl w:val="1"/>
          <w:lang w:bidi="he-IL" w:val="en-US"/>
        </w:rPr>
        <w:t>הערה 33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ו-69 (הסעיפים General morphologic ו-Western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גבול זה מצטייר בצורת "W" מורכבת.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“This backstop not only extends far south of the Hellenic Trenches, but its southern edge also has a complex ''W'' shape”</w:t>
      </w:r>
    </w:p>
    <w:p>
      <w:pPr>
        <w:keepNext/>
        <w:bidi/>
        <w:spacing w:line="240" w:lineRule="auto" w:after="40" w:before="0"/>
        <w:jc w:val="right"/>
      </w:pPr>
      <w:r>
        <w:rPr>
          <w:rFonts w:ascii="Arial" w:hAnsi="Arial" w:cs="Arial"/>
          <w:b/>
          <w:bCs/>
          <w:sz w:val="22"/>
          <w:szCs w:val="22"/>
          <w:rtl w:val="1"/>
          <w:lang w:bidi="he-IL" w:val="en-US"/>
        </w:rPr>
        <w:t>הערה 34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יחידות המנסרה נדחפות באופן שיטתי מעל המשענת, עם עדויות ברורות לגזירה ימנית לאורך המגע בזרוע המערבית.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“These ridge units are systematically thrusted over the backstop, with clear evidence for dextral shearing”</w:t>
      </w:r>
    </w:p>
    <w:p>
      <w:pPr>
        <w:keepNext/>
        <w:bidi/>
        <w:spacing w:line="240" w:lineRule="auto" w:after="40" w:before="0"/>
        <w:jc w:val="right"/>
      </w:pPr>
      <w:r>
        <w:rPr>
          <w:rFonts w:ascii="Arial" w:hAnsi="Arial" w:cs="Arial"/>
          <w:b/>
          <w:bCs/>
          <w:sz w:val="22"/>
          <w:szCs w:val="22"/>
          <w:rtl w:val="1"/>
          <w:lang w:bidi="he-IL" w:val="en-US"/>
        </w:rPr>
        <w:t>הערה 35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6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המנסרה נדחפת דרומה אל מעל השוליים הלוביים, ובמקביל נדחפת לאחור צפונה אל מעל שולי כרתים.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6 (עמוד 3 בקובץ ה-PDF):</w:t>
      </w:r>
    </w:p>
    <w:p>
      <w:pPr>
        <w:spacing w:line="240" w:lineRule="auto" w:after="200" w:before="0"/>
        <w:ind w:left="680" w:start="680"/>
        <w:jc w:val="left"/>
      </w:pPr>
      <w:r>
        <w:rPr>
          <w:rFonts w:ascii="Arial" w:hAnsi="Arial" w:cs="Arial"/>
          <w:i/>
          <w:iCs/>
          <w:sz w:val="20"/>
          <w:szCs w:val="20"/>
          <w:rtl w:val="0"/>
          <w:lang w:bidi="he-IL" w:val="en-US"/>
        </w:rPr>
        <w:t>“The entire prism is thrust onto the Libyan Margin to the south, and backthrust over the Cretan Margin to the north [Mascle et al., 1999].”</w:t>
      </w:r>
    </w:p>
    <w:p>
      <w:pPr>
        <w:keepNext/>
        <w:bidi/>
        <w:spacing w:line="240" w:lineRule="auto" w:after="40" w:before="0"/>
        <w:jc w:val="right"/>
      </w:pPr>
      <w:r>
        <w:rPr>
          <w:rFonts w:ascii="Arial" w:hAnsi="Arial" w:cs="Arial"/>
          <w:b/>
          <w:bCs/>
          <w:sz w:val="22"/>
          <w:szCs w:val="22"/>
          <w:rtl w:val="1"/>
          <w:lang w:bidi="he-IL" w:val="en-US"/>
        </w:rPr>
        <w:t>הערה 36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 איור 1a.</w:t>
      </w:r>
    </w:p>
    <w:p>
      <w:pPr>
        <w:bidi/>
        <w:spacing w:line="240" w:lineRule="auto" w:after="40" w:before="0"/>
        <w:ind w:right="283" w:end="283"/>
        <w:jc w:val="right"/>
      </w:pPr>
      <w:r>
        <w:rPr>
          <w:rFonts w:ascii="Arial" w:hAnsi="Arial" w:cs="Arial"/>
          <w:sz w:val="22"/>
          <w:szCs w:val="22"/>
          <w:rtl w:val="1"/>
          <w:lang w:bidi="he-IL" w:val="en-US"/>
        </w:rPr>
        <w:t>הטענה בעבודה: Kopf et al. (2003) ביצעו איזון נפחי בין כמות המשקעים הנצברת לזו הנבלעת בהפחתה. הניתוח התבסס על ארבעה חתכים סיסמיים לרוחב המנסרה, שעברו עיבוד של הגירת עומק.</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“Depth migration of seismic reflection profiles across the Mediterranean Ridge accretionary complex between the African and Eurasian blocks illustrates profound variations in the geometry and internal structure along strike. Structural interpretations of four cross sections, together with bathymetric and acoustic surface information and drilling data, are used to volumetrically balance the amount of subduction versus accretion with time.”</w:t>
      </w:r>
    </w:p>
    <w:p>
      <w:pPr>
        <w:keepNext/>
        <w:bidi/>
        <w:spacing w:line="240" w:lineRule="auto" w:after="40" w:before="0"/>
        <w:jc w:val="right"/>
      </w:pPr>
      <w:r>
        <w:rPr>
          <w:rFonts w:ascii="Arial" w:hAnsi="Arial" w:cs="Arial"/>
          <w:b/>
          <w:bCs/>
          <w:sz w:val="22"/>
          <w:szCs w:val="22"/>
          <w:rtl w:val="1"/>
          <w:lang w:bidi="he-IL" w:val="en-US"/>
        </w:rPr>
        <w:t>הערה 37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במערב מדובר בקפיצה של מישור הניתוק (décollement), בקטע המרכזי שבין לוב לכרתים בדחיפה לאחור עזה, ובמזרח בטקטוניקה אופקית (transcurrent).</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“Results suggest the existence of three distinct scenarios, with a jump in decollement in the west, intense backthrusting in the central part between Libya and Crete, and transcurrent tectonism in the east.”</w:t>
      </w:r>
    </w:p>
    <w:p>
      <w:pPr>
        <w:keepNext/>
        <w:bidi/>
        <w:spacing w:line="240" w:lineRule="auto" w:after="40" w:before="0"/>
        <w:jc w:val="right"/>
      </w:pPr>
      <w:r>
        <w:rPr>
          <w:rFonts w:ascii="Arial" w:hAnsi="Arial" w:cs="Arial"/>
          <w:b/>
          <w:bCs/>
          <w:sz w:val="22"/>
          <w:szCs w:val="22"/>
          <w:rtl w:val="1"/>
          <w:lang w:bidi="he-IL" w:val="en-US"/>
        </w:rPr>
        <w:t>הערה 38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הערך הנמוך ביותר, 20% עד 25% בלבד מסך אספקת המשקעים, נמדד דווקא בקטע המרכזי שבו המנסרה סובלת מהדפורמציה המרבית, ושאר החומר ממשיך לשקוע עם הלוח.</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minimum rate of accretion (20-25% of the total sediment supply) is observed in the central portion where the ridge suffers maximum deformation. Here the indenting leading edge of the African Plate apparently forces the sediment into subduction, or local underplating.”</w:t>
      </w:r>
    </w:p>
    <w:p>
      <w:pPr>
        <w:keepNext/>
        <w:bidi/>
        <w:spacing w:line="240" w:lineRule="auto" w:after="40" w:before="0"/>
        <w:jc w:val="right"/>
      </w:pPr>
      <w:r>
        <w:rPr>
          <w:rFonts w:ascii="Arial" w:hAnsi="Arial" w:cs="Arial"/>
          <w:b/>
          <w:bCs/>
          <w:sz w:val="22"/>
          <w:szCs w:val="22"/>
          <w:rtl w:val="1"/>
          <w:lang w:bidi="he-IL" w:val="en-US"/>
        </w:rPr>
        <w:t>הערה 39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Kastens (1991), כפי שמצוטט אצל Kopf et al. (2003), פס' 2 (סעיף 1, Introduction).</w:t>
      </w:r>
    </w:p>
    <w:p>
      <w:pPr>
        <w:bidi/>
        <w:spacing w:line="240" w:lineRule="auto" w:after="40" w:before="0"/>
        <w:ind w:right="283" w:end="283"/>
        <w:jc w:val="right"/>
      </w:pPr>
      <w:r>
        <w:rPr>
          <w:rFonts w:ascii="Arial" w:hAnsi="Arial" w:cs="Arial"/>
          <w:sz w:val="22"/>
          <w:szCs w:val="22"/>
          <w:rtl w:val="1"/>
          <w:lang w:bidi="he-IL" w:val="en-US"/>
        </w:rPr>
        <w:t>הטענה בעבודה: למרות זאת המנסרה מוגדרת כטריז המתרחב כלפי חוץ במהירות הגבוהה ביותר בהיסטוריה הגיאולוגית העדכנית, בקצב של עד 10 ק"מ למיליון 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2 (עמוד 1 בקובץ ה-PDF):</w:t>
      </w:r>
    </w:p>
    <w:p>
      <w:pPr>
        <w:spacing w:line="240" w:lineRule="auto" w:after="200" w:before="0"/>
        <w:ind w:left="680" w:start="680"/>
        <w:jc w:val="left"/>
      </w:pPr>
      <w:r>
        <w:rPr>
          <w:rFonts w:ascii="Arial" w:hAnsi="Arial" w:cs="Arial"/>
          <w:i/>
          <w:iCs/>
          <w:sz w:val="20"/>
          <w:szCs w:val="20"/>
          <w:rtl w:val="0"/>
          <w:lang w:bidi="he-IL" w:val="en-US"/>
        </w:rPr>
        <w:t>“It has been demonstrated to be the fastest outward growing wedge in most recent Earth history, with a rate of up to 10 km Myr1 [Kastens, 1991].”</w:t>
      </w:r>
    </w:p>
    <w:p>
      <w:pPr>
        <w:keepNext/>
        <w:bidi/>
        <w:spacing w:line="240" w:lineRule="auto" w:after="40" w:before="0"/>
        <w:jc w:val="right"/>
      </w:pPr>
      <w:r>
        <w:rPr>
          <w:rFonts w:ascii="Arial" w:hAnsi="Arial" w:cs="Arial"/>
          <w:b/>
          <w:bCs/>
          <w:sz w:val="22"/>
          <w:szCs w:val="22"/>
          <w:rtl w:val="1"/>
          <w:lang w:bidi="he-IL" w:val="en-US"/>
        </w:rPr>
        <w:t>הערה 40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42 (סעיף 6, Discussion).</w:t>
      </w:r>
    </w:p>
    <w:p>
      <w:pPr>
        <w:bidi/>
        <w:spacing w:line="240" w:lineRule="auto" w:after="40" w:before="0"/>
        <w:ind w:right="283" w:end="283"/>
        <w:jc w:val="right"/>
      </w:pPr>
      <w:r>
        <w:rPr>
          <w:rFonts w:ascii="Arial" w:hAnsi="Arial" w:cs="Arial"/>
          <w:sz w:val="22"/>
          <w:szCs w:val="22"/>
          <w:rtl w:val="1"/>
          <w:lang w:bidi="he-IL" w:val="en-US"/>
        </w:rPr>
        <w:t>הטענה בעבודה: שטף ההפחתה בקצה המזרחי מגיע לכ-50 קמ"ק של סלע לכל קילומטר אורך של השקע מדי מיליון שנה, והוא נמצא בגבול העליון של הערכים המוכרים בעולם.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42 (עמוד 26 בקובץ ה-PDF):</w:t>
      </w:r>
    </w:p>
    <w:p>
      <w:pPr>
        <w:spacing w:line="240" w:lineRule="auto" w:after="200" w:before="0"/>
        <w:ind w:left="680" w:start="680"/>
        <w:jc w:val="left"/>
      </w:pPr>
      <w:r>
        <w:rPr>
          <w:rFonts w:ascii="Arial" w:hAnsi="Arial" w:cs="Arial"/>
          <w:i/>
          <w:iCs/>
          <w:sz w:val="20"/>
          <w:szCs w:val="20"/>
          <w:rtl w:val="0"/>
          <w:lang w:bidi="he-IL" w:val="en-US"/>
        </w:rPr>
        <w:t>“In contrast, the easternmost subduction flux of almost 50 km3 km1 Myr1 (line 30) range at the upper limit of material transfer on a global scale.”</w:t>
      </w:r>
    </w:p>
    <w:p>
      <w:pPr>
        <w:keepNext/>
        <w:bidi/>
        <w:spacing w:line="240" w:lineRule="auto" w:after="40" w:before="0"/>
        <w:jc w:val="right"/>
      </w:pPr>
      <w:r>
        <w:rPr>
          <w:rFonts w:ascii="Arial" w:hAnsi="Arial" w:cs="Arial"/>
          <w:b/>
          <w:bCs/>
          <w:sz w:val="22"/>
          <w:szCs w:val="22"/>
          <w:rtl w:val="1"/>
          <w:lang w:bidi="he-IL" w:val="en-US"/>
        </w:rPr>
        <w:t>הערה 41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חגורת הקמטים בחזית המנסרה בנויה מקמרים וקערים המושרשים במלח, והם מתפתחים מעל מישור ניתוק החופף את בסיס שכבות האוורית.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“This fold belt is made of salt-rooted anticline-synclines developing above a decollement level, which correlates with the base of Messinian evaporites”</w:t>
      </w:r>
    </w:p>
    <w:p>
      <w:pPr>
        <w:keepNext/>
        <w:bidi/>
        <w:spacing w:line="240" w:lineRule="auto" w:after="40" w:before="0"/>
        <w:jc w:val="right"/>
      </w:pPr>
      <w:r>
        <w:rPr>
          <w:rFonts w:ascii="Arial" w:hAnsi="Arial" w:cs="Arial"/>
          <w:b/>
          <w:bCs/>
          <w:sz w:val="22"/>
          <w:szCs w:val="22"/>
          <w:rtl w:val="1"/>
          <w:lang w:bidi="he-IL" w:val="en-US"/>
        </w:rPr>
        <w:t>הערה 42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71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"הטריז המסיני", כלומר חלק המנסרה שמשלב אוורית שהושקעה בתעלת ההפחתה, אינו עולה ברוחבו על 80 ק"מ בזרוע המערבית.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71 (עמוד 11 בקובץ ה-PDF):</w:t>
      </w:r>
    </w:p>
    <w:p>
      <w:pPr>
        <w:spacing w:line="240" w:lineRule="auto" w:after="200" w:before="0"/>
        <w:ind w:left="680" w:start="680"/>
        <w:jc w:val="left"/>
      </w:pPr>
      <w:r>
        <w:rPr>
          <w:rFonts w:ascii="Arial" w:hAnsi="Arial" w:cs="Arial"/>
          <w:i/>
          <w:iCs/>
          <w:sz w:val="20"/>
          <w:szCs w:val="20"/>
          <w:rtl w:val="0"/>
          <w:lang w:bidi="he-IL" w:val="en-US"/>
        </w:rPr>
        <w:t>“The Messinian wedge (i.e. the portion of the wedge that incorporates Messinian evaporites originally deposited in the subduction trough) does not exceed 80 km in width.”</w:t>
      </w:r>
    </w:p>
    <w:p>
      <w:pPr>
        <w:keepNext/>
        <w:bidi/>
        <w:spacing w:line="240" w:lineRule="auto" w:after="40" w:before="0"/>
        <w:jc w:val="right"/>
      </w:pPr>
      <w:r>
        <w:rPr>
          <w:rFonts w:ascii="Arial" w:hAnsi="Arial" w:cs="Arial"/>
          <w:b/>
          <w:bCs/>
          <w:sz w:val="22"/>
          <w:szCs w:val="22"/>
          <w:rtl w:val="1"/>
          <w:lang w:bidi="he-IL" w:val="en-US"/>
        </w:rPr>
        <w:t>הערה 43 — ייחוס מקור</w:t>
      </w:r>
    </w:p>
    <w:p>
      <w:pPr>
        <w:bidi/>
        <w:spacing w:line="240" w:lineRule="auto" w:after="40" w:before="0"/>
        <w:ind w:right="283" w:end="283"/>
        <w:jc w:val="right"/>
      </w:pPr>
      <w:r>
        <w:rPr>
          <w:rFonts w:ascii="Arial" w:hAnsi="Arial" w:cs="Arial"/>
          <w:sz w:val="22"/>
          <w:szCs w:val="22"/>
          <w:rtl w:val="1"/>
          <w:lang w:bidi="he-IL" w:val="en-US"/>
        </w:rPr>
        <w:t>תוכן ההערה: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p>
      <w:pPr>
        <w:bidi/>
        <w:spacing w:line="240" w:lineRule="auto" w:after="200" w:before="0"/>
        <w:ind w:right="283" w:end="283"/>
        <w:jc w:val="right"/>
      </w:pPr>
      <w:r>
        <w:rPr>
          <w:rFonts w:ascii="Arial" w:hAnsi="Arial" w:cs="Arial"/>
          <w:sz w:val="22"/>
          <w:szCs w:val="22"/>
          <w:rtl w:val="1"/>
          <w:lang w:bidi="he-IL" w:val="en-US"/>
        </w:rPr>
        <w:t>ייחוס מקור לאיור 2 (Güneş et al. 2018, איור 21, עמ' 315).</w:t>
      </w:r>
    </w:p>
    <w:p>
      <w:pPr>
        <w:keepNext/>
        <w:bidi/>
        <w:spacing w:line="240" w:lineRule="auto" w:after="40" w:before="0"/>
        <w:jc w:val="right"/>
      </w:pPr>
      <w:r>
        <w:rPr>
          <w:rFonts w:ascii="Arial" w:hAnsi="Arial" w:cs="Arial"/>
          <w:b/>
          <w:bCs/>
          <w:sz w:val="22"/>
          <w:szCs w:val="22"/>
          <w:rtl w:val="1"/>
          <w:lang w:bidi="he-IL" w:val="en-US"/>
        </w:rPr>
        <w:t>הערה 44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בתחום הצירי (האקסיאלי) של המנסרה לא נמצאו שכבות אוורית משמעותיות, והתוצאה היא תבנית מורפוסטרוקטורלית שונה לחלוטין.</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“Within the axial domain no evaporites layers of significant extend have been found (Kopf et al., 2003), resulting in a different morphostructural pattern”</w:t>
      </w:r>
    </w:p>
    <w:p>
      <w:pPr>
        <w:keepNext/>
        <w:bidi/>
        <w:spacing w:line="240" w:lineRule="auto" w:after="40" w:before="0"/>
        <w:jc w:val="right"/>
      </w:pPr>
      <w:r>
        <w:rPr>
          <w:rFonts w:ascii="Arial" w:hAnsi="Arial" w:cs="Arial"/>
          <w:b/>
          <w:bCs/>
          <w:sz w:val="22"/>
          <w:szCs w:val="22"/>
          <w:rtl w:val="1"/>
          <w:lang w:bidi="he-IL" w:val="en-US"/>
        </w:rPr>
        <w:t>הערה 45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פיזור האוורית הוא הגורם השולט בשונות המורפולוגית של המנסרה בציר צפון–דרום.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“particularities of its sedimentary cover, which includes massive salt layers within the outer Mediterranean Ridge and local salt deposits within the inner domains, that control the north-south morphostructural variability of the sedimentary wedge”</w:t>
      </w:r>
    </w:p>
    <w:p>
      <w:pPr>
        <w:keepNext/>
        <w:bidi/>
        <w:spacing w:line="240" w:lineRule="auto" w:after="40" w:before="0"/>
        <w:jc w:val="right"/>
      </w:pPr>
      <w:r>
        <w:rPr>
          <w:rFonts w:ascii="Arial" w:hAnsi="Arial" w:cs="Arial"/>
          <w:b/>
          <w:bCs/>
          <w:sz w:val="22"/>
          <w:szCs w:val="22"/>
          <w:rtl w:val="1"/>
          <w:lang w:bidi="he-IL" w:val="en-US"/>
        </w:rPr>
        <w:t>הערה 46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66–67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מבנים אלה פורשו, על סמך דיגום ותצפיות ישירות, כהרי בוץ הפולטים אל קרקעית הים זרמי בוץ מסיביים, נוזלים ותמלחות.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“Based on sampling and/or direct in situ observations several of these features have been interpreted as mud volcanoes through which massive mud flows, fluids and brines are emitted on the sea floor”</w:t>
      </w:r>
    </w:p>
    <w:p>
      <w:pPr>
        <w:keepNext/>
        <w:bidi/>
        <w:spacing w:line="240" w:lineRule="auto" w:after="40" w:before="0"/>
        <w:jc w:val="right"/>
      </w:pPr>
      <w:r>
        <w:rPr>
          <w:rFonts w:ascii="Arial" w:hAnsi="Arial" w:cs="Arial"/>
          <w:b/>
          <w:bCs/>
          <w:sz w:val="22"/>
          <w:szCs w:val="22"/>
          <w:rtl w:val="1"/>
          <w:lang w:bidi="he-IL" w:val="en-US"/>
        </w:rPr>
        <w:t>הערה 47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ממוקם רובם המכריע בסמיכות למגע שבין המנסרה למשענת.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“Mud volcanoes of all size punctuate the entire region (Figure 3), with 95% of them located at proximity of the prism/backstop contact”</w:t>
      </w:r>
    </w:p>
    <w:p>
      <w:pPr>
        <w:keepNext/>
        <w:bidi/>
        <w:spacing w:line="240" w:lineRule="auto" w:after="40" w:before="0"/>
        <w:jc w:val="right"/>
      </w:pPr>
      <w:r>
        <w:rPr>
          <w:rFonts w:ascii="Arial" w:hAnsi="Arial" w:cs="Arial"/>
          <w:b/>
          <w:bCs/>
          <w:sz w:val="22"/>
          <w:szCs w:val="22"/>
          <w:rtl w:val="1"/>
          <w:lang w:bidi="he-IL" w:val="en-US"/>
        </w:rPr>
        <w:t>הערה 48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71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גם בזרוע המרכזית מרוכזים שדות הרי בוץ מוכרים, ובהם השדות "אולימפי" ו"האומות המאוחדות", שנסקרו בהרחבה.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71 (עמוד 11 בקובץ ה-PDF):</w:t>
      </w:r>
    </w:p>
    <w:p>
      <w:pPr>
        <w:spacing w:line="240" w:lineRule="auto" w:after="200" w:before="0"/>
        <w:ind w:left="680" w:start="680"/>
        <w:jc w:val="left"/>
      </w:pPr>
      <w:r>
        <w:rPr>
          <w:rFonts w:ascii="Arial" w:hAnsi="Arial" w:cs="Arial"/>
          <w:i/>
          <w:iCs/>
          <w:sz w:val="20"/>
          <w:szCs w:val="20"/>
          <w:rtl w:val="0"/>
          <w:lang w:bidi="he-IL" w:val="en-US"/>
        </w:rPr>
        <w:t>“an area of the Mediterranean Ridge where the now well-known Olimpi and United Nations mud volcano fields (Figure 6) have previously been detected (Cita et al., 1981) and intensively surveyed during PRISMED 2”</w:t>
      </w:r>
    </w:p>
    <w:p>
      <w:pPr>
        <w:keepNext/>
        <w:bidi/>
        <w:spacing w:line="240" w:lineRule="auto" w:after="40" w:before="0"/>
        <w:jc w:val="right"/>
      </w:pPr>
      <w:r>
        <w:rPr>
          <w:rFonts w:ascii="Arial" w:hAnsi="Arial" w:cs="Arial"/>
          <w:b/>
          <w:bCs/>
          <w:sz w:val="22"/>
          <w:szCs w:val="22"/>
          <w:rtl w:val="1"/>
          <w:lang w:bidi="he-IL" w:val="en-US"/>
        </w:rPr>
        <w:t>הערה 49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הגזירה ממוקדת באותו מגע, שפורש כמבנה פרח דחיסתי ימני ושהוא גם האתר המועדף לפריצת בוץ מסיבית.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“shearing is presently localized at the geological contact between the ridge and its backstop, thus interpreted as a major dextral, compressive flower structure, as well as a preferential site for massive mud eruption”</w:t>
      </w:r>
    </w:p>
    <w:p>
      <w:pPr>
        <w:keepNext/>
        <w:bidi/>
        <w:spacing w:line="240" w:lineRule="auto" w:after="40" w:before="0"/>
        <w:jc w:val="right"/>
      </w:pPr>
      <w:r>
        <w:rPr>
          <w:rFonts w:ascii="Arial" w:hAnsi="Arial" w:cs="Arial"/>
          <w:b/>
          <w:bCs/>
          <w:sz w:val="22"/>
          <w:szCs w:val="22"/>
          <w:rtl w:val="1"/>
          <w:lang w:bidi="he-IL" w:val="en-US"/>
        </w:rPr>
        <w:t>הערה 50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נוצרת שם טקטוניקת מלח יוצאת דופן, הכוללת אונות מלח תת-עגולות, קימוט כבידתי הדוק ו"רפסודות" של משקעים פליו-קוורטרניים.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“resulting into an extraordinary salt tectonics including sub-circular salt lobes (e.g. 35 N-22 E) with tight gravity folding and ''rafts'' of Plio-Quaternary.”</w:t>
      </w:r>
    </w:p>
    <w:p>
      <w:pPr>
        <w:keepNext/>
        <w:bidi/>
        <w:spacing w:line="240" w:lineRule="auto" w:after="40" w:before="0"/>
        <w:jc w:val="right"/>
      </w:pPr>
      <w:r>
        <w:rPr>
          <w:rFonts w:ascii="Arial" w:hAnsi="Arial" w:cs="Arial"/>
          <w:b/>
          <w:bCs/>
          <w:sz w:val="22"/>
          <w:szCs w:val="22"/>
          <w:rtl w:val="1"/>
          <w:lang w:bidi="he-IL" w:val="en-US"/>
        </w:rPr>
        <w:t>הערה 51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הכיסוי הסדימנטרי של האזור הפנימי גולש בהדרגה צפונה וממלא את סדרת התעלות של שקע פליני.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“The sedimentary cover of this last area is in fact progressively gliding northward and filling the series of deep troughs that constitute the Pliny Trench at the foot of the Cretan continental slope.”</w:t>
      </w:r>
    </w:p>
    <w:p>
      <w:pPr>
        <w:keepNext/>
        <w:bidi/>
        <w:spacing w:line="240" w:lineRule="auto" w:after="40" w:before="0"/>
        <w:jc w:val="right"/>
      </w:pPr>
      <w:r>
        <w:rPr>
          <w:rFonts w:ascii="Arial" w:hAnsi="Arial" w:cs="Arial"/>
          <w:b/>
          <w:bCs/>
          <w:sz w:val="22"/>
          <w:szCs w:val="22"/>
          <w:rtl w:val="1"/>
          <w:lang w:bidi="he-IL" w:val="en-US"/>
        </w:rPr>
        <w:t>הערה 52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בכיוון ההפוך, חגורת הקמטים חצויה במערכת צפופה של העתקים, שיוחסו בין היתר להתפשטות דרומה של הכיסוי המלחי הדוקטילי.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“this folded belt is cut by a dense set of conjugate faults, probably strike-slip faults, either triggered by southwards progressive spreading of the salt-rich and ductile superficial cover”</w:t>
      </w:r>
    </w:p>
    <w:p>
      <w:pPr>
        <w:keepNext/>
        <w:bidi/>
        <w:spacing w:line="240" w:lineRule="auto" w:after="40" w:before="0"/>
        <w:jc w:val="right"/>
      </w:pPr>
      <w:r>
        <w:rPr>
          <w:rFonts w:ascii="Arial" w:hAnsi="Arial" w:cs="Arial"/>
          <w:b/>
          <w:bCs/>
          <w:sz w:val="22"/>
          <w:szCs w:val="22"/>
          <w:rtl w:val="1"/>
          <w:lang w:bidi="he-IL" w:val="en-US"/>
        </w:rPr>
        <w:t>הערה 53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הגלישה הכבידתית פועלת בשני הכיוונים, ובמשענת השטוחה היא משתרעת על פני כל השטח שנחקר.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“The flat and deeper backstop area shows well expressed northward gliding deformations over the entire studied area”</w:t>
      </w:r>
    </w:p>
    <w:p>
      <w:pPr>
        <w:keepNext/>
        <w:bidi/>
        <w:spacing w:line="240" w:lineRule="auto" w:after="40" w:before="0"/>
        <w:jc w:val="right"/>
      </w:pPr>
      <w:r>
        <w:rPr>
          <w:rFonts w:ascii="Arial" w:hAnsi="Arial" w:cs="Arial"/>
          <w:b/>
          <w:bCs/>
          <w:sz w:val="22"/>
          <w:szCs w:val="22"/>
          <w:rtl w:val="1"/>
          <w:lang w:bidi="he-IL" w:val="en-US"/>
        </w:rPr>
        <w:t>הערה 54 — ייחוס מקור</w:t>
      </w:r>
    </w:p>
    <w:p>
      <w:pPr>
        <w:bidi/>
        <w:spacing w:line="240" w:lineRule="auto" w:after="40" w:before="0"/>
        <w:ind w:right="283" w:end="283"/>
        <w:jc w:val="right"/>
      </w:pPr>
      <w:r>
        <w:rPr>
          <w:rFonts w:ascii="Arial" w:hAnsi="Arial" w:cs="Arial"/>
          <w:sz w:val="22"/>
          <w:szCs w:val="22"/>
          <w:rtl w:val="1"/>
          <w:lang w:bidi="he-IL" w:val="en-US"/>
        </w:rPr>
        <w:t>תוכן ההערה: Huguen et al. (2006), איור 4, עמ' 65.</w:t>
      </w:r>
    </w:p>
    <w:p>
      <w:pPr>
        <w:bidi/>
        <w:spacing w:line="240" w:lineRule="auto" w:after="200" w:before="0"/>
        <w:ind w:right="283" w:end="283"/>
        <w:jc w:val="right"/>
      </w:pPr>
      <w:r>
        <w:rPr>
          <w:rFonts w:ascii="Arial" w:hAnsi="Arial" w:cs="Arial"/>
          <w:sz w:val="22"/>
          <w:szCs w:val="22"/>
          <w:rtl w:val="1"/>
          <w:lang w:bidi="he-IL" w:val="en-US"/>
        </w:rPr>
        <w:t>ייחוס מקור לאיור 3 (Huguen et al. 2006, איור 4, עמ' 65).</w:t>
      </w:r>
    </w:p>
    <w:p>
      <w:pPr>
        <w:keepNext/>
        <w:bidi/>
        <w:spacing w:line="240" w:lineRule="auto" w:after="40" w:before="0"/>
        <w:jc w:val="right"/>
      </w:pPr>
      <w:r>
        <w:rPr>
          <w:rFonts w:ascii="Arial" w:hAnsi="Arial" w:cs="Arial"/>
          <w:b/>
          <w:bCs/>
          <w:sz w:val="22"/>
          <w:szCs w:val="22"/>
          <w:rtl w:val="1"/>
          <w:lang w:bidi="he-IL" w:val="en-US"/>
        </w:rPr>
        <w:t>הערה 55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השלישי הוא מאפייני הכיסוי הסדימנטרי, ובראשם שכבות המלח.</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“and finally a complex distribution, within parts of its cover, of thick ductile sedimentary layers (i.e. Messinian evaporites)”</w:t>
      </w:r>
    </w:p>
    <w:p>
      <w:pPr>
        <w:keepNext/>
        <w:bidi/>
        <w:spacing w:line="240" w:lineRule="auto" w:after="40" w:before="0"/>
        <w:jc w:val="right"/>
      </w:pPr>
      <w:r>
        <w:rPr>
          <w:rFonts w:ascii="Arial" w:hAnsi="Arial" w:cs="Arial"/>
          <w:b/>
          <w:bCs/>
          <w:sz w:val="22"/>
          <w:szCs w:val="22"/>
          <w:rtl w:val="1"/>
          <w:lang w:bidi="he-IL" w:val="en-US"/>
        </w:rPr>
        <w:t>הערה 56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פילוח הלוח השוקע לפי ציפתו הוא שמייצר את ההבדל בקצבי ההפחתה, שהקינמטיקה האזורית רק מבטאת.</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“Consistency between geodynamic model results and geologic observations suggest that the middle Miocene and younger deformation of the Hellenic upper plate, including formation of the Central Hellenic Shear Zone, can be quantitatively understood as the result of spatial variations in the buoyancy of the subducting slab.”</w:t>
      </w:r>
    </w:p>
    <w:p>
      <w:pPr>
        <w:keepNext/>
        <w:bidi/>
        <w:spacing w:line="240" w:lineRule="auto" w:after="40" w:before="0"/>
        <w:jc w:val="right"/>
      </w:pPr>
      <w:r>
        <w:rPr>
          <w:rFonts w:ascii="Arial" w:hAnsi="Arial" w:cs="Arial"/>
          <w:b/>
          <w:bCs/>
          <w:sz w:val="22"/>
          <w:szCs w:val="22"/>
          <w:rtl w:val="1"/>
          <w:lang w:bidi="he-IL" w:val="en-US"/>
        </w:rPr>
        <w:t>הערה 57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פס' 38 (סעיף 3.2.2, Model Results).</w:t>
      </w:r>
    </w:p>
    <w:p>
      <w:pPr>
        <w:bidi/>
        <w:spacing w:line="240" w:lineRule="auto" w:after="40" w:before="0"/>
        <w:ind w:right="283" w:end="283"/>
        <w:jc w:val="right"/>
      </w:pPr>
      <w:r>
        <w:rPr>
          <w:rFonts w:ascii="Arial" w:hAnsi="Arial" w:cs="Arial"/>
          <w:sz w:val="22"/>
          <w:szCs w:val="22"/>
          <w:rtl w:val="1"/>
          <w:lang w:bidi="he-IL" w:val="en-US"/>
        </w:rPr>
        <w:t>הטענה בעבודה: מודלים גיאודינמיים מתארכים את היווצרותו ל-6–8 מיליון שנה, ורוב ההפרדה בין חזיתות ההפחתה התרחשה אחרי 5 מיליון 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38 (עמוד 13 בקובץ ה-PDF):</w:t>
      </w:r>
    </w:p>
    <w:p>
      <w:pPr>
        <w:spacing w:line="240" w:lineRule="auto" w:after="200" w:before="0"/>
        <w:ind w:left="680" w:start="680"/>
        <w:jc w:val="left"/>
      </w:pPr>
      <w:r>
        <w:rPr>
          <w:rFonts w:ascii="Arial" w:hAnsi="Arial" w:cs="Arial"/>
          <w:i/>
          <w:iCs/>
          <w:sz w:val="20"/>
          <w:szCs w:val="20"/>
          <w:rtl w:val="0"/>
          <w:lang w:bidi="he-IL" w:val="en-US"/>
        </w:rPr>
        <w:t>“The model time at which the northern Hellenic and Peloponnesus trenches begin to separate is ~6-8 Ma, with most of the model trench separation occurring after 5 Ma.”</w:t>
      </w:r>
    </w:p>
    <w:p>
      <w:pPr>
        <w:keepNext/>
        <w:bidi/>
        <w:spacing w:line="240" w:lineRule="auto" w:after="40" w:before="0"/>
        <w:jc w:val="right"/>
      </w:pPr>
      <w:r>
        <w:rPr>
          <w:rFonts w:ascii="Arial" w:hAnsi="Arial" w:cs="Arial"/>
          <w:b/>
          <w:bCs/>
          <w:sz w:val="22"/>
          <w:szCs w:val="22"/>
          <w:rtl w:val="1"/>
          <w:lang w:bidi="he-IL" w:val="en-US"/>
        </w:rPr>
        <w:t>הערה 58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42 (סעיף 6, Discussion).</w:t>
      </w:r>
    </w:p>
    <w:p>
      <w:pPr>
        <w:bidi/>
        <w:spacing w:line="240" w:lineRule="auto" w:after="40" w:before="0"/>
        <w:ind w:right="283" w:end="283"/>
        <w:jc w:val="right"/>
      </w:pPr>
      <w:r>
        <w:rPr>
          <w:rFonts w:ascii="Arial" w:hAnsi="Arial" w:cs="Arial"/>
          <w:sz w:val="22"/>
          <w:szCs w:val="22"/>
          <w:rtl w:val="1"/>
          <w:lang w:bidi="he-IL" w:val="en-US"/>
        </w:rPr>
        <w:t>הטענה בעבודה: אספקת משקעים שהצטברה מאז המזוזואיקון, קצב התכנסות גבוה ומישור ניתוק מלחי הם צירוף חריג של תנאים.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42 (עמוד 26 בקובץ ה-PDF):</w:t>
      </w:r>
    </w:p>
    <w:p>
      <w:pPr>
        <w:spacing w:line="240" w:lineRule="auto" w:after="200" w:before="0"/>
        <w:ind w:left="680" w:start="680"/>
        <w:jc w:val="left"/>
      </w:pPr>
      <w:r>
        <w:rPr>
          <w:rFonts w:ascii="Arial" w:hAnsi="Arial" w:cs="Arial"/>
          <w:i/>
          <w:iCs/>
          <w:sz w:val="20"/>
          <w:szCs w:val="20"/>
          <w:rtl w:val="0"/>
          <w:lang w:bidi="he-IL" w:val="en-US"/>
        </w:rPr>
        <w:t>“In contrast, the easternmost subduction flux of almost 50 km3 km1 Myr1 (line 30) range at the upper limit of material transfer on a global scale.”</w:t>
      </w:r>
    </w:p>
    <w:p>
      <w:pPr>
        <w:keepNext/>
        <w:bidi/>
        <w:spacing w:line="240" w:lineRule="auto" w:after="40" w:before="0"/>
        <w:jc w:val="right"/>
      </w:pPr>
      <w:r>
        <w:rPr>
          <w:rFonts w:ascii="Arial" w:hAnsi="Arial" w:cs="Arial"/>
          <w:b/>
          <w:bCs/>
          <w:sz w:val="22"/>
          <w:szCs w:val="22"/>
          <w:rtl w:val="1"/>
          <w:lang w:bidi="he-IL" w:val="en-US"/>
        </w:rPr>
        <w:t>הערה 59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השקעים מטפן, פליני וסטראבו אינם שקעי הפחתה במובן הרגיל, אלא שקערוריות בתוך קדם-הקשת שנותרו מאחור כאשר חזית הדפורמציה נדדה דרומה.</w:t>
      </w:r>
    </w:p>
    <w:p>
      <w:pPr>
        <w:keepNext/>
        <w:bidi/>
        <w:spacing w:line="240" w:lineRule="auto" w:after="20" w:before="0"/>
        <w:ind w:right="283" w:end="283"/>
        <w:jc w:val="right"/>
      </w:pPr>
      <w:r>
        <w:rPr>
          <w:rFonts w:ascii="Arial" w:hAnsi="Arial" w:cs="Arial"/>
          <w:sz w:val="22"/>
          <w:szCs w:val="22"/>
          <w:rtl w:val="1"/>
          <w:lang w:bidi="he-IL" w:val="en-US"/>
        </w:rPr>
        <w:t>ציטוט מדויק (Huguen et al. (2006)) — אומת בעמ' 62 (עמוד 2 בקובץ ה-PDF):</w:t>
      </w:r>
    </w:p>
    <w:p>
      <w:pPr>
        <w:spacing w:line="240" w:lineRule="auto" w:after="40" w:before="0"/>
        <w:ind w:left="680" w:start="680"/>
        <w:jc w:val="left"/>
      </w:pPr>
      <w:r>
        <w:rPr>
          <w:rFonts w:ascii="Arial" w:hAnsi="Arial" w:cs="Arial"/>
          <w:i/>
          <w:iCs/>
          <w:sz w:val="20"/>
          <w:szCs w:val="20"/>
          <w:rtl w:val="0"/>
          <w:lang w:bidi="he-IL" w:val="en-US"/>
        </w:rPr>
        <w:t>“the Mediterranean Ridge is bathymetrically bounded by a series of disconnected and deep troughs (Matapan, Pliny, Strabo Trenches, Rhodes Trough)”</w:t>
      </w:r>
    </w:p>
    <w:p>
      <w:pPr>
        <w:keepNext/>
        <w:bidi/>
        <w:spacing w:line="240" w:lineRule="auto" w:after="20" w:before="0"/>
        <w:ind w:right="283" w:end="283"/>
        <w:jc w:val="right"/>
      </w:pPr>
      <w:r>
        <w:rPr>
          <w:rFonts w:ascii="Arial" w:hAnsi="Arial" w:cs="Arial"/>
          <w:sz w:val="22"/>
          <w:szCs w:val="22"/>
          <w:rtl w:val="1"/>
          <w:lang w:bidi="he-IL" w:val="en-US"/>
        </w:rPr>
        <w:t>ציטוט מדויק (Kopf et al. (2003))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“What is usually referred to as the Hellenic Trench, or Hellenic Trough (Figure 1a), represented the deformation front of the initial MedRidge during the early Miocene. However, with ongoing accretion in the Plio-Quaternary this deformation front migrated southward, so that 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60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ליתוספרה יבשתית וציפה בצפון, וליתוספרה אוקיינית וצפופה בדרום, שוקעות בקצבים שונים מאוד.</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“coinciding with the junction of a slowly subducting Adriatic continental lithosphere in the north (5-10 mm/yr) and a rapidly subducting Ionian oceanic lithosphere in the south (~35 mm/yr)”</w:t>
      </w:r>
    </w:p>
    <w:p>
      <w:pPr>
        <w:keepNext/>
        <w:bidi/>
        <w:spacing w:line="240" w:lineRule="auto" w:after="40" w:before="0"/>
        <w:jc w:val="right"/>
      </w:pPr>
      <w:r>
        <w:rPr>
          <w:rFonts w:ascii="Arial" w:hAnsi="Arial" w:cs="Arial"/>
          <w:b/>
          <w:bCs/>
          <w:sz w:val="22"/>
          <w:szCs w:val="22"/>
          <w:rtl w:val="1"/>
          <w:lang w:bidi="he-IL" w:val="en-US"/>
        </w:rPr>
        <w:t>הערה 61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הן גם מניעות את הגלישות הכבידתיות שמעל המשענת.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“interpreted as the result of ductile salt tectonics related to the presence of evaporite layers, deposited within a pre-existing fore-arc basin setting and acting as a passive decollement level”</w:t>
      </w:r>
    </w:p>
    <w:sectPr w:rsidR="00FC693F" w:rsidRPr="0006063C" w:rsidSect="00034616">
      <w:pgSz w:w="11906" w:h="16838"/>
      <w:pgMar w:top="1134" w:right="1134" w:bottom="1134" w:left="1134" w:header="720" w:footer="72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