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מערכת ההפחתה הפעילה של אגן הים התיכון המזרחי. היא נמתחת מהאיים היוניים במערב, דרך כרתים, ועד רודוס במזרח. לאורכה שוקע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השוקע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השוקע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השוקע הוא נוכחות שכבות אוורית, כלומר שכבות מלח ומינרלים שהתגבשו מאידוי.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אלו שכבות דוקטיליות, בשונה משאר הכיסוי הסדימנטרי.</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וקדם-קשת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כמשענת (backstop) שאפשרה את הצטברות המנסרה.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כלומר הכיוון והקצב שבהם נעים הלוחות זה מול זה,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בין שני התחומים האלה מתנשאת המנסרה כרכס רחב.</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שקעי פליני וסטראבו אינם תעלות רציפות, אלא מערך של אגנים נפרדים. הם ערוכים במערך מדורג (en échelon) בכיוון צפון-מזרח–דרום-מערב, אגניהם רחבים ומלאים חלקית במשקעים, והמבנה כולו מבטא תנועת גזירה שמאלית.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אלה מבנים טקטוניים פעילים, ולא רק שקערוריות בתוך הטופוגרפיה.</w:t>
      </w:r>
    </w:p>
    <w:p>
      <w:pPr>
        <w:bidi/>
        <w:spacing w:after="120" w:line="360" w:lineRule="auto"/>
        <w:jc w:val="both"/>
      </w:pPr>
      <w:r>
        <w:rPr>
          <w:rFonts w:ascii="Arial" w:cs="Arial" w:eastAsia="Arial" w:hAnsi="Arial"/>
          <w:b w:val="false"/>
          <w:bCs w:val="false"/>
          <w:i w:val="false"/>
          <w:iCs w:val="false"/>
          <w:color w:val="000000"/>
          <w:sz w:val="24"/>
          <w:szCs w:val="24"/>
          <w:rtl/>
        </w:rPr>
        <w:t xml:space="preserve">מבנה אזור המשענת שבין שקע פליני לשקע סטראבו מוסיף נדבך לתמונה. בין שני השקעים משתרע שטח דמוי רמה, המשופע קלות צפונה ומאופיין במבנים גדולים דמויי אונה שפורשו כדפורמציה כבידתית. לצידו מתנשאים הרי סטראבו, שרשרת מבנים בתימטריים מסיביים בכיוון כללי N60, שנקרעו משולי כרתים.</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הגזירה לאורך הזרוע המזרחית מרוכזת בשני מגעים בלבד. האחד הוא הגבול בין שולי כרתים לאזור המשענת, המתבטא בשקע פליני, והשני הוא המגע בין הרי סטראבו לתחום הפנימי של המנסרה, המתבטא בשקע סטראבו.</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השקעים מסמנים את קווי הגזירה של המערכת, ולא רק את השפלים שבין הרכסים.</w:t>
      </w:r>
    </w:p>
    <w:p>
      <w:pPr>
        <w:bidi/>
        <w:spacing w:after="120" w:line="360" w:lineRule="auto"/>
        <w:jc w:val="both"/>
      </w:pPr>
      <w:r>
        <w:rPr>
          <w:rFonts w:ascii="Arial" w:cs="Arial" w:eastAsia="Arial" w:hAnsi="Arial"/>
          <w:b w:val="false"/>
          <w:bCs w:val="false"/>
          <w:i w:val="false"/>
          <w:iCs w:val="false"/>
          <w:color w:val="000000"/>
          <w:sz w:val="24"/>
          <w:szCs w:val="24"/>
          <w:rtl/>
        </w:rPr>
        <w:t xml:space="preserve">מערכת השקעים אינה סימטרית סביב המנסרה. מצפון תוחם אותה שקע מטפן, העובר למרגלות המדרון היבשתי האגאי.</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מדרום, מול המדרון הלובי התלול, אין שקע כלל, אלא תעלה צרה ושטוחת-קרקעית בעומק ממוצע של כ-2,800 מטר.</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השקעים העמוקים מצויים רק בצידה הפנימי של המנסרה, ולא בחזיתה.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פסגת המנסרה נמצאת ברמת אנטאוס שמצפון לקירנאיקה, בעומק מים של פחות מ-1,250 מטר, ואילו הזרועות היונית והלבנטינית יורדות לעומקים של כ-3,200 וכ-2,200 מטר.</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גם הרוחב אינו אחיד. מול המישור התהומי היוני רוחב המנסרה מגיע לכ-200 ק"מ, ובקטע שבין מרכז כרתים ללוב הוא מצטמצם לכ-130 ק"מ בלבד.</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3384000" cy="27774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4000" cy="2777433"/>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התחומה בשני קווי דחיפה משוננים,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מקור: Mikenorton, Wikimedia Commons (CC BY-SA 3.0).</w:t>
      </w:r>
      <w:r>
        <w:rPr>
          <w:rStyle w:val="FootnoteReference"/>
          <w:rFonts w:ascii="Arial" w:cs="Arial" w:eastAsia="Arial" w:hAnsi="Arial"/>
          <w:b w:val="false"/>
          <w:bCs w:val="false"/>
          <w:i/>
          <w:iCs/>
          <w:color w:val="000000"/>
          <w:sz w:val="22"/>
          <w:szCs w:val="22"/>
          <w:rtl/>
        </w:rPr>
        <w:footnoteReference w:id="28"/>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30"/>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המשענת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ניצבת המשענת ההלנית.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המשענת.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יחידות המנסרה נדחפות באופן שיטתי מעל המשענת,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שעובדו לחתכי עומק אמיתיים.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9"/>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41"/>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4536000" cy="35260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36000" cy="3526098"/>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43"/>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5"/>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המשענת.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למשענת.</w:t>
      </w:r>
      <w:r>
        <w:rPr>
          <w:rStyle w:val="FootnoteReference"/>
          <w:rFonts w:ascii="Arial" w:cs="Arial" w:eastAsia="Arial" w:hAnsi="Arial"/>
          <w:b w:val="false"/>
          <w:bCs w:val="false"/>
          <w:i w:val="false"/>
          <w:iCs w:val="false"/>
          <w:color w:val="000000"/>
          <w:sz w:val="24"/>
          <w:szCs w:val="24"/>
          <w:rtl/>
        </w:rPr>
        <w:footnoteReference w:id="47"/>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הריכוז לאורך המגע בין המנסרה למשענת אינו מקרי. בזרוע המערבית הגזירה ממוקדת באותו מגע, שפורש כמבנה פרח דחיסתי ימני ושהוא גם האתר המועדף לפריצת בוץ מסיבית.</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פיזורם של הרי הבוץ הוא לכן סמן מורפולוגי לאזורי הגזירה הפעילה של המנסרה.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המשענת גולשות היחידות המסיניות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בכיוון ההפוך, חגורת הקמטים חצויה במערכת צפופה של העתקים, שיוחסו בין היתר להתפשטות דרומה של הכיסוי המלחי הדוקטילי.</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הגלישה הכבידתית פועלת בשני הכיוונים, ובמשענת השטוחה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איור 3 מציג את המנסרה, את המשענת ואת אונות המלח שגלשו מעליה במבט אחד.</w:t>
      </w:r>
    </w:p>
    <w:p>
      <w:pPr>
        <w:keepNext/>
        <w:spacing w:after="40" w:before="140"/>
        <w:jc w:val="center"/>
      </w:pPr>
      <w:r>
        <w:drawing>
          <wp:inline distT="0" distB="0" distL="0" distR="0">
            <wp:extent cx="4536000" cy="310762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536000" cy="310762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3: תצוגה בתימטרית תלת-ממדית של הזרוע המערבית של מנסרת ים התיכון ושל אזור המשענת שמצפון לה (Backstop באיור). באיור נראים שלושת המרכיבים שנדונו בפרק זה. הראשון הוא המגע בין המנסרה למשענת, שלאורכו מרוכזים הרי הבוץ. השני הוא אונת מלח כבידתית שגלשה מעל המשענת. השלישי הוא אגני הבקע (cleft basins), שקערוריות עמוקות בסמוך לאותו מגע. סולם הצבעים מציג עומקי מים שבין 2,200 ל-4,000 מטר. מקור: Huguen et al. (2006), איור 4, עמ' 65.</w:t>
      </w:r>
      <w:r>
        <w:rPr>
          <w:rStyle w:val="FootnoteReference"/>
          <w:rFonts w:ascii="Arial" w:cs="Arial" w:eastAsia="Arial" w:hAnsi="Arial"/>
          <w:b w:val="false"/>
          <w:bCs w:val="false"/>
          <w:i/>
          <w:iCs/>
          <w:color w:val="000000"/>
          <w:sz w:val="22"/>
          <w:szCs w:val="22"/>
          <w:rtl/>
        </w:rPr>
        <w:footnoteReference w:id="54"/>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שעוביו הוא שקובע את רוחב הקמטים ואת סגנונם לאורך חזית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56"/>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57"/>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8"/>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9"/>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אין לה סיבה אחת, ויש לה שתי רמות. ברמה הרדודה פועלים הקינמטיקה ופיזור המלח, וברמה העמוקה פועלת ציפת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60"/>
      </w:r>
      <w:r>
        <w:rPr>
          <w:rFonts w:ascii="Arial" w:cs="Arial" w:eastAsia="Arial" w:hAnsi="Arial"/>
          <w:b w:val="false"/>
          <w:bCs w:val="false"/>
          <w:i w:val="false"/>
          <w:iCs w:val="false"/>
          <w:color w:val="000000"/>
          <w:sz w:val="24"/>
          <w:szCs w:val="24"/>
          <w:rtl/>
        </w:rPr>
        <w:t xml:space="preserve"> צורת פני הקרקעית היא הביטוי העליון של שרשרת סיבתית שראשיתה בעומק.</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מניעות את הגלישות הכבידתיות שמעל המשענת.</w:t>
      </w:r>
      <w:r>
        <w:rPr>
          <w:rStyle w:val="FootnoteReference"/>
          <w:rFonts w:ascii="Arial" w:cs="Arial" w:eastAsia="Arial" w:hAnsi="Arial"/>
          <w:b w:val="false"/>
          <w:bCs w:val="false"/>
          <w:i w:val="false"/>
          <w:iCs w:val="false"/>
          <w:color w:val="000000"/>
          <w:sz w:val="24"/>
          <w:szCs w:val="24"/>
          <w:rtl/>
        </w:rPr>
        <w:footnoteReference w:id="61"/>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w:t>
      </w:r>
      <w:r>
        <w:rPr>
          <w:rFonts w:ascii="Arial" w:cs="Arial" w:eastAsia="Arial" w:hAnsi="Arial"/>
          <w:b w:val="false"/>
          <w:bCs w:val="false"/>
          <w:i w:val="true"/>
          <w:iCs w:val="true"/>
          <w:color w:val="000000"/>
          <w:sz w:val="22"/>
          <w:szCs w:val="22"/>
          <w:rtl w:val="0"/>
        </w:rPr>
        <w:t xml:space="preserve">Marine and Petroleum Geology, 91</w:t>
      </w:r>
      <w:r>
        <w:rPr>
          <w:rFonts w:ascii="Arial" w:cs="Arial" w:eastAsia="Arial" w:hAnsi="Arial"/>
          <w:b w:val="false"/>
          <w:bCs w:val="false"/>
          <w:i w:val="false"/>
          <w:iCs w:val="false"/>
          <w:color w:val="000000"/>
          <w:sz w:val="22"/>
          <w:szCs w:val="22"/>
          <w:rtl w:val="0"/>
        </w:rPr>
        <w:t xml:space="preserve">, 297–320. https://doi.org/10.1016/j.marpetgeo.2018.01.016</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w:t>
      </w:r>
      <w:r>
        <w:rPr>
          <w:rFonts w:ascii="Arial" w:cs="Arial" w:eastAsia="Arial" w:hAnsi="Arial"/>
          <w:b w:val="false"/>
          <w:bCs w:val="false"/>
          <w:i w:val="true"/>
          <w:iCs w:val="true"/>
          <w:color w:val="000000"/>
          <w:sz w:val="22"/>
          <w:szCs w:val="22"/>
          <w:rtl w:val="0"/>
        </w:rPr>
        <w:t xml:space="preserve">Marine Geophysical Researches, 27</w:t>
      </w:r>
      <w:r>
        <w:rPr>
          <w:rFonts w:ascii="Arial" w:cs="Arial" w:eastAsia="Arial" w:hAnsi="Arial"/>
          <w:b w:val="false"/>
          <w:bCs w:val="false"/>
          <w:i w:val="false"/>
          <w:iCs w:val="false"/>
          <w:color w:val="000000"/>
          <w:sz w:val="22"/>
          <w:szCs w:val="22"/>
          <w:rtl w:val="0"/>
        </w:rPr>
        <w:t xml:space="preserve">(1),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w:t>
      </w:r>
      <w:r>
        <w:rPr>
          <w:rFonts w:ascii="Arial" w:cs="Arial" w:eastAsia="Arial" w:hAnsi="Arial"/>
          <w:b w:val="false"/>
          <w:bCs w:val="false"/>
          <w:i w:val="true"/>
          <w:iCs w:val="true"/>
          <w:color w:val="000000"/>
          <w:sz w:val="22"/>
          <w:szCs w:val="22"/>
          <w:rtl w:val="0"/>
        </w:rPr>
        <w:t xml:space="preserve">Journal of Geophysical Research: Solid Earth, 108</w:t>
      </w:r>
      <w:r>
        <w:rPr>
          <w:rFonts w:ascii="Arial" w:cs="Arial" w:eastAsia="Arial" w:hAnsi="Arial"/>
          <w:b w:val="false"/>
          <w:bCs w:val="false"/>
          <w:i w:val="false"/>
          <w:iCs w:val="false"/>
          <w:color w:val="000000"/>
          <w:sz w:val="22"/>
          <w:szCs w:val="22"/>
          <w:rtl w:val="0"/>
        </w:rPr>
        <w:t xml:space="preserve">(B8), 2372. https://doi.org/10.1029/2001JB000473</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w:t>
      </w:r>
      <w:r>
        <w:rPr>
          <w:rFonts w:ascii="Arial" w:cs="Arial" w:eastAsia="Arial" w:hAnsi="Arial"/>
          <w:b w:val="false"/>
          <w:bCs w:val="false"/>
          <w:i w:val="true"/>
          <w:iCs w:val="true"/>
          <w:color w:val="000000"/>
          <w:sz w:val="22"/>
          <w:szCs w:val="22"/>
          <w:rtl w:val="0"/>
        </w:rPr>
        <w:t xml:space="preserve">Geochemistry, Geophysics, Geosystems, 12</w:t>
      </w:r>
      <w:r>
        <w:rPr>
          <w:rFonts w:ascii="Arial" w:cs="Arial" w:eastAsia="Arial" w:hAnsi="Arial"/>
          <w:b w:val="false"/>
          <w:bCs w:val="false"/>
          <w:i w:val="false"/>
          <w:iCs w:val="false"/>
          <w:color w:val="000000"/>
          <w:sz w:val="22"/>
          <w:szCs w:val="22"/>
          <w:rtl w:val="0"/>
        </w:rPr>
        <w:t xml:space="preserve">(3), Q03010. https://doi.org/10.1029/2010GC003280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10">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2">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 גם מאמר זה בפורמט AGU, הממוספר בפסקאות.</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72 (סעיף The Eastern Mediterranean Ridge).</w:t>
      </w:r>
    </w:p>
  </w:footnote>
  <w:footnote w:id="2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8">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2">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33">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ו-Western Mediterranean Ridge).</w:t>
      </w:r>
    </w:p>
  </w:footnote>
  <w:footnote w:id="34">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5">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6">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8">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9">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0">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Western Mediterranean Ridge).</w:t>
      </w:r>
    </w:p>
  </w:footnote>
  <w:footnote w:id="43">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6">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8">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0">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5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2">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3">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4">
    <w:p>
      <w:pPr>
        <w:pStyle w:val="FootnoteText"/>
        <w:bidi/>
      </w:pPr>
      <w:r>
        <w:rPr>
          <w:rStyle w:val="FootnoteReference"/>
        </w:rPr>
        <w:footnoteRef/>
      </w:r>
      <w:r>
        <w:rPr>
          <w:rFonts w:ascii="Arial" w:hAnsi="Arial" w:cs="Arial" w:eastAsia="Arial"/>
          <w:sz w:val="20"/>
          <w:szCs w:val="20"/>
          <w:rtl/>
        </w:rPr>
        <w:t xml:space="preserve"> Huguen et al. (2006), איור 4, עמ' 65.</w:t>
      </w:r>
    </w:p>
  </w:footnote>
  <w:footnote w:id="5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6">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7">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8">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9">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60">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6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 Id="rId100" Type="http://schemas.openxmlformats.org/officeDocument/2006/relationships/image" Target="media/huguen_fi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