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lineRule="auto"/>
        <w:jc w:val="center"/>
      </w:pPr>
      <w:r>
        <w:rPr>
          <w:rFonts w:ascii="Arial" w:cs="Arial" w:eastAsia="Arial" w:hAnsi="Arial"/>
          <w:b/>
          <w:bCs/>
          <w:i w:val="false"/>
          <w:iCs w:val="false"/>
          <w:color w:val="000000"/>
          <w:sz w:val="28"/>
          <w:szCs w:val="28"/>
          <w:rtl/>
        </w:rPr>
        <w:t xml:space="preserve">מערכות שקע אוקייני ומנסרות הצטברות: הקשת ההלנית</w:t>
      </w:r>
    </w:p>
    <w:p>
      <w:pPr>
        <w:bidi/>
        <w:spacing w:after="60" w:line="360" w:lineRule="auto"/>
        <w:jc w:val="center"/>
      </w:pPr>
      <w:r>
        <w:rPr>
          <w:rFonts w:ascii="Arial" w:cs="Arial" w:eastAsia="Arial" w:hAnsi="Arial"/>
          <w:b w:val="false"/>
          <w:bCs w:val="false"/>
          <w:i w:val="false"/>
          <w:iCs w:val="false"/>
          <w:color w:val="000000"/>
          <w:sz w:val="24"/>
          <w:szCs w:val="24"/>
          <w:rtl/>
        </w:rPr>
        <w:t xml:space="preserve">[שם הסטודנט/ת]</w:t>
      </w:r>
    </w:p>
    <w:p>
      <w:pPr>
        <w:bidi/>
        <w:spacing w:after="300" w:line="360" w:lineRule="auto"/>
        <w:jc w:val="center"/>
      </w:pPr>
      <w:r>
        <w:rPr>
          <w:rFonts w:ascii="Arial" w:cs="Arial" w:eastAsia="Arial" w:hAnsi="Arial"/>
          <w:b w:val="false"/>
          <w:bCs w:val="false"/>
          <w:i w:val="false"/>
          <w:iCs w:val="false"/>
          <w:color w:val="000000"/>
          <w:sz w:val="24"/>
          <w:szCs w:val="24"/>
          <w:rtl/>
        </w:rPr>
        <w:t xml:space="preserve">עבודה סיכום המוגשת לקורס מורפולוגיה של קרקעית הים</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1. מבוא</w:t>
      </w:r>
    </w:p>
    <w:p>
      <w:pPr>
        <w:bidi/>
        <w:spacing w:after="120" w:line="360" w:lineRule="auto"/>
        <w:jc w:val="both"/>
      </w:pPr>
      <w:r>
        <w:rPr>
          <w:rFonts w:ascii="Arial" w:cs="Arial" w:eastAsia="Arial" w:hAnsi="Arial"/>
          <w:b w:val="false"/>
          <w:bCs w:val="false"/>
          <w:i w:val="false"/>
          <w:iCs w:val="false"/>
          <w:color w:val="000000"/>
          <w:sz w:val="24"/>
          <w:szCs w:val="24"/>
          <w:rtl/>
        </w:rPr>
        <w:t xml:space="preserve">הקשת ההלנית היא מערכת ההפחתה הפעילה של אגן הים התיכון המזרחי. היא נמתחת מהאיים היוניים במערב, דרך כרתים, ועד רודוס במזרח. לאורכה נשקע הלוח האפריקאי מתחת ללוח הים האגאי בקצב העולה על 3 ס"מ לשנה.</w:t>
      </w:r>
      <w:r>
        <w:rPr>
          <w:rStyle w:val="FootnoteReference"/>
          <w:rFonts w:ascii="Arial" w:cs="Arial" w:eastAsia="Arial" w:hAnsi="Arial"/>
          <w:b w:val="false"/>
          <w:bCs w:val="false"/>
          <w:i w:val="false"/>
          <w:iCs w:val="false"/>
          <w:color w:val="000000"/>
          <w:sz w:val="24"/>
          <w:szCs w:val="24"/>
          <w:rtl/>
        </w:rPr>
        <w:footnoteReference w:id="1"/>
      </w:r>
      <w:r>
        <w:rPr>
          <w:rFonts w:ascii="Arial" w:cs="Arial" w:eastAsia="Arial" w:hAnsi="Arial"/>
          <w:b w:val="false"/>
          <w:bCs w:val="false"/>
          <w:i w:val="false"/>
          <w:iCs w:val="false"/>
          <w:color w:val="000000"/>
          <w:sz w:val="24"/>
          <w:szCs w:val="24"/>
          <w:rtl/>
        </w:rPr>
        <w:t xml:space="preserve"> הקרום הנשקע הוא שרידו של אגן אוקייני מזוזואי עמוק, שכמעט כולו נסגר בהתכנסות ארוכת-הטווח בין אירואסיה לאפריקה.</w:t>
      </w:r>
      <w:r>
        <w:rPr>
          <w:rStyle w:val="FootnoteReference"/>
          <w:rFonts w:ascii="Arial" w:cs="Arial" w:eastAsia="Arial" w:hAnsi="Arial"/>
          <w:b w:val="false"/>
          <w:bCs w:val="false"/>
          <w:i w:val="false"/>
          <w:iCs w:val="false"/>
          <w:color w:val="000000"/>
          <w:sz w:val="24"/>
          <w:szCs w:val="24"/>
          <w:rtl/>
        </w:rPr>
        <w:footnoteReference w:id="2"/>
      </w:r>
      <w:r>
        <w:rPr>
          <w:rFonts w:ascii="Arial" w:cs="Arial" w:eastAsia="Arial" w:hAnsi="Arial"/>
          <w:b w:val="false"/>
          <w:bCs w:val="false"/>
          <w:i w:val="false"/>
          <w:iCs w:val="false"/>
          <w:color w:val="000000"/>
          <w:sz w:val="24"/>
          <w:szCs w:val="24"/>
          <w:rtl/>
        </w:rPr>
        <w:t xml:space="preserve"> מדובר במערכת הפחתה פעילה ומלאה, ובמקרה בוחן מובהק לקשר שבין טקטוניקת לוחות למורפולוגיה של קרקעית הים.</w:t>
      </w:r>
    </w:p>
    <w:p>
      <w:pPr>
        <w:bidi/>
        <w:spacing w:after="120" w:line="360" w:lineRule="auto"/>
        <w:jc w:val="both"/>
      </w:pPr>
      <w:r>
        <w:rPr>
          <w:rFonts w:ascii="Arial" w:cs="Arial" w:eastAsia="Arial" w:hAnsi="Arial"/>
          <w:b w:val="false"/>
          <w:bCs w:val="false"/>
          <w:i w:val="false"/>
          <w:iCs w:val="false"/>
          <w:color w:val="000000"/>
          <w:sz w:val="24"/>
          <w:szCs w:val="24"/>
          <w:rtl/>
        </w:rPr>
        <w:t xml:space="preserve">שני מרכיביה הבולטים של הקשת בקרקעית הים הם מערכת שקעים עמוקים בצידה הפנימי ומנסרת הצטברות ענקית בחזיתה. שקעי מטפן, פליני וסטראבו מלווים את מרגלות מדרונות היבשת של הפלופונס, כרתים ורודוס.</w:t>
      </w:r>
      <w:r>
        <w:rPr>
          <w:rStyle w:val="FootnoteReference"/>
          <w:rFonts w:ascii="Arial" w:cs="Arial" w:eastAsia="Arial" w:hAnsi="Arial"/>
          <w:b w:val="false"/>
          <w:bCs w:val="false"/>
          <w:i w:val="false"/>
          <w:iCs w:val="false"/>
          <w:color w:val="000000"/>
          <w:sz w:val="24"/>
          <w:szCs w:val="24"/>
          <w:rtl/>
        </w:rPr>
        <w:footnoteReference w:id="3"/>
      </w:r>
      <w:r>
        <w:rPr>
          <w:rFonts w:ascii="Arial" w:cs="Arial" w:eastAsia="Arial" w:hAnsi="Arial"/>
          <w:b w:val="false"/>
          <w:bCs w:val="false"/>
          <w:i w:val="false"/>
          <w:iCs w:val="false"/>
          <w:color w:val="000000"/>
          <w:sz w:val="24"/>
          <w:szCs w:val="24"/>
          <w:rtl/>
        </w:rPr>
        <w:t xml:space="preserve"> מנסרת ההצטברות מוכרת בספרות בשם מנסרת ים התיכון (Mediterranean Ridge). זהו טריז משקעים מקושת שאורכו עולה על 1,500 ק"מ ורוחבו 200–250 ק"מ.</w:t>
      </w:r>
      <w:r>
        <w:rPr>
          <w:rStyle w:val="FootnoteReference"/>
          <w:rFonts w:ascii="Arial" w:cs="Arial" w:eastAsia="Arial" w:hAnsi="Arial"/>
          <w:b w:val="false"/>
          <w:bCs w:val="false"/>
          <w:i w:val="false"/>
          <w:iCs w:val="false"/>
          <w:color w:val="000000"/>
          <w:sz w:val="24"/>
          <w:szCs w:val="24"/>
          <w:rtl/>
        </w:rPr>
        <w:footnoteReference w:id="4"/>
      </w:r>
      <w:r>
        <w:rPr>
          <w:rFonts w:ascii="Arial" w:cs="Arial" w:eastAsia="Arial" w:hAnsi="Arial"/>
          <w:b w:val="false"/>
          <w:bCs w:val="false"/>
          <w:i w:val="false"/>
          <w:iCs w:val="false"/>
          <w:color w:val="000000"/>
          <w:sz w:val="24"/>
          <w:szCs w:val="24"/>
          <w:rtl/>
        </w:rPr>
        <w:t xml:space="preserve"> היא נחשבת למנסרת ההצטברות הצומחת במהירות הגבוהה ביותר בעולם.</w:t>
      </w:r>
      <w:r>
        <w:rPr>
          <w:rStyle w:val="FootnoteReference"/>
          <w:rFonts w:ascii="Arial" w:cs="Arial" w:eastAsia="Arial" w:hAnsi="Arial"/>
          <w:b w:val="false"/>
          <w:bCs w:val="false"/>
          <w:i w:val="false"/>
          <w:iCs w:val="false"/>
          <w:color w:val="000000"/>
          <w:sz w:val="24"/>
          <w:szCs w:val="24"/>
          <w:rtl/>
        </w:rPr>
        <w:footnoteReference w:id="5"/>
      </w:r>
      <w:r>
        <w:rPr>
          <w:rFonts w:ascii="Arial" w:cs="Arial" w:eastAsia="Arial" w:hAnsi="Arial"/>
          <w:b w:val="false"/>
          <w:bCs w:val="false"/>
          <w:i w:val="false"/>
          <w:iCs w:val="false"/>
          <w:color w:val="000000"/>
          <w:sz w:val="24"/>
          <w:szCs w:val="24"/>
          <w:rtl/>
        </w:rPr>
        <w:t xml:space="preserve"> שני המרכיבים האלה הם תוצריה של אותה מערכת הפחתה, ועליהם נסבה עבודה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מטרת עבודה זו היא לתאר את מערכת ההפחתה של הקשת ההלנית ולענות על שאלה אחת. מהם הגורמים הקובעים את מורפולוגיית מנסרת ההצטברות ואת השונות שלה לאורך הקשת? לשם כך תיסקר תחילה הסביבה הגיאולוגית-טקטונית. לאחר מכן יתוארו מערכת השקעים ומורפולוגיית המנסרה, ולבסוף ינותחו תהליכי ההצטברות והדפורמציה. המסקנה המובילה את העבודה היא שהמורפולוגיה אינה נשלטת בגורם אחד. תחילת ההתנגשות מדרום לכרתים, הקינמטיקה המשתנה לאורך הקשת ופיזור שכבות המלח פועלים יחד.</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2. הסביבה הגיאולוגית-טקטונית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2.1 אזור ההפחתה ההלני</w:t>
      </w:r>
    </w:p>
    <w:p>
      <w:pPr>
        <w:bidi/>
        <w:spacing w:after="120" w:line="360" w:lineRule="auto"/>
        <w:jc w:val="both"/>
      </w:pPr>
      <w:r>
        <w:rPr>
          <w:rFonts w:ascii="Arial" w:cs="Arial" w:eastAsia="Arial" w:hAnsi="Arial"/>
          <w:b w:val="false"/>
          <w:bCs w:val="false"/>
          <w:i w:val="false"/>
          <w:iCs w:val="false"/>
          <w:color w:val="000000"/>
          <w:sz w:val="24"/>
          <w:szCs w:val="24"/>
          <w:rtl/>
        </w:rPr>
        <w:t xml:space="preserve">תהליך ההפחתה לאורך הקשת הוא שיצר את מנסרת ההצטברות. התהליך מגרד מן הלוח האפריקאי הנשקע ערמת משקעים עבה, שעוביה מגיע עד 12 ק"מ.</w:t>
      </w:r>
      <w:r>
        <w:rPr>
          <w:rStyle w:val="FootnoteReference"/>
          <w:rFonts w:ascii="Arial" w:cs="Arial" w:eastAsia="Arial" w:hAnsi="Arial"/>
          <w:b w:val="false"/>
          <w:bCs w:val="false"/>
          <w:i w:val="false"/>
          <w:iCs w:val="false"/>
          <w:color w:val="000000"/>
          <w:sz w:val="24"/>
          <w:szCs w:val="24"/>
          <w:rtl/>
        </w:rPr>
        <w:footnoteReference w:id="6"/>
      </w:r>
      <w:r>
        <w:rPr>
          <w:rFonts w:ascii="Arial" w:cs="Arial" w:eastAsia="Arial" w:hAnsi="Arial"/>
          <w:b w:val="false"/>
          <w:bCs w:val="false"/>
          <w:i w:val="false"/>
          <w:iCs w:val="false"/>
          <w:color w:val="000000"/>
          <w:sz w:val="24"/>
          <w:szCs w:val="24"/>
          <w:rtl/>
        </w:rPr>
        <w:t xml:space="preserve"> משקעים אלו הצטברו מאז המזוזואיקון באגני הים התיכון העמוקים ובשוליהם. ההצטברות החלה לפני כ-19 מיליון שנה, במקביל לחשיפת יריעות דחיפה בשולי הקשת,</w:t>
      </w:r>
      <w:r>
        <w:rPr>
          <w:rStyle w:val="FootnoteReference"/>
          <w:rFonts w:ascii="Arial" w:cs="Arial" w:eastAsia="Arial" w:hAnsi="Arial"/>
          <w:b w:val="false"/>
          <w:bCs w:val="false"/>
          <w:i w:val="false"/>
          <w:iCs w:val="false"/>
          <w:color w:val="000000"/>
          <w:sz w:val="24"/>
          <w:szCs w:val="24"/>
          <w:rtl/>
        </w:rPr>
        <w:footnoteReference w:id="7"/>
      </w:r>
      <w:r>
        <w:rPr>
          <w:rFonts w:ascii="Arial" w:cs="Arial" w:eastAsia="Arial" w:hAnsi="Arial"/>
          <w:b w:val="false"/>
          <w:bCs w:val="false"/>
          <w:i w:val="false"/>
          <w:iCs w:val="false"/>
          <w:color w:val="000000"/>
          <w:sz w:val="24"/>
          <w:szCs w:val="24"/>
          <w:rtl/>
        </w:rPr>
        <w:t xml:space="preserve"> ומאז צומחת המנסרה ברציפות.</w:t>
      </w:r>
    </w:p>
    <w:p>
      <w:pPr>
        <w:bidi/>
        <w:spacing w:after="120" w:line="360" w:lineRule="auto"/>
        <w:jc w:val="both"/>
      </w:pPr>
      <w:r>
        <w:rPr>
          <w:rFonts w:ascii="Arial" w:cs="Arial" w:eastAsia="Arial" w:hAnsi="Arial"/>
          <w:b w:val="false"/>
          <w:bCs w:val="false"/>
          <w:i w:val="false"/>
          <w:iCs w:val="false"/>
          <w:color w:val="000000"/>
          <w:sz w:val="24"/>
          <w:szCs w:val="24"/>
          <w:rtl/>
        </w:rPr>
        <w:t xml:space="preserve">מאפיין ייחודי של החתך הסדימנטרי הנשקע הוא נוכחות שכבות אוורית. שכבות אלו הושקעו במיוקן העליון, בתקופה המסינית, ועוביין מגיע מקומית עד 2 ק"מ בכיסוי העליון של המנסרה.</w:t>
      </w:r>
      <w:r>
        <w:rPr>
          <w:rStyle w:val="FootnoteReference"/>
          <w:rFonts w:ascii="Arial" w:cs="Arial" w:eastAsia="Arial" w:hAnsi="Arial"/>
          <w:b w:val="false"/>
          <w:bCs w:val="false"/>
          <w:i w:val="false"/>
          <w:iCs w:val="false"/>
          <w:color w:val="000000"/>
          <w:sz w:val="24"/>
          <w:szCs w:val="24"/>
          <w:rtl/>
        </w:rPr>
        <w:footnoteReference w:id="8"/>
      </w:r>
      <w:r>
        <w:rPr>
          <w:rFonts w:ascii="Arial" w:cs="Arial" w:eastAsia="Arial" w:hAnsi="Arial"/>
          <w:b w:val="false"/>
          <w:bCs w:val="false"/>
          <w:i w:val="false"/>
          <w:iCs w:val="false"/>
          <w:color w:val="000000"/>
          <w:sz w:val="24"/>
          <w:szCs w:val="24"/>
          <w:rtl/>
        </w:rPr>
        <w:t xml:space="preserve"> אלו שכבות דוקטיליות, בשונה משאר הכיסוי הסדימנטרי.</w:t>
      </w:r>
      <w:r>
        <w:rPr>
          <w:rStyle w:val="FootnoteReference"/>
          <w:rFonts w:ascii="Arial" w:cs="Arial" w:eastAsia="Arial" w:hAnsi="Arial"/>
          <w:b w:val="false"/>
          <w:bCs w:val="false"/>
          <w:i w:val="false"/>
          <w:iCs w:val="false"/>
          <w:color w:val="000000"/>
          <w:sz w:val="24"/>
          <w:szCs w:val="24"/>
          <w:rtl/>
        </w:rPr>
        <w:footnoteReference w:id="9"/>
      </w:r>
      <w:r>
        <w:rPr>
          <w:rFonts w:ascii="Arial" w:cs="Arial" w:eastAsia="Arial" w:hAnsi="Arial"/>
          <w:b w:val="false"/>
          <w:bCs w:val="false"/>
          <w:i w:val="false"/>
          <w:iCs w:val="false"/>
          <w:color w:val="000000"/>
          <w:sz w:val="24"/>
          <w:szCs w:val="24"/>
          <w:rtl/>
        </w:rPr>
        <w:t xml:space="preserve"> הרכב חריג זה של רצף המשקעים הנכנס לאזור ההפחתה הוא המפתח להבנת ייחודה של המנסרה ההלנית.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2.2 מבנה הקשת: אגן אחורי, קשת געשית ו-Forearc</w:t>
      </w:r>
    </w:p>
    <w:p>
      <w:pPr>
        <w:bidi/>
        <w:spacing w:after="120" w:line="360" w:lineRule="auto"/>
        <w:jc w:val="both"/>
      </w:pPr>
      <w:r>
        <w:rPr>
          <w:rFonts w:ascii="Arial" w:cs="Arial" w:eastAsia="Arial" w:hAnsi="Arial"/>
          <w:b w:val="false"/>
          <w:bCs w:val="false"/>
          <w:i w:val="false"/>
          <w:iCs w:val="false"/>
          <w:color w:val="000000"/>
          <w:sz w:val="24"/>
          <w:szCs w:val="24"/>
          <w:rtl/>
        </w:rPr>
        <w:t xml:space="preserve">מעבר לשקעים ולמנסרה, הקשת ההלנית מציגה את כל מרכיביה הקלאסיים של מערכת קשת-איים. הים האגאי מהווה את האגן האחורי (back-arc) שמאחורי הקשת הגעשית, המיוצגת על ידי איים כדוגמת סנטוריני. כרתים היא רמה טופוגרפית של קדם-הקשת (forearc), אשר שימשה בעבר כ-Backstop שאפשר את הצטברות המנסרה.</w:t>
      </w:r>
      <w:r>
        <w:rPr>
          <w:rStyle w:val="FootnoteReference"/>
          <w:rFonts w:ascii="Arial" w:cs="Arial" w:eastAsia="Arial" w:hAnsi="Arial"/>
          <w:b w:val="false"/>
          <w:bCs w:val="false"/>
          <w:i w:val="false"/>
          <w:iCs w:val="false"/>
          <w:color w:val="000000"/>
          <w:sz w:val="24"/>
          <w:szCs w:val="24"/>
          <w:rtl/>
        </w:rPr>
        <w:footnoteReference w:id="10"/>
      </w:r>
      <w:r>
        <w:rPr>
          <w:rFonts w:ascii="Arial" w:cs="Arial" w:eastAsia="Arial" w:hAnsi="Arial"/>
          <w:b w:val="false"/>
          <w:bCs w:val="false"/>
          <w:i w:val="false"/>
          <w:iCs w:val="false"/>
          <w:color w:val="000000"/>
          <w:sz w:val="24"/>
          <w:szCs w:val="24"/>
          <w:rtl/>
        </w:rPr>
        <w:t xml:space="preserve"> מבנה זה תוחם מצפון את המרחב שבתוכו מתפתחת המנסרה, וקובע את גבולה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הקינמטיקה של המערכת אינה אחידה לאורך הקשת. מדרום לכרתים ההתכנסות חזיתית, ובאותו אזור שולי היבשת האפריקאיים והאגאיים כמעט נפגשים במצב של תחילת התנגשות. בזרוע המערבית (היונית) ובזרוע המזרחית (הלבנטינית), לעומת זאת, ההפחתה אלכסונית ובעלת כיווני גזירה הפוכים זה לזה.</w:t>
      </w:r>
      <w:r>
        <w:rPr>
          <w:rStyle w:val="FootnoteReference"/>
          <w:rFonts w:ascii="Arial" w:cs="Arial" w:eastAsia="Arial" w:hAnsi="Arial"/>
          <w:b w:val="false"/>
          <w:bCs w:val="false"/>
          <w:i w:val="false"/>
          <w:iCs w:val="false"/>
          <w:color w:val="000000"/>
          <w:sz w:val="24"/>
          <w:szCs w:val="24"/>
          <w:rtl/>
        </w:rPr>
        <w:footnoteReference w:id="11"/>
      </w:r>
      <w:r>
        <w:rPr>
          <w:rFonts w:ascii="Arial" w:cs="Arial" w:eastAsia="Arial" w:hAnsi="Arial"/>
          <w:b w:val="false"/>
          <w:bCs w:val="false"/>
          <w:i w:val="false"/>
          <w:iCs w:val="false"/>
          <w:color w:val="000000"/>
          <w:sz w:val="24"/>
          <w:szCs w:val="24"/>
          <w:rtl/>
        </w:rPr>
        <w:t xml:space="preserve"> שונות קינמטית זו היא המפתח להבדלים המורפולוגיים לאורך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השונות הקינמטית הזו אינה שרירותית, ומקורה בהרכב הליתוספרה הנכנסת להפחתה. מדידות GPS מראות התכנסות של כ-35 מ"מ לשנה לרוחב ההלנידים הדרומיים, בין אפריקה לבין נקודות בלוח האגאי הרוכב.</w:t>
      </w:r>
      <w:r>
        <w:rPr>
          <w:rStyle w:val="FootnoteReference"/>
          <w:rFonts w:ascii="Arial" w:cs="Arial" w:eastAsia="Arial" w:hAnsi="Arial"/>
          <w:b w:val="false"/>
          <w:bCs w:val="false"/>
          <w:i w:val="false"/>
          <w:iCs w:val="false"/>
          <w:color w:val="000000"/>
          <w:sz w:val="24"/>
          <w:szCs w:val="24"/>
          <w:rtl/>
        </w:rPr>
        <w:footnoteReference w:id="12"/>
      </w:r>
      <w:r>
        <w:rPr>
          <w:rFonts w:ascii="Arial" w:cs="Arial" w:eastAsia="Arial" w:hAnsi="Arial"/>
          <w:b w:val="false"/>
          <w:bCs w:val="false"/>
          <w:i w:val="false"/>
          <w:iCs w:val="false"/>
          <w:color w:val="000000"/>
          <w:sz w:val="24"/>
          <w:szCs w:val="24"/>
          <w:rtl/>
        </w:rPr>
        <w:t xml:space="preserve"> הקצב אינו אחיד לאורך הקשת. מצפון לאזור העתק קפלוניה שוקעת ליתוספרה יבשתית אדריאטית בקצב של 5–10 מ"מ לשנה בלבד. מדרומו שוקעת ליתוספרה אוקיינית יונית, צפופה הרבה יותר, בקצב של כ-35 מ"מ לשנה.</w:t>
      </w:r>
      <w:r>
        <w:rPr>
          <w:rStyle w:val="FootnoteReference"/>
          <w:rFonts w:ascii="Arial" w:cs="Arial" w:eastAsia="Arial" w:hAnsi="Arial"/>
          <w:b w:val="false"/>
          <w:bCs w:val="false"/>
          <w:i w:val="false"/>
          <w:iCs w:val="false"/>
          <w:color w:val="000000"/>
          <w:sz w:val="24"/>
          <w:szCs w:val="24"/>
          <w:rtl/>
        </w:rPr>
        <w:footnoteReference w:id="13"/>
      </w:r>
      <w:r>
        <w:rPr>
          <w:rFonts w:ascii="Arial" w:cs="Arial" w:eastAsia="Arial" w:hAnsi="Arial"/>
          <w:b w:val="false"/>
          <w:bCs w:val="false"/>
          <w:i w:val="false"/>
          <w:iCs w:val="false"/>
          <w:color w:val="000000"/>
          <w:sz w:val="24"/>
          <w:szCs w:val="24"/>
          <w:rtl/>
        </w:rPr>
        <w:t xml:space="preserve"> ההבדל בין המקטעים גדול דיו כדי להסיט את חזית ההפחתה עצמה, שמוסטת בהיסט ימני של 100–120 ק"מ לרוחב אזור העתק קפלוניה.</w:t>
      </w:r>
      <w:r>
        <w:rPr>
          <w:rStyle w:val="FootnoteReference"/>
          <w:rFonts w:ascii="Arial" w:cs="Arial" w:eastAsia="Arial" w:hAnsi="Arial"/>
          <w:b w:val="false"/>
          <w:bCs w:val="false"/>
          <w:i w:val="false"/>
          <w:iCs w:val="false"/>
          <w:color w:val="000000"/>
          <w:sz w:val="24"/>
          <w:szCs w:val="24"/>
          <w:rtl/>
        </w:rPr>
        <w:footnoteReference w:id="14"/>
      </w:r>
      <w:r>
        <w:rPr>
          <w:rFonts w:ascii="Arial" w:cs="Arial" w:eastAsia="Arial" w:hAnsi="Arial"/>
          <w:b w:val="false"/>
          <w:bCs w:val="false"/>
          <w:i w:val="false"/>
          <w:iCs w:val="false"/>
          <w:color w:val="000000"/>
          <w:sz w:val="24"/>
          <w:szCs w:val="24"/>
          <w:rtl/>
        </w:rPr>
        <w:t xml:space="preserve"> השונות לאורך הקשת מתחילה בציפת הלוח השוקע, ולא רק בכיסוי הסדימנטרי שמעליו.</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3. מערכת השקעים של הקשת ההלנית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בגבולה הצפוני של המנסרה משתרעת שורה של תעלות עמוקות ומנותקות זו מזו. אלו הן שקע מטפן, שקע פליני, שקע סטראבו ותעלת רודוס, שעומקן נע בין 3,000 ל-5,000 מטר.</w:t>
      </w:r>
      <w:r>
        <w:rPr>
          <w:rStyle w:val="FootnoteReference"/>
          <w:rFonts w:ascii="Arial" w:cs="Arial" w:eastAsia="Arial" w:hAnsi="Arial"/>
          <w:b w:val="false"/>
          <w:bCs w:val="false"/>
          <w:i w:val="false"/>
          <w:iCs w:val="false"/>
          <w:color w:val="000000"/>
          <w:sz w:val="24"/>
          <w:szCs w:val="24"/>
          <w:rtl/>
        </w:rPr>
        <w:footnoteReference w:id="15"/>
      </w:r>
      <w:r>
        <w:rPr>
          <w:rFonts w:ascii="Arial" w:cs="Arial" w:eastAsia="Arial" w:hAnsi="Arial"/>
          <w:b w:val="false"/>
          <w:bCs w:val="false"/>
          <w:i w:val="false"/>
          <w:iCs w:val="false"/>
          <w:color w:val="000000"/>
          <w:sz w:val="24"/>
          <w:szCs w:val="24"/>
          <w:rtl/>
        </w:rPr>
        <w:t xml:space="preserve"> מדרום גובלת המנסרה במישורים תהומיים רדודים יותר, ובהם המישור התהומי היוני בעומק 4,000 מטר ומישור הרודוטוס בעומק כ-3,100 מטר.</w:t>
      </w:r>
      <w:r>
        <w:rPr>
          <w:rStyle w:val="FootnoteReference"/>
          <w:rFonts w:ascii="Arial" w:cs="Arial" w:eastAsia="Arial" w:hAnsi="Arial"/>
          <w:b w:val="false"/>
          <w:bCs w:val="false"/>
          <w:i w:val="false"/>
          <w:iCs w:val="false"/>
          <w:color w:val="000000"/>
          <w:sz w:val="24"/>
          <w:szCs w:val="24"/>
          <w:rtl/>
        </w:rPr>
        <w:footnoteReference w:id="16"/>
      </w:r>
      <w:r>
        <w:rPr>
          <w:rFonts w:ascii="Arial" w:cs="Arial" w:eastAsia="Arial" w:hAnsi="Arial"/>
          <w:b w:val="false"/>
          <w:bCs w:val="false"/>
          <w:i w:val="false"/>
          <w:iCs w:val="false"/>
          <w:color w:val="000000"/>
          <w:sz w:val="24"/>
          <w:szCs w:val="24"/>
          <w:rtl/>
        </w:rPr>
        <w:t xml:space="preserve"> בין שני התחומים האלה מתנשאת המנסרה כרכס רחב ומתון.</w:t>
      </w:r>
    </w:p>
    <w:p>
      <w:pPr>
        <w:bidi/>
        <w:spacing w:after="120" w:line="360" w:lineRule="auto"/>
        <w:jc w:val="both"/>
      </w:pPr>
      <w:r>
        <w:rPr>
          <w:rFonts w:ascii="Arial" w:cs="Arial" w:eastAsia="Arial" w:hAnsi="Arial"/>
          <w:b w:val="false"/>
          <w:bCs w:val="false"/>
          <w:i w:val="false"/>
          <w:iCs w:val="false"/>
          <w:color w:val="000000"/>
          <w:sz w:val="24"/>
          <w:szCs w:val="24"/>
          <w:rtl/>
        </w:rPr>
        <w:t xml:space="preserve">"השקע ההלני" אינו שקע ים-עמוק במובן המדויק של המונח. מדובר בשקערורית של קדם-הקשת (forearc depression) שהמילוי הסדימנטרי בה מועט.</w:t>
      </w:r>
      <w:r>
        <w:rPr>
          <w:rStyle w:val="FootnoteReference"/>
          <w:rFonts w:ascii="Arial" w:cs="Arial" w:eastAsia="Arial" w:hAnsi="Arial"/>
          <w:b w:val="false"/>
          <w:bCs w:val="false"/>
          <w:i w:val="false"/>
          <w:iCs w:val="false"/>
          <w:color w:val="000000"/>
          <w:sz w:val="24"/>
          <w:szCs w:val="24"/>
          <w:rtl/>
        </w:rPr>
        <w:footnoteReference w:id="17"/>
      </w:r>
      <w:r>
        <w:rPr>
          <w:rFonts w:ascii="Arial" w:cs="Arial" w:eastAsia="Arial" w:hAnsi="Arial"/>
          <w:b w:val="false"/>
          <w:bCs w:val="false"/>
          <w:i w:val="false"/>
          <w:iCs w:val="false"/>
          <w:color w:val="000000"/>
          <w:sz w:val="24"/>
          <w:szCs w:val="24"/>
          <w:rtl/>
        </w:rPr>
        <w:t xml:space="preserve"> חזית הדפורמציה האמיתית, שבה מתחיל גירוד המשקעים, נדדה דרומה עם ההצטברות המתמשכת, והיום היא נמצאת בשוליים החיצוניים של המנסרה.</w:t>
      </w:r>
      <w:r>
        <w:rPr>
          <w:rStyle w:val="FootnoteReference"/>
          <w:rFonts w:ascii="Arial" w:cs="Arial" w:eastAsia="Arial" w:hAnsi="Arial"/>
          <w:b w:val="false"/>
          <w:bCs w:val="false"/>
          <w:i w:val="false"/>
          <w:iCs w:val="false"/>
          <w:color w:val="000000"/>
          <w:sz w:val="24"/>
          <w:szCs w:val="24"/>
          <w:rtl/>
        </w:rPr>
        <w:footnoteReference w:id="18"/>
      </w:r>
      <w:r>
        <w:rPr>
          <w:rFonts w:ascii="Arial" w:cs="Arial" w:eastAsia="Arial" w:hAnsi="Arial"/>
          <w:b w:val="false"/>
          <w:bCs w:val="false"/>
          <w:i w:val="false"/>
          <w:iCs w:val="false"/>
          <w:color w:val="000000"/>
          <w:sz w:val="24"/>
          <w:szCs w:val="24"/>
          <w:rtl/>
        </w:rPr>
        <w:t xml:space="preserve"> המרחק הגדול בין השקעים הפנימיים לחזית החיצונית הוא שמגדיר את רוחבה החריג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שקעי פליני וסטראבו אינם תעלות רציפות, אלא מערך של אגנים נפרדים. הם ערוכים במערך מדורג (en échelon) בכיוון צפון-מזרח–דרום-מערב, אגניהם רחבים ומלאים חלקית במשקעים, והמבנה כולו מבטא תנועת גזירה שמאלית.</w:t>
      </w:r>
      <w:r>
        <w:rPr>
          <w:rStyle w:val="FootnoteReference"/>
          <w:rFonts w:ascii="Arial" w:cs="Arial" w:eastAsia="Arial" w:hAnsi="Arial"/>
          <w:b w:val="false"/>
          <w:bCs w:val="false"/>
          <w:i w:val="false"/>
          <w:iCs w:val="false"/>
          <w:color w:val="000000"/>
          <w:sz w:val="24"/>
          <w:szCs w:val="24"/>
          <w:rtl/>
        </w:rPr>
        <w:footnoteReference w:id="19"/>
      </w:r>
      <w:r>
        <w:rPr>
          <w:rFonts w:ascii="Arial" w:cs="Arial" w:eastAsia="Arial" w:hAnsi="Arial"/>
          <w:b w:val="false"/>
          <w:bCs w:val="false"/>
          <w:i w:val="false"/>
          <w:iCs w:val="false"/>
          <w:color w:val="000000"/>
          <w:sz w:val="24"/>
          <w:szCs w:val="24"/>
          <w:rtl/>
        </w:rPr>
        <w:t xml:space="preserve"> אלה מבנים טקטוניים פעילים, ולא רק שקערוריות בתוך הטופוגרפיה.</w:t>
      </w:r>
    </w:p>
    <w:p>
      <w:pPr>
        <w:bidi/>
        <w:spacing w:after="120" w:line="360" w:lineRule="auto"/>
        <w:jc w:val="both"/>
      </w:pPr>
      <w:r>
        <w:rPr>
          <w:rFonts w:ascii="Arial" w:cs="Arial" w:eastAsia="Arial" w:hAnsi="Arial"/>
          <w:b w:val="false"/>
          <w:bCs w:val="false"/>
          <w:i w:val="false"/>
          <w:iCs w:val="false"/>
          <w:color w:val="000000"/>
          <w:sz w:val="24"/>
          <w:szCs w:val="24"/>
          <w:rtl/>
        </w:rPr>
        <w:t xml:space="preserve">מבנה אזור ה-Backstop שבין שקע פליני לשקע סטראבו מוסיף נדבך לתמונה. בין שני השקעים משתרע שטח דמוי רמה, המשופע קלות צפונה ומאופיין במבנים גדולים דמויי אונה שפורשו כדפורמציה כבידתית. לצידו מתנשאים הרי סטראבו, שרשרת מבנים בתימטריים מסיביים בכיוון כללי N60, שנקרעו משולי כרתים.</w:t>
      </w:r>
      <w:r>
        <w:rPr>
          <w:rStyle w:val="FootnoteReference"/>
          <w:rFonts w:ascii="Arial" w:cs="Arial" w:eastAsia="Arial" w:hAnsi="Arial"/>
          <w:b w:val="false"/>
          <w:bCs w:val="false"/>
          <w:i w:val="false"/>
          <w:iCs w:val="false"/>
          <w:color w:val="000000"/>
          <w:sz w:val="24"/>
          <w:szCs w:val="24"/>
          <w:rtl/>
        </w:rPr>
        <w:footnoteReference w:id="20"/>
      </w:r>
      <w:r>
        <w:rPr>
          <w:rFonts w:ascii="Arial" w:cs="Arial" w:eastAsia="Arial" w:hAnsi="Arial"/>
          <w:b w:val="false"/>
          <w:bCs w:val="false"/>
          <w:i w:val="false"/>
          <w:iCs w:val="false"/>
          <w:color w:val="000000"/>
          <w:sz w:val="24"/>
          <w:szCs w:val="24"/>
          <w:rtl/>
        </w:rPr>
        <w:t xml:space="preserve"> הגזירה לאורך הזרוע המזרחית מרוכזת בשני מגעים בלבד. האחד הוא הגבול בין שולי כרתים לאזור ה-Backstop, המתבטא בשקע פליני, והשני הוא המגע בין הרי סטראבו לתחום הפנימי של המנסרה, המתבטא בשקע סטראבו.</w:t>
      </w:r>
      <w:r>
        <w:rPr>
          <w:rStyle w:val="FootnoteReference"/>
          <w:rFonts w:ascii="Arial" w:cs="Arial" w:eastAsia="Arial" w:hAnsi="Arial"/>
          <w:b w:val="false"/>
          <w:bCs w:val="false"/>
          <w:i w:val="false"/>
          <w:iCs w:val="false"/>
          <w:color w:val="000000"/>
          <w:sz w:val="24"/>
          <w:szCs w:val="24"/>
          <w:rtl/>
        </w:rPr>
        <w:footnoteReference w:id="21"/>
      </w:r>
      <w:r>
        <w:rPr>
          <w:rFonts w:ascii="Arial" w:cs="Arial" w:eastAsia="Arial" w:hAnsi="Arial"/>
          <w:b w:val="false"/>
          <w:bCs w:val="false"/>
          <w:i w:val="false"/>
          <w:iCs w:val="false"/>
          <w:color w:val="000000"/>
          <w:sz w:val="24"/>
          <w:szCs w:val="24"/>
          <w:rtl/>
        </w:rPr>
        <w:t xml:space="preserve"> השקעים מסמנים את קווי הגזירה של המערכת, ולא רק את השפלים שבין הרכסים.</w:t>
      </w:r>
    </w:p>
    <w:p>
      <w:pPr>
        <w:bidi/>
        <w:spacing w:after="120" w:line="360" w:lineRule="auto"/>
        <w:jc w:val="both"/>
      </w:pPr>
      <w:r>
        <w:rPr>
          <w:rFonts w:ascii="Arial" w:cs="Arial" w:eastAsia="Arial" w:hAnsi="Arial"/>
          <w:b w:val="false"/>
          <w:bCs w:val="false"/>
          <w:i w:val="false"/>
          <w:iCs w:val="false"/>
          <w:color w:val="000000"/>
          <w:sz w:val="24"/>
          <w:szCs w:val="24"/>
          <w:rtl/>
        </w:rPr>
        <w:t xml:space="preserve">מערכת השקעים אינה סימטרית סביב המנסרה. מצפון תוחם אותה שקע מטפן, העובר למרגלות המדרון היבשתי האגאי.</w:t>
      </w:r>
      <w:r>
        <w:rPr>
          <w:rStyle w:val="FootnoteReference"/>
          <w:rFonts w:ascii="Arial" w:cs="Arial" w:eastAsia="Arial" w:hAnsi="Arial"/>
          <w:b w:val="false"/>
          <w:bCs w:val="false"/>
          <w:i w:val="false"/>
          <w:iCs w:val="false"/>
          <w:color w:val="000000"/>
          <w:sz w:val="24"/>
          <w:szCs w:val="24"/>
          <w:rtl/>
        </w:rPr>
        <w:footnoteReference w:id="22"/>
      </w:r>
      <w:r>
        <w:rPr>
          <w:rFonts w:ascii="Arial" w:cs="Arial" w:eastAsia="Arial" w:hAnsi="Arial"/>
          <w:b w:val="false"/>
          <w:bCs w:val="false"/>
          <w:i w:val="false"/>
          <w:iCs w:val="false"/>
          <w:color w:val="000000"/>
          <w:sz w:val="24"/>
          <w:szCs w:val="24"/>
          <w:rtl/>
        </w:rPr>
        <w:t xml:space="preserve"> מדרום, מול המדרון הלובי התלול, אין שקע כלל, אלא תעלה צרה ושטוחת-קרקעית בעומק ממוצע של כ-2,800 מטר.</w:t>
      </w:r>
      <w:r>
        <w:rPr>
          <w:rStyle w:val="FootnoteReference"/>
          <w:rFonts w:ascii="Arial" w:cs="Arial" w:eastAsia="Arial" w:hAnsi="Arial"/>
          <w:b w:val="false"/>
          <w:bCs w:val="false"/>
          <w:i w:val="false"/>
          <w:iCs w:val="false"/>
          <w:color w:val="000000"/>
          <w:sz w:val="24"/>
          <w:szCs w:val="24"/>
          <w:rtl/>
        </w:rPr>
        <w:footnoteReference w:id="23"/>
      </w:r>
      <w:r>
        <w:rPr>
          <w:rFonts w:ascii="Arial" w:cs="Arial" w:eastAsia="Arial" w:hAnsi="Arial"/>
          <w:b w:val="false"/>
          <w:bCs w:val="false"/>
          <w:i w:val="false"/>
          <w:iCs w:val="false"/>
          <w:color w:val="000000"/>
          <w:sz w:val="24"/>
          <w:szCs w:val="24"/>
          <w:rtl/>
        </w:rPr>
        <w:t xml:space="preserve"> השקעים העמוקים מצויים רק בצידה הפנימי של המנסרה, ולא בחזיתה.</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4. מנסרת ההצטברות של הקשת: מורפולוגיה וגיאומטריה</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4.1 ממדי המנסרה ושונותם</w:t>
      </w:r>
    </w:p>
    <w:p>
      <w:pPr>
        <w:bidi/>
        <w:spacing w:after="120" w:line="360" w:lineRule="auto"/>
        <w:jc w:val="both"/>
      </w:pPr>
      <w:r>
        <w:rPr>
          <w:rFonts w:ascii="Arial" w:cs="Arial" w:eastAsia="Arial" w:hAnsi="Arial"/>
          <w:b w:val="false"/>
          <w:bCs w:val="false"/>
          <w:i w:val="false"/>
          <w:iCs w:val="false"/>
          <w:color w:val="000000"/>
          <w:sz w:val="24"/>
          <w:szCs w:val="24"/>
          <w:rtl/>
        </w:rPr>
        <w:t xml:space="preserve">מנסרת ים התיכון היא המבנה המורפולוגי הבולט ביותר של הים התיכון המזרחי.</w:t>
      </w:r>
      <w:r>
        <w:rPr>
          <w:rStyle w:val="FootnoteReference"/>
          <w:rFonts w:ascii="Arial" w:cs="Arial" w:eastAsia="Arial" w:hAnsi="Arial"/>
          <w:b w:val="false"/>
          <w:bCs w:val="false"/>
          <w:i w:val="false"/>
          <w:iCs w:val="false"/>
          <w:color w:val="000000"/>
          <w:sz w:val="24"/>
          <w:szCs w:val="24"/>
          <w:rtl/>
        </w:rPr>
        <w:footnoteReference w:id="24"/>
      </w:r>
      <w:r>
        <w:rPr>
          <w:rFonts w:ascii="Arial" w:cs="Arial" w:eastAsia="Arial" w:hAnsi="Arial"/>
          <w:b w:val="false"/>
          <w:bCs w:val="false"/>
          <w:i w:val="false"/>
          <w:iCs w:val="false"/>
          <w:color w:val="000000"/>
          <w:sz w:val="24"/>
          <w:szCs w:val="24"/>
          <w:rtl/>
        </w:rPr>
        <w:t xml:space="preserve"> המיפוי הרב-קרני והפרופילים הסיסמיים שנאספו בעשור שקדם למחקר אפשרו למדוד את ממדיה לאורך הקשת.</w:t>
      </w:r>
      <w:r>
        <w:rPr>
          <w:rStyle w:val="FootnoteReference"/>
          <w:rFonts w:ascii="Arial" w:cs="Arial" w:eastAsia="Arial" w:hAnsi="Arial"/>
          <w:b w:val="false"/>
          <w:bCs w:val="false"/>
          <w:i w:val="false"/>
          <w:iCs w:val="false"/>
          <w:color w:val="000000"/>
          <w:sz w:val="24"/>
          <w:szCs w:val="24"/>
          <w:rtl/>
        </w:rPr>
        <w:footnoteReference w:id="25"/>
      </w:r>
      <w:r>
        <w:rPr>
          <w:rFonts w:ascii="Arial" w:cs="Arial" w:eastAsia="Arial" w:hAnsi="Arial"/>
          <w:b w:val="false"/>
          <w:bCs w:val="false"/>
          <w:i w:val="false"/>
          <w:iCs w:val="false"/>
          <w:color w:val="000000"/>
          <w:sz w:val="24"/>
          <w:szCs w:val="24"/>
          <w:rtl/>
        </w:rPr>
        <w:t xml:space="preserve"> פסגת המנסרה נמצאת ברמת אנטאוס שמצפון לקירנאיקה, בעומק מים של פחות מ-1,250 מטר, ואילו הזרועות היונית והלבנטינית יורדות לעומקים של כ-3,200 וכ-2,200 מטר.</w:t>
      </w:r>
      <w:r>
        <w:rPr>
          <w:rStyle w:val="FootnoteReference"/>
          <w:rFonts w:ascii="Arial" w:cs="Arial" w:eastAsia="Arial" w:hAnsi="Arial"/>
          <w:b w:val="false"/>
          <w:bCs w:val="false"/>
          <w:i w:val="false"/>
          <w:iCs w:val="false"/>
          <w:color w:val="000000"/>
          <w:sz w:val="24"/>
          <w:szCs w:val="24"/>
          <w:rtl/>
        </w:rPr>
        <w:footnoteReference w:id="26"/>
      </w:r>
      <w:r>
        <w:rPr>
          <w:rFonts w:ascii="Arial" w:cs="Arial" w:eastAsia="Arial" w:hAnsi="Arial"/>
          <w:b w:val="false"/>
          <w:bCs w:val="false"/>
          <w:i w:val="false"/>
          <w:iCs w:val="false"/>
          <w:color w:val="000000"/>
          <w:sz w:val="24"/>
          <w:szCs w:val="24"/>
          <w:rtl/>
        </w:rPr>
        <w:t xml:space="preserve"> גם הרוחב אינו אחיד. מול המישור התהומי היוני רוחב המנסרה מגיע לכ-200 ק"מ, ובקטע שבין מרכז כרתים ללוב הוא מצטמצם לכ-130 ק"מ בלבד.</w:t>
      </w:r>
      <w:r>
        <w:rPr>
          <w:rStyle w:val="FootnoteReference"/>
          <w:rFonts w:ascii="Arial" w:cs="Arial" w:eastAsia="Arial" w:hAnsi="Arial"/>
          <w:b w:val="false"/>
          <w:bCs w:val="false"/>
          <w:i w:val="false"/>
          <w:iCs w:val="false"/>
          <w:color w:val="000000"/>
          <w:sz w:val="24"/>
          <w:szCs w:val="24"/>
          <w:rtl/>
        </w:rPr>
        <w:footnoteReference w:id="27"/>
      </w:r>
      <w:r>
        <w:rPr>
          <w:rFonts w:ascii="Arial" w:cs="Arial" w:eastAsia="Arial" w:hAnsi="Arial"/>
          <w:b w:val="false"/>
          <w:bCs w:val="false"/>
          <w:i w:val="false"/>
          <w:iCs w:val="false"/>
          <w:color w:val="000000"/>
          <w:sz w:val="24"/>
          <w:szCs w:val="24"/>
          <w:rtl/>
        </w:rPr>
        <w:t xml:space="preserve"> איור 1 מציג את מבנה המערכת כולה. השונות הזו לאורך הקשת דורשת הסבר, והיא עומדת במרכז הפרקים הבאים.</w:t>
      </w:r>
    </w:p>
    <w:p>
      <w:pPr>
        <w:spacing w:after="40" w:before="140"/>
        <w:jc w:val="center"/>
      </w:pPr>
      <w:r>
        <w:drawing>
          <wp:inline distT="0" distB="0" distL="0" distR="0">
            <wp:extent cx="3384000" cy="27774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84000" cy="2777433"/>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1: מפה סכמטית של מערכת הקשת ההלנית. במפה נראים לוח הים האגאי, הקשת הגעשית הפעילה, והקשת החיצונית הלא-געשית (כרתים ורודוס). בחזית מסומנת מנסרת ההצטברות של ים התיכון בקו הצהוב המשונן, ומצפון לה מערכת השקעים (השקע ההלני, פליני וסטראבו). שני דברים חשובים לראות באיור. הראשון הוא הרוחב המשתנה של המנסרה לאורך הקשת. השני הוא מיקום השקעים בין קשת האיים לגוף המנסרה, ולא בחזיתה כמקובל בשקעי הפחתה קלאסיים. מקור: Mikenorton, Wikimedia Commons (CC BY-SA 3.0).</w:t>
      </w:r>
      <w:r>
        <w:rPr>
          <w:rStyle w:val="FootnoteReference"/>
          <w:rFonts w:ascii="Arial" w:cs="Arial" w:eastAsia="Arial" w:hAnsi="Arial"/>
          <w:b w:val="false"/>
          <w:bCs w:val="false"/>
          <w:i/>
          <w:iCs/>
          <w:color w:val="000000"/>
          <w:sz w:val="22"/>
          <w:szCs w:val="22"/>
          <w:rtl/>
        </w:rPr>
        <w:footnoteReference w:id="28"/>
      </w:r>
    </w:p>
    <w:p>
      <w:pPr>
        <w:bidi/>
        <w:spacing w:after="80" w:before="200" w:line="360" w:lineRule="auto"/>
        <w:jc w:val="right"/>
      </w:pPr>
      <w:r>
        <w:rPr>
          <w:rFonts w:ascii="Arial" w:cs="Arial" w:eastAsia="Arial" w:hAnsi="Arial"/>
          <w:b/>
          <w:bCs/>
          <w:i w:val="false"/>
          <w:iCs w:val="false"/>
          <w:color w:val="000000"/>
          <w:sz w:val="24"/>
          <w:szCs w:val="24"/>
          <w:u w:val="single"/>
          <w:rtl/>
        </w:rPr>
        <w:t xml:space="preserve">4.2 חלוקה מורפוסטרוקטורלית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בחתך צפון–דרום מתחלקת המנסרה לשלוש פרובינציות מורפוסטרוקטורליות.</w:t>
      </w:r>
      <w:r>
        <w:rPr>
          <w:rStyle w:val="FootnoteReference"/>
          <w:rFonts w:ascii="Arial" w:cs="Arial" w:eastAsia="Arial" w:hAnsi="Arial"/>
          <w:b w:val="false"/>
          <w:bCs w:val="false"/>
          <w:i w:val="false"/>
          <w:iCs w:val="false"/>
          <w:color w:val="000000"/>
          <w:sz w:val="24"/>
          <w:szCs w:val="24"/>
          <w:rtl/>
        </w:rPr>
        <w:footnoteReference w:id="29"/>
      </w:r>
      <w:r>
        <w:rPr>
          <w:rFonts w:ascii="Arial" w:cs="Arial" w:eastAsia="Arial" w:hAnsi="Arial"/>
          <w:b w:val="false"/>
          <w:bCs w:val="false"/>
          <w:i w:val="false"/>
          <w:iCs w:val="false"/>
          <w:color w:val="000000"/>
          <w:sz w:val="24"/>
          <w:szCs w:val="24"/>
          <w:rtl/>
        </w:rPr>
        <w:t xml:space="preserve"> הפרובינציה החיצונית היא חזית מקומטת הפונה אל המישורים התהומיים. הפרובינציה המרכזית שטוחה כמעט לחלוטין. הפרובינציה הצפונית נמצאת במגע של דחיפה לאחור (backthrust) עם האזור הפנימי המשתרע דרומית לתעלות העמוקות. חלוקה זו זוהתה תחילה בזרוע המערבית, ופרובינציות דומות זוהו גם בזרועות המרכזית והלבנטינית.</w:t>
      </w:r>
      <w:r>
        <w:rPr>
          <w:rStyle w:val="FootnoteReference"/>
          <w:rFonts w:ascii="Arial" w:cs="Arial" w:eastAsia="Arial" w:hAnsi="Arial"/>
          <w:b w:val="false"/>
          <w:bCs w:val="false"/>
          <w:i w:val="false"/>
          <w:iCs w:val="false"/>
          <w:color w:val="000000"/>
          <w:sz w:val="24"/>
          <w:szCs w:val="24"/>
          <w:rtl/>
        </w:rPr>
        <w:footnoteReference w:id="30"/>
      </w:r>
    </w:p>
    <w:p>
      <w:pPr>
        <w:bidi/>
        <w:spacing w:after="120" w:line="360" w:lineRule="auto"/>
        <w:jc w:val="both"/>
      </w:pPr>
      <w:r>
        <w:rPr>
          <w:rFonts w:ascii="Arial" w:cs="Arial" w:eastAsia="Arial" w:hAnsi="Arial"/>
          <w:b w:val="false"/>
          <w:bCs w:val="false"/>
          <w:i w:val="false"/>
          <w:iCs w:val="false"/>
          <w:color w:val="000000"/>
          <w:sz w:val="24"/>
          <w:szCs w:val="24"/>
          <w:rtl/>
        </w:rPr>
        <w:t xml:space="preserve">לאורך הקשת נבדלות שלוש זרועות: המערבית (היונית), המרכזית (מדרום לכרתים) והמזרחית (הלבנטינית). ההבדלים ביניהן משקפים את הקינמטיקה המשתנה שתוארה בפרק 2.2, וגם את פיזור שכבות המלח. הקמטים בחזית המנסרה הדוקים היכן שהאוורית דקה, במיוחד בקטע שבין כרתים ללוב, והם מתרחבים בהדרגה לעבר הזרועות הלבנטינית והיונית ככל שהאוורית מתעבה.</w:t>
      </w:r>
      <w:r>
        <w:rPr>
          <w:rStyle w:val="FootnoteReference"/>
          <w:rFonts w:ascii="Arial" w:cs="Arial" w:eastAsia="Arial" w:hAnsi="Arial"/>
          <w:b w:val="false"/>
          <w:bCs w:val="false"/>
          <w:i w:val="false"/>
          <w:iCs w:val="false"/>
          <w:color w:val="000000"/>
          <w:sz w:val="24"/>
          <w:szCs w:val="24"/>
          <w:rtl/>
        </w:rPr>
        <w:footnoteReference w:id="31"/>
      </w:r>
      <w:r>
        <w:rPr>
          <w:rFonts w:ascii="Arial" w:cs="Arial" w:eastAsia="Arial" w:hAnsi="Arial"/>
          <w:b w:val="false"/>
          <w:bCs w:val="false"/>
          <w:i w:val="false"/>
          <w:iCs w:val="false"/>
          <w:color w:val="000000"/>
          <w:sz w:val="24"/>
          <w:szCs w:val="24"/>
          <w:rtl/>
        </w:rPr>
        <w:t xml:space="preserve"> המתאם הישיר בין עובי המלח לסגנון הקימוט הוא הרמז הראשון לתפקידו המכני של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4.3 ה-Backstop והגבול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בצידה הפנימי של המנסרה ניצב ה-Backstop ההלני. זהו גוף קשיח המתפקד כ"סדן" מכני בעל צורה מורכבת, שאליו נדחסים משקעי המנסרה.</w:t>
      </w:r>
      <w:r>
        <w:rPr>
          <w:rStyle w:val="FootnoteReference"/>
          <w:rFonts w:ascii="Arial" w:cs="Arial" w:eastAsia="Arial" w:hAnsi="Arial"/>
          <w:b w:val="false"/>
          <w:bCs w:val="false"/>
          <w:i w:val="false"/>
          <w:iCs w:val="false"/>
          <w:color w:val="000000"/>
          <w:sz w:val="24"/>
          <w:szCs w:val="24"/>
          <w:rtl/>
        </w:rPr>
        <w:footnoteReference w:id="32"/>
      </w:r>
      <w:r>
        <w:rPr>
          <w:rFonts w:ascii="Arial" w:cs="Arial" w:eastAsia="Arial" w:hAnsi="Arial"/>
          <w:b w:val="false"/>
          <w:bCs w:val="false"/>
          <w:i w:val="false"/>
          <w:iCs w:val="false"/>
          <w:color w:val="000000"/>
          <w:sz w:val="24"/>
          <w:szCs w:val="24"/>
          <w:rtl/>
        </w:rPr>
        <w:t xml:space="preserve"> גבולו הדרומי מותווה על סמך הניגוד בעוצמת ההחזר האקוסטי בין המנסרה לבין ה-Backstop. גבול זה מצטייר בצורת "W" מורכבת.</w:t>
      </w:r>
      <w:r>
        <w:rPr>
          <w:rStyle w:val="FootnoteReference"/>
          <w:rFonts w:ascii="Arial" w:cs="Arial" w:eastAsia="Arial" w:hAnsi="Arial"/>
          <w:b w:val="false"/>
          <w:bCs w:val="false"/>
          <w:i w:val="false"/>
          <w:iCs w:val="false"/>
          <w:color w:val="000000"/>
          <w:sz w:val="24"/>
          <w:szCs w:val="24"/>
          <w:rtl/>
        </w:rPr>
        <w:footnoteReference w:id="33"/>
      </w:r>
      <w:r>
        <w:rPr>
          <w:rFonts w:ascii="Arial" w:cs="Arial" w:eastAsia="Arial" w:hAnsi="Arial"/>
          <w:b w:val="false"/>
          <w:bCs w:val="false"/>
          <w:i w:val="false"/>
          <w:iCs w:val="false"/>
          <w:color w:val="000000"/>
          <w:sz w:val="24"/>
          <w:szCs w:val="24"/>
          <w:rtl/>
        </w:rPr>
        <w:t xml:space="preserve"> יחידות המנסרה נדחפות באופן שיטתי מעל ה-Backstop, עם עדויות ברורות לגזירה ימנית לאורך המגע בזרוע המערבית.</w:t>
      </w:r>
      <w:r>
        <w:rPr>
          <w:rStyle w:val="FootnoteReference"/>
          <w:rFonts w:ascii="Arial" w:cs="Arial" w:eastAsia="Arial" w:hAnsi="Arial"/>
          <w:b w:val="false"/>
          <w:bCs w:val="false"/>
          <w:i w:val="false"/>
          <w:iCs w:val="false"/>
          <w:color w:val="000000"/>
          <w:sz w:val="24"/>
          <w:szCs w:val="24"/>
          <w:rtl/>
        </w:rPr>
        <w:footnoteReference w:id="34"/>
      </w:r>
      <w:r>
        <w:rPr>
          <w:rFonts w:ascii="Arial" w:cs="Arial" w:eastAsia="Arial" w:hAnsi="Arial"/>
          <w:b w:val="false"/>
          <w:bCs w:val="false"/>
          <w:i w:val="false"/>
          <w:iCs w:val="false"/>
          <w:color w:val="000000"/>
          <w:sz w:val="24"/>
          <w:szCs w:val="24"/>
          <w:rtl/>
        </w:rPr>
        <w:t xml:space="preserve"> קו מגע זה, כפי שיוצג בהמשך, הוא גם מוקד הפעילות הפנימית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באזור ההתנגשות העיקרי, שבין לוב לכרתים, המצב קיצוני אף יותר. שם כבר נבלע המישור התהומי כולו בהפחתה. המנסרה נדחפת דרומה אל מעל השוליים הלוביים, ובמקביל נדחפת לאחור צפונה אל מעל שולי כרתים.</w:t>
      </w:r>
      <w:r>
        <w:rPr>
          <w:rStyle w:val="FootnoteReference"/>
          <w:rFonts w:ascii="Arial" w:cs="Arial" w:eastAsia="Arial" w:hAnsi="Arial"/>
          <w:b w:val="false"/>
          <w:bCs w:val="false"/>
          <w:i w:val="false"/>
          <w:iCs w:val="false"/>
          <w:color w:val="000000"/>
          <w:sz w:val="24"/>
          <w:szCs w:val="24"/>
          <w:rtl/>
        </w:rPr>
        <w:footnoteReference w:id="35"/>
      </w:r>
      <w:r>
        <w:rPr>
          <w:rFonts w:ascii="Arial" w:cs="Arial" w:eastAsia="Arial" w:hAnsi="Arial"/>
          <w:b w:val="false"/>
          <w:bCs w:val="false"/>
          <w:i w:val="false"/>
          <w:iCs w:val="false"/>
          <w:color w:val="000000"/>
          <w:sz w:val="24"/>
          <w:szCs w:val="24"/>
          <w:rtl/>
        </w:rPr>
        <w:t xml:space="preserve"> זהו הביטוי המבני של תחילת ההתנגשות, והוא מסביר מדוע דווקא הזרוע המרכזית היא הצרה והמעוותת ביותר.</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5. תהליכים: הצטברות, מאזן מסה ותפקיד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5.1 מאזן מסה וקצבי צמיחה</w:t>
      </w:r>
    </w:p>
    <w:p>
      <w:pPr>
        <w:bidi/>
        <w:spacing w:after="120" w:line="360" w:lineRule="auto"/>
        <w:jc w:val="both"/>
      </w:pPr>
      <w:r>
        <w:rPr>
          <w:rFonts w:ascii="Arial" w:cs="Arial" w:eastAsia="Arial" w:hAnsi="Arial"/>
          <w:b w:val="false"/>
          <w:bCs w:val="false"/>
          <w:i w:val="false"/>
          <w:iCs w:val="false"/>
          <w:color w:val="000000"/>
          <w:sz w:val="24"/>
          <w:szCs w:val="24"/>
          <w:rtl/>
        </w:rPr>
        <w:t xml:space="preserve">Kopf et al. (2003)</w:t>
      </w:r>
      <w:r>
        <w:rPr>
          <w:rStyle w:val="FootnoteReference"/>
          <w:rFonts w:ascii="Arial" w:cs="Arial" w:eastAsia="Arial" w:hAnsi="Arial"/>
          <w:b w:val="false"/>
          <w:bCs w:val="false"/>
          <w:i w:val="false"/>
          <w:iCs w:val="false"/>
          <w:color w:val="000000"/>
          <w:sz w:val="24"/>
          <w:szCs w:val="24"/>
          <w:rtl/>
        </w:rPr>
        <w:footnoteReference w:id="36"/>
      </w:r>
      <w:r>
        <w:rPr>
          <w:rFonts w:ascii="Arial" w:cs="Arial" w:eastAsia="Arial" w:hAnsi="Arial"/>
          <w:b w:val="false"/>
          <w:bCs w:val="false"/>
          <w:i w:val="false"/>
          <w:iCs w:val="false"/>
          <w:color w:val="000000"/>
          <w:sz w:val="24"/>
          <w:szCs w:val="24"/>
          <w:rtl/>
        </w:rPr>
        <w:t xml:space="preserve"> ביצעו איזון נפחי בין כמות המשקעים הנצברת לזו הנבלעת בהפחתה. הניתוח התבסס על ארבעה חתכים סיסמיים לרוחב המנסרה, שעברו עיבוד של הגירת עומק. עלו ממנו שלושה תרחישי דפורמציה שונים לאורך הקשת. במערב מדובר בקפיצה של מישור הניתוק (décollement), בקטע המרכזי שבין לוב לכרתים בדחיפה לאחור עזה, ובמזרח בטקטוניקה אופקית (transcurrent).</w:t>
      </w:r>
      <w:r>
        <w:rPr>
          <w:rStyle w:val="FootnoteReference"/>
          <w:rFonts w:ascii="Arial" w:cs="Arial" w:eastAsia="Arial" w:hAnsi="Arial"/>
          <w:b w:val="false"/>
          <w:bCs w:val="false"/>
          <w:i w:val="false"/>
          <w:iCs w:val="false"/>
          <w:color w:val="000000"/>
          <w:sz w:val="24"/>
          <w:szCs w:val="24"/>
          <w:rtl/>
        </w:rPr>
        <w:footnoteReference w:id="37"/>
      </w:r>
      <w:r>
        <w:rPr>
          <w:rFonts w:ascii="Arial" w:cs="Arial" w:eastAsia="Arial" w:hAnsi="Arial"/>
          <w:b w:val="false"/>
          <w:bCs w:val="false"/>
          <w:i w:val="false"/>
          <w:iCs w:val="false"/>
          <w:color w:val="000000"/>
          <w:sz w:val="24"/>
          <w:szCs w:val="24"/>
          <w:rtl/>
        </w:rPr>
        <w:t xml:space="preserve"> לא מדובר במערכת אחידה אחת, אלא בשלוש מערכות דפורמציה הפועלות זו לצד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שיעור ההצטברות משתנה בין אזורי המנסרה. הערך הנמוך ביותר, 20% עד 25% בלבד מסך אספקת המשקעים, נמדד דווקא בקטע המרכזי שבו המנסרה סובלת מהדפורמציה המרבית, ושאר החומר ממשיך לשקוע עם הלוח.</w:t>
      </w:r>
      <w:r>
        <w:rPr>
          <w:rStyle w:val="FootnoteReference"/>
          <w:rFonts w:ascii="Arial" w:cs="Arial" w:eastAsia="Arial" w:hAnsi="Arial"/>
          <w:b w:val="false"/>
          <w:bCs w:val="false"/>
          <w:i w:val="false"/>
          <w:iCs w:val="false"/>
          <w:color w:val="000000"/>
          <w:sz w:val="24"/>
          <w:szCs w:val="24"/>
          <w:rtl/>
        </w:rPr>
        <w:footnoteReference w:id="38"/>
      </w:r>
      <w:r>
        <w:rPr>
          <w:rFonts w:ascii="Arial" w:cs="Arial" w:eastAsia="Arial" w:hAnsi="Arial"/>
          <w:b w:val="false"/>
          <w:bCs w:val="false"/>
          <w:i w:val="false"/>
          <w:iCs w:val="false"/>
          <w:color w:val="000000"/>
          <w:sz w:val="24"/>
          <w:szCs w:val="24"/>
          <w:rtl/>
        </w:rPr>
        <w:t xml:space="preserve"> למרות זאת המנסרה מוגדרת כטריז המתרחב כלפי חוץ במהירות הגבוהה ביותר בהיסטוריה הגיאולוגית העדכנית, בקצב של עד 10 ק"מ למיליון שנה.</w:t>
      </w:r>
      <w:r>
        <w:rPr>
          <w:rStyle w:val="FootnoteReference"/>
          <w:rFonts w:ascii="Arial" w:cs="Arial" w:eastAsia="Arial" w:hAnsi="Arial"/>
          <w:b w:val="false"/>
          <w:bCs w:val="false"/>
          <w:i w:val="false"/>
          <w:iCs w:val="false"/>
          <w:color w:val="000000"/>
          <w:sz w:val="24"/>
          <w:szCs w:val="24"/>
          <w:rtl/>
        </w:rPr>
        <w:footnoteReference w:id="39"/>
      </w:r>
      <w:r>
        <w:rPr>
          <w:rFonts w:ascii="Arial" w:cs="Arial" w:eastAsia="Arial" w:hAnsi="Arial"/>
          <w:b w:val="false"/>
          <w:bCs w:val="false"/>
          <w:i w:val="false"/>
          <w:iCs w:val="false"/>
          <w:color w:val="000000"/>
          <w:sz w:val="24"/>
          <w:szCs w:val="24"/>
          <w:rtl/>
        </w:rPr>
        <w:t xml:space="preserve"> שטף ההפחתה בקצה המזרחי מגיע לכ-50 קמ"ק של סלע לכל קילומטר אורך של השקע מדי מיליון שנה, והוא נמצא בגבול העליון של הערכים המוכרים בעולם.</w:t>
      </w:r>
      <w:r>
        <w:rPr>
          <w:rStyle w:val="FootnoteReference"/>
          <w:rFonts w:ascii="Arial" w:cs="Arial" w:eastAsia="Arial" w:hAnsi="Arial"/>
          <w:b w:val="false"/>
          <w:bCs w:val="false"/>
          <w:i w:val="false"/>
          <w:iCs w:val="false"/>
          <w:color w:val="000000"/>
          <w:sz w:val="24"/>
          <w:szCs w:val="24"/>
          <w:rtl/>
        </w:rPr>
        <w:footnoteReference w:id="40"/>
      </w:r>
      <w:r>
        <w:rPr>
          <w:rFonts w:ascii="Arial" w:cs="Arial" w:eastAsia="Arial" w:hAnsi="Arial"/>
          <w:b w:val="false"/>
          <w:bCs w:val="false"/>
          <w:i w:val="false"/>
          <w:iCs w:val="false"/>
          <w:color w:val="000000"/>
          <w:sz w:val="24"/>
          <w:szCs w:val="24"/>
          <w:rtl/>
        </w:rPr>
        <w:t xml:space="preserve"> הנתונים האלה ממחישים את עוצמת המערכת הסדימנטרית באזור.</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5.2 האוורית המסינית כמישור ניתוק</w:t>
      </w:r>
    </w:p>
    <w:p>
      <w:pPr>
        <w:bidi/>
        <w:spacing w:after="120" w:line="360" w:lineRule="auto"/>
        <w:jc w:val="both"/>
      </w:pPr>
      <w:r>
        <w:rPr>
          <w:rFonts w:ascii="Arial" w:cs="Arial" w:eastAsia="Arial" w:hAnsi="Arial"/>
          <w:b w:val="false"/>
          <w:bCs w:val="false"/>
          <w:i w:val="false"/>
          <w:iCs w:val="false"/>
          <w:color w:val="000000"/>
          <w:sz w:val="24"/>
          <w:szCs w:val="24"/>
          <w:rtl/>
        </w:rPr>
        <w:t xml:space="preserve">הגורם המכריע בסגנון הדפורמציה הוא שכבות האוורית המסיניות. חגורת הקמטים בחזית המנסרה בנויה מקמרים וקערים המושרשים במלח, והם מתפתחים מעל מישור ניתוק החופף את בסיס שכבות האוורית.</w:t>
      </w:r>
      <w:r>
        <w:rPr>
          <w:rStyle w:val="FootnoteReference"/>
          <w:rFonts w:ascii="Arial" w:cs="Arial" w:eastAsia="Arial" w:hAnsi="Arial"/>
          <w:b w:val="false"/>
          <w:bCs w:val="false"/>
          <w:i w:val="false"/>
          <w:iCs w:val="false"/>
          <w:color w:val="000000"/>
          <w:sz w:val="24"/>
          <w:szCs w:val="24"/>
          <w:rtl/>
        </w:rPr>
        <w:footnoteReference w:id="41"/>
      </w:r>
      <w:r>
        <w:rPr>
          <w:rFonts w:ascii="Arial" w:cs="Arial" w:eastAsia="Arial" w:hAnsi="Arial"/>
          <w:b w:val="false"/>
          <w:bCs w:val="false"/>
          <w:i w:val="false"/>
          <w:iCs w:val="false"/>
          <w:color w:val="000000"/>
          <w:sz w:val="24"/>
          <w:szCs w:val="24"/>
          <w:rtl/>
        </w:rPr>
        <w:t xml:space="preserve"> "הטריז המסיני", כלומר חלק המנסרה שמשלב אוורית שהושקעה בתעלת ההפחתה, אינו עולה ברוחבו על 80 ק"מ בזרוע המערבית.</w:t>
      </w:r>
      <w:r>
        <w:rPr>
          <w:rStyle w:val="FootnoteReference"/>
          <w:rFonts w:ascii="Arial" w:cs="Arial" w:eastAsia="Arial" w:hAnsi="Arial"/>
          <w:b w:val="false"/>
          <w:bCs w:val="false"/>
          <w:i w:val="false"/>
          <w:iCs w:val="false"/>
          <w:color w:val="000000"/>
          <w:sz w:val="24"/>
          <w:szCs w:val="24"/>
          <w:rtl/>
        </w:rPr>
        <w:footnoteReference w:id="42"/>
      </w:r>
      <w:r>
        <w:rPr>
          <w:rFonts w:ascii="Arial" w:cs="Arial" w:eastAsia="Arial" w:hAnsi="Arial"/>
          <w:b w:val="false"/>
          <w:bCs w:val="false"/>
          <w:i w:val="false"/>
          <w:iCs w:val="false"/>
          <w:color w:val="000000"/>
          <w:sz w:val="24"/>
          <w:szCs w:val="24"/>
          <w:rtl/>
        </w:rPr>
        <w:t xml:space="preserve"> שאר המנסרה בנוי ממשקעים מיוקניים שנצברו בשלביה המוקדמים. המלח שולט בסגנון הדפורמציה של החלק החיצוני והצעיר של המנסרה. איור 2 מציג את רצף האוורית כפי שהוא נראה בחתכים סיסמיים.</w:t>
      </w:r>
    </w:p>
    <w:p>
      <w:pPr>
        <w:spacing w:after="40" w:before="140"/>
        <w:jc w:val="center"/>
      </w:pPr>
      <w:r>
        <w:drawing>
          <wp:inline distT="0" distB="0" distL="0" distR="0">
            <wp:extent cx="4536000" cy="35260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36000" cy="3526098"/>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2: פרופילים סיסמיים המציגים את רצף האוורית המסינית (Unit 2, על תת-יחידותיו 2a–2e). משמאל הים התיכון המזרחי (אגן אנטליה הדרומי), ומימין הים התיכון המערבי (אגן סרדו-פרובנסל). המחזירים TS/TES ו-BS/BES מסמנים את גג הרצף ואת בסיסו בהתאמה. הרצף נראה כיחידה רציפה ומובחנת בעלת החזרים חזקים, החוצצת בין המשקעים שמעליה (Unit 1) לבין הרצף הפרה-מסיני שמתחתיה (Unit 3). שכבות מסוג זה, המצויות גם בחתך המנסרה, משמשות מישור ניתוק בבסיס חגורת הקמטים. מקור: Güneş et al. (2018), איור 21, עמ' 315.</w:t>
      </w:r>
      <w:r>
        <w:rPr>
          <w:rStyle w:val="FootnoteReference"/>
          <w:rFonts w:ascii="Arial" w:cs="Arial" w:eastAsia="Arial" w:hAnsi="Arial"/>
          <w:b w:val="false"/>
          <w:bCs w:val="false"/>
          <w:i/>
          <w:iCs/>
          <w:color w:val="000000"/>
          <w:sz w:val="22"/>
          <w:szCs w:val="22"/>
          <w:rtl/>
        </w:rPr>
        <w:footnoteReference w:id="43"/>
      </w:r>
    </w:p>
    <w:p>
      <w:pPr>
        <w:bidi/>
        <w:spacing w:after="120" w:line="360" w:lineRule="auto"/>
        <w:jc w:val="both"/>
      </w:pPr>
      <w:r>
        <w:rPr>
          <w:rFonts w:ascii="Arial" w:cs="Arial" w:eastAsia="Arial" w:hAnsi="Arial"/>
          <w:b w:val="false"/>
          <w:bCs w:val="false"/>
          <w:i w:val="false"/>
          <w:iCs w:val="false"/>
          <w:color w:val="000000"/>
          <w:sz w:val="24"/>
          <w:szCs w:val="24"/>
          <w:rtl/>
        </w:rPr>
        <w:t xml:space="preserve">השפעת המלח בולטת בכל קנה מידה. בתחום הצירי (האקסיאלי) של המנסרה לא נמצאו שכבות אוורית משמעותיות, והתוצאה היא תבנית מורפוסטרוקטורלית שונה לחלוטין.</w:t>
      </w:r>
      <w:r>
        <w:rPr>
          <w:rStyle w:val="FootnoteReference"/>
          <w:rFonts w:ascii="Arial" w:cs="Arial" w:eastAsia="Arial" w:hAnsi="Arial"/>
          <w:b w:val="false"/>
          <w:bCs w:val="false"/>
          <w:i w:val="false"/>
          <w:iCs w:val="false"/>
          <w:color w:val="000000"/>
          <w:sz w:val="24"/>
          <w:szCs w:val="24"/>
          <w:rtl/>
        </w:rPr>
        <w:footnoteReference w:id="44"/>
      </w:r>
      <w:r>
        <w:rPr>
          <w:rFonts w:ascii="Arial" w:cs="Arial" w:eastAsia="Arial" w:hAnsi="Arial"/>
          <w:b w:val="false"/>
          <w:bCs w:val="false"/>
          <w:i w:val="false"/>
          <w:iCs w:val="false"/>
          <w:color w:val="000000"/>
          <w:sz w:val="24"/>
          <w:szCs w:val="24"/>
          <w:rtl/>
        </w:rPr>
        <w:t xml:space="preserve"> הניגוד בין התחום הזה לבין השוליים עתירי-המלח הוא ההדגמה הישירה ביותר לתפקידו של המלח. פיזור האוורית הוא הגורם השולט בשונות המורפולוגית של המנסרה בציר צפון–דרום.</w:t>
      </w:r>
      <w:r>
        <w:rPr>
          <w:rStyle w:val="FootnoteReference"/>
          <w:rFonts w:ascii="Arial" w:cs="Arial" w:eastAsia="Arial" w:hAnsi="Arial"/>
          <w:b w:val="false"/>
          <w:bCs w:val="false"/>
          <w:i w:val="false"/>
          <w:iCs w:val="false"/>
          <w:color w:val="000000"/>
          <w:sz w:val="24"/>
          <w:szCs w:val="24"/>
          <w:rtl/>
        </w:rPr>
        <w:footnoteReference w:id="45"/>
      </w:r>
    </w:p>
    <w:p>
      <w:pPr>
        <w:bidi/>
        <w:spacing w:after="80" w:before="200" w:line="360" w:lineRule="auto"/>
        <w:jc w:val="right"/>
      </w:pPr>
      <w:r>
        <w:rPr>
          <w:rFonts w:ascii="Arial" w:cs="Arial" w:eastAsia="Arial" w:hAnsi="Arial"/>
          <w:b/>
          <w:bCs/>
          <w:i w:val="false"/>
          <w:iCs w:val="false"/>
          <w:color w:val="000000"/>
          <w:sz w:val="24"/>
          <w:szCs w:val="24"/>
          <w:u w:val="single"/>
          <w:rtl/>
        </w:rPr>
        <w:t xml:space="preserve">5.3 הרי בוץ וזרימת נוזלים</w:t>
      </w:r>
    </w:p>
    <w:p>
      <w:pPr>
        <w:bidi/>
        <w:spacing w:after="120" w:line="360" w:lineRule="auto"/>
        <w:jc w:val="both"/>
      </w:pPr>
      <w:r>
        <w:rPr>
          <w:rFonts w:ascii="Arial" w:cs="Arial" w:eastAsia="Arial" w:hAnsi="Arial"/>
          <w:b w:val="false"/>
          <w:bCs w:val="false"/>
          <w:i w:val="false"/>
          <w:iCs w:val="false"/>
          <w:color w:val="000000"/>
          <w:sz w:val="24"/>
          <w:szCs w:val="24"/>
          <w:rtl/>
        </w:rPr>
        <w:t xml:space="preserve">ביטוי מורפולוגי בולט לתהליכים הפנימיים במנסרה הוא הרי הבוץ. בתמונות האקוסטיות מזוהים כתמים עגלגלים בעלי החזר גבוה, המסודרים בחגורה לא-רציפה אך ברורה בגבול שבין הפרובינציה הצפונית של המנסרה לאזור ה-Backstop. מבנים אלה פורשו, על סמך דיגום ותצפיות ישירות, כהרי בוץ הפולטים אל קרקעית הים זרמי בוץ מסיביים, נוזלים ותמלחות.</w:t>
      </w:r>
      <w:r>
        <w:rPr>
          <w:rStyle w:val="FootnoteReference"/>
          <w:rFonts w:ascii="Arial" w:cs="Arial" w:eastAsia="Arial" w:hAnsi="Arial"/>
          <w:b w:val="false"/>
          <w:bCs w:val="false"/>
          <w:i w:val="false"/>
          <w:iCs w:val="false"/>
          <w:color w:val="000000"/>
          <w:sz w:val="24"/>
          <w:szCs w:val="24"/>
          <w:rtl/>
        </w:rPr>
        <w:footnoteReference w:id="46"/>
      </w:r>
      <w:r>
        <w:rPr>
          <w:rFonts w:ascii="Arial" w:cs="Arial" w:eastAsia="Arial" w:hAnsi="Arial"/>
          <w:b w:val="false"/>
          <w:bCs w:val="false"/>
          <w:i w:val="false"/>
          <w:iCs w:val="false"/>
          <w:color w:val="000000"/>
          <w:sz w:val="24"/>
          <w:szCs w:val="24"/>
          <w:rtl/>
        </w:rPr>
        <w:t xml:space="preserve"> פיזורם אינו אקראי. בזרוע המערבית ממוקם רובם המכריע בסמיכות למגע שבין המנסרה ל-Backstop.</w:t>
      </w:r>
      <w:r>
        <w:rPr>
          <w:rStyle w:val="FootnoteReference"/>
          <w:rFonts w:ascii="Arial" w:cs="Arial" w:eastAsia="Arial" w:hAnsi="Arial"/>
          <w:b w:val="false"/>
          <w:bCs w:val="false"/>
          <w:i w:val="false"/>
          <w:iCs w:val="false"/>
          <w:color w:val="000000"/>
          <w:sz w:val="24"/>
          <w:szCs w:val="24"/>
          <w:rtl/>
        </w:rPr>
        <w:footnoteReference w:id="47"/>
      </w:r>
    </w:p>
    <w:p>
      <w:pPr>
        <w:bidi/>
        <w:spacing w:after="120" w:line="360" w:lineRule="auto"/>
        <w:jc w:val="both"/>
      </w:pPr>
      <w:r>
        <w:rPr>
          <w:rFonts w:ascii="Arial" w:cs="Arial" w:eastAsia="Arial" w:hAnsi="Arial"/>
          <w:b w:val="false"/>
          <w:bCs w:val="false"/>
          <w:i w:val="false"/>
          <w:iCs w:val="false"/>
          <w:color w:val="000000"/>
          <w:sz w:val="24"/>
          <w:szCs w:val="24"/>
          <w:rtl/>
        </w:rPr>
        <w:t xml:space="preserve">גם בזרוע המרכזית מרוכזים שדות הרי בוץ מוכרים, ובהם השדות "אולימפי" ו"האומות המאוחדות", שנסקרו בהרחבה.</w:t>
      </w:r>
      <w:r>
        <w:rPr>
          <w:rStyle w:val="FootnoteReference"/>
          <w:rFonts w:ascii="Arial" w:cs="Arial" w:eastAsia="Arial" w:hAnsi="Arial"/>
          <w:b w:val="false"/>
          <w:bCs w:val="false"/>
          <w:i w:val="false"/>
          <w:iCs w:val="false"/>
          <w:color w:val="000000"/>
          <w:sz w:val="24"/>
          <w:szCs w:val="24"/>
          <w:rtl/>
        </w:rPr>
        <w:footnoteReference w:id="48"/>
      </w:r>
      <w:r>
        <w:rPr>
          <w:rFonts w:ascii="Arial" w:cs="Arial" w:eastAsia="Arial" w:hAnsi="Arial"/>
          <w:b w:val="false"/>
          <w:bCs w:val="false"/>
          <w:i w:val="false"/>
          <w:iCs w:val="false"/>
          <w:color w:val="000000"/>
          <w:sz w:val="24"/>
          <w:szCs w:val="24"/>
          <w:rtl/>
        </w:rPr>
        <w:t xml:space="preserve"> הריכוז לאורך מגע המנסרה-Backstop אינו מקרי. בזרוע המערבית הגזירה ממוקדת באותו מגע, שפורש כמבנה פרח דחיסתי ימני ושהוא גם האתר המועדף לפריצת בוץ מסיבית.</w:t>
      </w:r>
      <w:r>
        <w:rPr>
          <w:rStyle w:val="FootnoteReference"/>
          <w:rFonts w:ascii="Arial" w:cs="Arial" w:eastAsia="Arial" w:hAnsi="Arial"/>
          <w:b w:val="false"/>
          <w:bCs w:val="false"/>
          <w:i w:val="false"/>
          <w:iCs w:val="false"/>
          <w:color w:val="000000"/>
          <w:sz w:val="24"/>
          <w:szCs w:val="24"/>
          <w:rtl/>
        </w:rPr>
        <w:footnoteReference w:id="49"/>
      </w:r>
      <w:r>
        <w:rPr>
          <w:rFonts w:ascii="Arial" w:cs="Arial" w:eastAsia="Arial" w:hAnsi="Arial"/>
          <w:b w:val="false"/>
          <w:bCs w:val="false"/>
          <w:i w:val="false"/>
          <w:iCs w:val="false"/>
          <w:color w:val="000000"/>
          <w:sz w:val="24"/>
          <w:szCs w:val="24"/>
          <w:rtl/>
        </w:rPr>
        <w:t xml:space="preserve"> פיזורם של הרי הבוץ הוא לכן סמן מורפולוגי לאזורי הגזירה הפעילה של המנסרה.</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5.4 תנועות סדימנט וגלישות כבידתיות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המלח אינו משפיע רק על סגנון הקימוט, אלא מניע גם תנועות סדימנט של ממש. מעל ה-Backstop גולשות היחידות המסיניאניות לעבר השקעים ההלניים. נוצרת שם טקטוניקת מלח יוצאת דופן, הכוללת אונות מלח תת-עגולות, קימוט כבידתי הדוק ו"רפסודות" של משקעים פליו-קוורטרניים.</w:t>
      </w:r>
      <w:r>
        <w:rPr>
          <w:rStyle w:val="FootnoteReference"/>
          <w:rFonts w:ascii="Arial" w:cs="Arial" w:eastAsia="Arial" w:hAnsi="Arial"/>
          <w:b w:val="false"/>
          <w:bCs w:val="false"/>
          <w:i w:val="false"/>
          <w:iCs w:val="false"/>
          <w:color w:val="000000"/>
          <w:sz w:val="24"/>
          <w:szCs w:val="24"/>
          <w:rtl/>
        </w:rPr>
        <w:footnoteReference w:id="50"/>
      </w:r>
      <w:r>
        <w:rPr>
          <w:rFonts w:ascii="Arial" w:cs="Arial" w:eastAsia="Arial" w:hAnsi="Arial"/>
          <w:b w:val="false"/>
          <w:bCs w:val="false"/>
          <w:i w:val="false"/>
          <w:iCs w:val="false"/>
          <w:color w:val="000000"/>
          <w:sz w:val="24"/>
          <w:szCs w:val="24"/>
          <w:rtl/>
        </w:rPr>
        <w:t xml:space="preserve"> הכיסוי הסדימנטרי של האזור הפנימי גולש בהדרגה צפונה וממלא את סדרת התעלות של שקע פליני.</w:t>
      </w:r>
      <w:r>
        <w:rPr>
          <w:rStyle w:val="FootnoteReference"/>
          <w:rFonts w:ascii="Arial" w:cs="Arial" w:eastAsia="Arial" w:hAnsi="Arial"/>
          <w:b w:val="false"/>
          <w:bCs w:val="false"/>
          <w:i w:val="false"/>
          <w:iCs w:val="false"/>
          <w:color w:val="000000"/>
          <w:sz w:val="24"/>
          <w:szCs w:val="24"/>
          <w:rtl/>
        </w:rPr>
        <w:footnoteReference w:id="51"/>
      </w:r>
      <w:r>
        <w:rPr>
          <w:rFonts w:ascii="Arial" w:cs="Arial" w:eastAsia="Arial" w:hAnsi="Arial"/>
          <w:b w:val="false"/>
          <w:bCs w:val="false"/>
          <w:i w:val="false"/>
          <w:iCs w:val="false"/>
          <w:color w:val="000000"/>
          <w:sz w:val="24"/>
          <w:szCs w:val="24"/>
          <w:rtl/>
        </w:rPr>
        <w:t xml:space="preserve"> בכיוון ההפוך, התפשטות דרומה של הכיסוי המלחי הדוקטילי מייצרת בחגורת הקמטים מערכת צפופה של העתקי הזזה.</w:t>
      </w:r>
      <w:r>
        <w:rPr>
          <w:rStyle w:val="FootnoteReference"/>
          <w:rFonts w:ascii="Arial" w:cs="Arial" w:eastAsia="Arial" w:hAnsi="Arial"/>
          <w:b w:val="false"/>
          <w:bCs w:val="false"/>
          <w:i w:val="false"/>
          <w:iCs w:val="false"/>
          <w:color w:val="000000"/>
          <w:sz w:val="24"/>
          <w:szCs w:val="24"/>
          <w:rtl/>
        </w:rPr>
        <w:footnoteReference w:id="52"/>
      </w:r>
      <w:r>
        <w:rPr>
          <w:rFonts w:ascii="Arial" w:cs="Arial" w:eastAsia="Arial" w:hAnsi="Arial"/>
          <w:b w:val="false"/>
          <w:bCs w:val="false"/>
          <w:i w:val="false"/>
          <w:iCs w:val="false"/>
          <w:color w:val="000000"/>
          <w:sz w:val="24"/>
          <w:szCs w:val="24"/>
          <w:rtl/>
        </w:rPr>
        <w:t xml:space="preserve"> הגלישה הכבידתית פועלת בשני הכיוונים, ובאזור ה-Backstop השטוח היא משתרעת על פני כל השטח שנחקר.</w:t>
      </w:r>
      <w:r>
        <w:rPr>
          <w:rStyle w:val="FootnoteReference"/>
          <w:rFonts w:ascii="Arial" w:cs="Arial" w:eastAsia="Arial" w:hAnsi="Arial"/>
          <w:b w:val="false"/>
          <w:bCs w:val="false"/>
          <w:i w:val="false"/>
          <w:iCs w:val="false"/>
          <w:color w:val="000000"/>
          <w:sz w:val="24"/>
          <w:szCs w:val="24"/>
          <w:rtl/>
        </w:rPr>
        <w:footnoteReference w:id="53"/>
      </w:r>
      <w:r>
        <w:rPr>
          <w:rFonts w:ascii="Arial" w:cs="Arial" w:eastAsia="Arial" w:hAnsi="Arial"/>
          <w:b w:val="false"/>
          <w:bCs w:val="false"/>
          <w:i w:val="false"/>
          <w:iCs w:val="false"/>
          <w:color w:val="000000"/>
          <w:sz w:val="24"/>
          <w:szCs w:val="24"/>
          <w:rtl/>
        </w:rPr>
        <w:t xml:space="preserve"> איור 3 מציג את המנסרה, את ה-Backstop ואת אונות המלח שגלשו מעליו במבט אחד.</w:t>
      </w:r>
    </w:p>
    <w:p>
      <w:pPr>
        <w:keepNext/>
        <w:spacing w:after="40" w:before="140"/>
        <w:jc w:val="center"/>
      </w:pPr>
      <w:r>
        <w:drawing>
          <wp:inline distT="0" distB="0" distL="0" distR="0">
            <wp:extent cx="4536000" cy="310762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536000" cy="3107620"/>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3: תצוגה בתימטרית תלת-ממדית של הזרוע המערבית של מנסרת ים התיכון ושל אזור ה-Backstop שמצפון לה. באיור נראים שלושת המרכיבים שנדונו בפרק זה. הראשון הוא מגע המנסרה-Backstop, שלאורכו מרוכזים הרי הבוץ. השני הוא אונת מלח כבידתית שגלשה מעל ה-Backstop. השלישי הוא אגני הבקע (cleft basins), שקערוריות עמוקות בסמוך לאותו מגע. סולם הצבעים מציג עומקי מים שבין 2,200 ל-4,000 מטר. מקור: Huguen et al. (2006), איור 4, עמ' 65.</w:t>
      </w:r>
      <w:r>
        <w:rPr>
          <w:rStyle w:val="FootnoteReference"/>
          <w:rFonts w:ascii="Arial" w:cs="Arial" w:eastAsia="Arial" w:hAnsi="Arial"/>
          <w:b w:val="false"/>
          <w:bCs w:val="false"/>
          <w:i/>
          <w:iCs/>
          <w:color w:val="000000"/>
          <w:sz w:val="22"/>
          <w:szCs w:val="22"/>
          <w:rtl/>
        </w:rPr>
        <w:footnoteReference w:id="54"/>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6. דיון: מה מעצב את מנסרת ההצטברות של הקשת?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הממצאים שנסקרו מאפשרים לענות על שאלת העבודה. השונות המורפוסטרוקטורלית של המנסרה נשלטת בשלושה גורמים הפועלים יחד. הראשון הוא מצב גיאודינמי של תחילת התנגשות מדרום לכרתים. השני הוא קינמטיקה אזורית שמשתנה מהתכנסות חזיתית להפחתה אלכסונית. השלישי הוא מאפייני הכיסוי הסדימנטרי, ובראשם שכבות המלח.</w:t>
      </w:r>
      <w:r>
        <w:rPr>
          <w:rStyle w:val="FootnoteReference"/>
          <w:rFonts w:ascii="Arial" w:cs="Arial" w:eastAsia="Arial" w:hAnsi="Arial"/>
          <w:b w:val="false"/>
          <w:bCs w:val="false"/>
          <w:i w:val="false"/>
          <w:iCs w:val="false"/>
          <w:color w:val="000000"/>
          <w:sz w:val="24"/>
          <w:szCs w:val="24"/>
          <w:rtl/>
        </w:rPr>
        <w:footnoteReference w:id="55"/>
      </w:r>
      <w:r>
        <w:rPr>
          <w:rFonts w:ascii="Arial" w:cs="Arial" w:eastAsia="Arial" w:hAnsi="Arial"/>
          <w:b w:val="false"/>
          <w:bCs w:val="false"/>
          <w:i w:val="false"/>
          <w:iCs w:val="false"/>
          <w:color w:val="000000"/>
          <w:sz w:val="24"/>
          <w:szCs w:val="24"/>
          <w:rtl/>
        </w:rPr>
        <w:t xml:space="preserve"> הקינמטיקה ותחילת ההתנגשות מסבירות מדוע הזרוע המרכזית צרה ומעוותת בעוד היונית רחבה ושטוחה, ופיזור המלח מסביר את המעבר ההדרגתי בסגנון הקימוט בין הזרועות. תפקידו של המלח בולט במיוחד, משום שעוביו הוא שקובע את רוחב הקמטים ואת סגנונם לאורך חזית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שלושת הגורמים הללו נוגעים לפני השטח ולכיסוי הסדימנטרי, ומתחתם עומד גורם עמוק יותר. פילוח הלוח השוקע לפי ציפתו הוא שמייצר את ההבדל בקצבי ההפחתה, שהקינמטיקה האזורית רק מבטאת.</w:t>
      </w:r>
      <w:r>
        <w:rPr>
          <w:rStyle w:val="FootnoteReference"/>
          <w:rFonts w:ascii="Arial" w:cs="Arial" w:eastAsia="Arial" w:hAnsi="Arial"/>
          <w:b w:val="false"/>
          <w:bCs w:val="false"/>
          <w:i w:val="false"/>
          <w:iCs w:val="false"/>
          <w:color w:val="000000"/>
          <w:sz w:val="24"/>
          <w:szCs w:val="24"/>
          <w:rtl/>
        </w:rPr>
        <w:footnoteReference w:id="56"/>
      </w:r>
      <w:r>
        <w:rPr>
          <w:rFonts w:ascii="Arial" w:cs="Arial" w:eastAsia="Arial" w:hAnsi="Arial"/>
          <w:b w:val="false"/>
          <w:bCs w:val="false"/>
          <w:i w:val="false"/>
          <w:iCs w:val="false"/>
          <w:color w:val="000000"/>
          <w:sz w:val="24"/>
          <w:szCs w:val="24"/>
          <w:rtl/>
        </w:rPr>
        <w:t xml:space="preserve"> הגבול בין שני המקטעים, אזור העתק קפלוניה, הוא צעיר יחסית. מודלים גיאודינמיים מתארכים את היווצרותו ל-6–8 מיליון שנה, ורוב ההפרדה בין חזיתות ההפחתה התרחשה אחרי 5 מיליון שנה.</w:t>
      </w:r>
      <w:r>
        <w:rPr>
          <w:rStyle w:val="FootnoteReference"/>
          <w:rFonts w:ascii="Arial" w:cs="Arial" w:eastAsia="Arial" w:hAnsi="Arial"/>
          <w:b w:val="false"/>
          <w:bCs w:val="false"/>
          <w:i w:val="false"/>
          <w:iCs w:val="false"/>
          <w:color w:val="000000"/>
          <w:sz w:val="24"/>
          <w:szCs w:val="24"/>
          <w:rtl/>
        </w:rPr>
        <w:footnoteReference w:id="57"/>
      </w:r>
      <w:r>
        <w:rPr>
          <w:rFonts w:ascii="Arial" w:cs="Arial" w:eastAsia="Arial" w:hAnsi="Arial"/>
          <w:b w:val="false"/>
          <w:bCs w:val="false"/>
          <w:i w:val="false"/>
          <w:iCs w:val="false"/>
          <w:color w:val="000000"/>
          <w:sz w:val="24"/>
          <w:szCs w:val="24"/>
          <w:rtl/>
        </w:rPr>
        <w:t xml:space="preserve"> זהו פרק זמן החופף להתפתחותה הפוסט-מסינית של המנסרה. הגורם הקינמטי אינו עומד בפני עצמו, אלא הוא עצמו תוצאה של מה שנכנס לתעלת ההפחתה.</w:t>
      </w:r>
    </w:p>
    <w:p>
      <w:pPr>
        <w:bidi/>
        <w:spacing w:after="120" w:line="360" w:lineRule="auto"/>
        <w:jc w:val="both"/>
      </w:pPr>
      <w:r>
        <w:rPr>
          <w:rFonts w:ascii="Arial" w:cs="Arial" w:eastAsia="Arial" w:hAnsi="Arial"/>
          <w:b w:val="false"/>
          <w:bCs w:val="false"/>
          <w:i w:val="false"/>
          <w:iCs w:val="false"/>
          <w:color w:val="000000"/>
          <w:sz w:val="24"/>
          <w:szCs w:val="24"/>
          <w:rtl/>
        </w:rPr>
        <w:t xml:space="preserve">לגורמים אלו מצטרף ממד הקצב, שהוצג בפרק 5.1. אספקת משקעים שהצטברה מאז המזוזואיקון, קצב התכנסות גבוה ומישור ניתוק מלחי הם צירוף חריג של תנאים.</w:t>
      </w:r>
      <w:r>
        <w:rPr>
          <w:rStyle w:val="FootnoteReference"/>
          <w:rFonts w:ascii="Arial" w:cs="Arial" w:eastAsia="Arial" w:hAnsi="Arial"/>
          <w:b w:val="false"/>
          <w:bCs w:val="false"/>
          <w:i w:val="false"/>
          <w:iCs w:val="false"/>
          <w:color w:val="000000"/>
          <w:sz w:val="24"/>
          <w:szCs w:val="24"/>
          <w:rtl/>
        </w:rPr>
        <w:footnoteReference w:id="58"/>
      </w:r>
      <w:r>
        <w:rPr>
          <w:rFonts w:ascii="Arial" w:cs="Arial" w:eastAsia="Arial" w:hAnsi="Arial"/>
          <w:b w:val="false"/>
          <w:bCs w:val="false"/>
          <w:i w:val="false"/>
          <w:iCs w:val="false"/>
          <w:color w:val="000000"/>
          <w:sz w:val="24"/>
          <w:szCs w:val="24"/>
          <w:rtl/>
        </w:rPr>
        <w:t xml:space="preserve"> הוא ההסבר לכך שהמנסרה ההלנית נראית אחרת ממנסרות הצטברות אחרות.</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7. סיכום</w:t>
      </w:r>
    </w:p>
    <w:p>
      <w:pPr>
        <w:bidi/>
        <w:spacing w:after="120" w:line="360" w:lineRule="auto"/>
        <w:jc w:val="both"/>
      </w:pPr>
      <w:r>
        <w:rPr>
          <w:rFonts w:ascii="Arial" w:cs="Arial" w:eastAsia="Arial" w:hAnsi="Arial"/>
          <w:b w:val="false"/>
          <w:bCs w:val="false"/>
          <w:i w:val="false"/>
          <w:iCs w:val="false"/>
          <w:color w:val="000000"/>
          <w:sz w:val="24"/>
          <w:szCs w:val="24"/>
          <w:rtl/>
        </w:rPr>
        <w:t xml:space="preserve">עבודה זו תיארה את מערכת ההפחתה של הקשת ההלנית ואת מנסרת ההצטברות שנבנתה בה. הממצא הראשון נוגע למבנה הבתימטרי. השקעים מטפן, פליני וסטראבו אינם שקעי הפחתה במובן הרגיל, אלא שקערוריות בתוך קדם-הקשת שנותרו מאחור כאשר חזית הדפורמציה נדדה דרומה.</w:t>
      </w:r>
      <w:r>
        <w:rPr>
          <w:rStyle w:val="FootnoteReference"/>
          <w:rFonts w:ascii="Arial" w:cs="Arial" w:eastAsia="Arial" w:hAnsi="Arial"/>
          <w:b w:val="false"/>
          <w:bCs w:val="false"/>
          <w:i w:val="false"/>
          <w:iCs w:val="false"/>
          <w:color w:val="000000"/>
          <w:sz w:val="24"/>
          <w:szCs w:val="24"/>
          <w:rtl/>
        </w:rPr>
        <w:footnoteReference w:id="59"/>
      </w:r>
      <w:r>
        <w:rPr>
          <w:rFonts w:ascii="Arial" w:cs="Arial" w:eastAsia="Arial" w:hAnsi="Arial"/>
          <w:b w:val="false"/>
          <w:bCs w:val="false"/>
          <w:i w:val="false"/>
          <w:iCs w:val="false"/>
          <w:color w:val="000000"/>
          <w:sz w:val="24"/>
          <w:szCs w:val="24"/>
          <w:rtl/>
        </w:rPr>
        <w:t xml:space="preserve"> ההבחנה בין שני האלמנטים היא תנאי לקריאה נכונה של מפת העומקים באזור.</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 השני נוגע לשונות לאורך הקשת. אין לה סיבה אחת, ויש לה שתי רמות. ברמה הרדודה פועלים הקינמטיקה ופיזור המלח, וברמה העמוקה פועלת ציפת הליתוספרה השוקעת. ליתוספרה יבשתית וציפה בצפון, וליתוספרה אוקיינית וצפופה בדרום, שוקעות בקצבים שונים מאוד.</w:t>
      </w:r>
      <w:r>
        <w:rPr>
          <w:rStyle w:val="FootnoteReference"/>
          <w:rFonts w:ascii="Arial" w:cs="Arial" w:eastAsia="Arial" w:hAnsi="Arial"/>
          <w:b w:val="false"/>
          <w:bCs w:val="false"/>
          <w:i w:val="false"/>
          <w:iCs w:val="false"/>
          <w:color w:val="000000"/>
          <w:sz w:val="24"/>
          <w:szCs w:val="24"/>
          <w:rtl/>
        </w:rPr>
        <w:footnoteReference w:id="60"/>
      </w:r>
      <w:r>
        <w:rPr>
          <w:rFonts w:ascii="Arial" w:cs="Arial" w:eastAsia="Arial" w:hAnsi="Arial"/>
          <w:b w:val="false"/>
          <w:bCs w:val="false"/>
          <w:i w:val="false"/>
          <w:iCs w:val="false"/>
          <w:color w:val="000000"/>
          <w:sz w:val="24"/>
          <w:szCs w:val="24"/>
          <w:rtl/>
        </w:rPr>
        <w:t xml:space="preserve"> צורת פני הקרקעית היא הביטוי העליון של שרשרת סיבתית שראשיתה בעומק.</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 השלישי נוגע למלח. שכבות האוורית המסיניות אינן רק שכבה בחתך, אלא הגורם המכני שמאפשר לטריז כולו להתפרס על מרחב רחב במקום להתרכז בחזית צרה. הן גם מזינות את הרי הבוץ ומניעות את הגלישות הכבידתיות שמעל ה-Backstop.</w:t>
      </w:r>
      <w:r>
        <w:rPr>
          <w:rStyle w:val="FootnoteReference"/>
          <w:rFonts w:ascii="Arial" w:cs="Arial" w:eastAsia="Arial" w:hAnsi="Arial"/>
          <w:b w:val="false"/>
          <w:bCs w:val="false"/>
          <w:i w:val="false"/>
          <w:iCs w:val="false"/>
          <w:color w:val="000000"/>
          <w:sz w:val="24"/>
          <w:szCs w:val="24"/>
          <w:rtl/>
        </w:rPr>
        <w:footnoteReference w:id="61"/>
      </w:r>
      <w:r>
        <w:rPr>
          <w:rFonts w:ascii="Arial" w:cs="Arial" w:eastAsia="Arial" w:hAnsi="Arial"/>
          <w:b w:val="false"/>
          <w:bCs w:val="false"/>
          <w:i w:val="false"/>
          <w:iCs w:val="false"/>
          <w:color w:val="000000"/>
          <w:sz w:val="24"/>
          <w:szCs w:val="24"/>
          <w:rtl/>
        </w:rPr>
        <w:t xml:space="preserve"> שכבה שהושקעה בסוף המיוקן ממשיכה לקבוע כיצד נראית קרקעית הים באגן כולו.</w:t>
      </w:r>
    </w:p>
    <w:p>
      <w:pPr>
        <w:spacing w:line="360" w:lineRule="auto"/>
      </w:pPr>
      <w:r>
        <w:rPr>
          <w:rFonts w:ascii="Arial" w:cs="Arial" w:eastAsia="Arial" w:hAnsi="Arial"/>
          <w:b w:val="false"/>
          <w:bCs w:val="false"/>
          <w:i w:val="false"/>
          <w:iCs w:val="false"/>
          <w:color w:val="000000"/>
          <w:sz w:val="24"/>
          <w:szCs w:val="24"/>
          <w:rtl/>
        </w:rPr>
        <w:t xml:space="preserve"/>
      </w:r>
    </w:p>
    <w:p>
      <w:pPr>
        <w:keepNext/>
        <w:bidi/>
        <w:spacing w:after="100" w:before="280" w:line="360" w:lineRule="auto"/>
        <w:jc w:val="right"/>
      </w:pPr>
      <w:r>
        <w:rPr>
          <w:rFonts w:ascii="Arial" w:cs="Arial" w:eastAsia="Arial" w:hAnsi="Arial"/>
          <w:b/>
          <w:bCs/>
          <w:i w:val="false"/>
          <w:iCs w:val="false"/>
          <w:color w:val="000000"/>
          <w:sz w:val="26"/>
          <w:szCs w:val="26"/>
          <w:rtl/>
        </w:rPr>
        <w:t xml:space="preserve">רשימת מקורות</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Güneş, P., Aksu, A. E., &amp; Hall, J. (2018). Internal seismic stratigraphy of the Messinian evaporites across the northern sector of the eastern Mediterranean Sea. Marine and Petroleum Geology, 91, 297–320. https://doi.org/10.1016/j.marpetgeo.2018.01.010</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Huguen, C., Chamot-Rooke, N., Loubrieu, B., &amp; Mascle, J. (2006). Morphology of a pre-collisional, salt-bearing, accretionary complex: The Mediterranean Ridge (Eastern Mediterranean). Marine Geophysical Researches, 27(1), 61–75. https://doi.org/10.1007/s11001-005-5026-5</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Kopf, A., Mascle, J., &amp; Klaeschen, D. (2003). The Mediterranean Ridge: A mass balance across the fastest growing accretionary complex on Earth. Journal of Geophysical Research: Solid Earth, 108(B8), 2372. https://doi.org/10.1029/2001JB000473</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Royden, L. H., &amp; Papanikolaou, D. J. (2011). Slab segmentation and late Cenozoic disruption of the Hellenic arc. Geochemistry, Geophysics, Geosystems, 12(3), Q03010. https://doi.org/10.1029/2010GC003280</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bidi/>
      </w:pPr>
      <w:r>
        <w:rPr>
          <w:rStyle w:val="FootnoteReference"/>
        </w:rPr>
        <w:footnoteRef/>
      </w:r>
      <w:r>
        <w:rPr>
          <w:rFonts w:ascii="Arial" w:hAnsi="Arial" w:cs="Arial" w:eastAsia="Arial"/>
          <w:sz w:val="20"/>
          <w:szCs w:val="20"/>
          <w:rtl/>
        </w:rPr>
        <w:t xml:space="preserve"> Huguen, C., Chamot-Rooke, N., Loubrieu, B., &amp; Mascle, J. (2006). Morphology of a pre-collisional, salt-bearing, accretionary complex: The Mediterranean Ridge (Eastern Mediterranean). Marine Geophysical Researches, 27(1), 61–75. עמ' 61 (תקציר ומבוא).</w:t>
      </w:r>
    </w:p>
  </w:footnote>
  <w:footnote w:id="2">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3">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4">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5">
    <w:p>
      <w:pPr>
        <w:pStyle w:val="FootnoteText"/>
        <w:bidi/>
      </w:pPr>
      <w:r>
        <w:rPr>
          <w:rStyle w:val="FootnoteReference"/>
        </w:rPr>
        <w:footnoteRef/>
      </w:r>
      <w:r>
        <w:rPr>
          <w:rFonts w:ascii="Arial" w:hAnsi="Arial" w:cs="Arial" w:eastAsia="Arial"/>
          <w:sz w:val="20"/>
          <w:szCs w:val="20"/>
          <w:rtl/>
        </w:rPr>
        <w:t xml:space="preserve"> Kopf, A., Mascle, J., &amp; Klaeschen, D. (2003). The Mediterranean Ridge: A mass balance across the fastest growing accretionary complex on Earth. Journal of Geophysical Research: Solid Earth, 108(B8), 2372. פס' 2 (סעיף 1, Introduction). המאמר בפורמט AGU, הממוספר בפסקאות ולא בעמודים, ולכן ההפניות אליו ניתנות לפי תקציר, מספר פסקה או פרק.</w:t>
      </w:r>
    </w:p>
  </w:footnote>
  <w:footnote w:id="6">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7">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8">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9">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10">
    <w:p>
      <w:pPr>
        <w:pStyle w:val="FootnoteText"/>
        <w:bidi/>
      </w:pPr>
      <w:r>
        <w:rPr>
          <w:rStyle w:val="FootnoteReference"/>
        </w:rPr>
        <w:footnoteRef/>
      </w:r>
      <w:r>
        <w:rPr>
          <w:rFonts w:ascii="Arial" w:hAnsi="Arial" w:cs="Arial" w:eastAsia="Arial"/>
          <w:sz w:val="20"/>
          <w:szCs w:val="20"/>
          <w:rtl/>
        </w:rPr>
        <w:t xml:space="preserve"> Kopf et al. (2003), איור 1a.</w:t>
      </w:r>
    </w:p>
  </w:footnote>
  <w:footnote w:id="11">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12">
    <w:p>
      <w:pPr>
        <w:pStyle w:val="FootnoteText"/>
        <w:bidi/>
      </w:pPr>
      <w:r>
        <w:rPr>
          <w:rStyle w:val="FootnoteReference"/>
        </w:rPr>
        <w:footnoteRef/>
      </w:r>
      <w:r>
        <w:rPr>
          <w:rFonts w:ascii="Arial" w:hAnsi="Arial" w:cs="Arial" w:eastAsia="Arial"/>
          <w:sz w:val="20"/>
          <w:szCs w:val="20"/>
          <w:rtl/>
        </w:rPr>
        <w:t xml:space="preserve"> Royden, L. H., &amp; Papanikolaou, D. J. (2011). Slab segmentation and late Cenozoic disruption of the Hellenic arc. Geochemistry, Geophysics, Geosystems, 12(3), Q03010. פס' 7 (סעיף 2.1, Active Subduction). גם מאמר זה בפורמט AGU, הממוספר בפסקאות.</w:t>
      </w:r>
    </w:p>
  </w:footnote>
  <w:footnote w:id="13">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14">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15">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6">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7">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8">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9">
    <w:p>
      <w:pPr>
        <w:pStyle w:val="FootnoteText"/>
        <w:bidi/>
      </w:pPr>
      <w:r>
        <w:rPr>
          <w:rStyle w:val="FootnoteReference"/>
        </w:rPr>
        <w:footnoteRef/>
      </w:r>
      <w:r>
        <w:rPr>
          <w:rFonts w:ascii="Arial" w:hAnsi="Arial" w:cs="Arial" w:eastAsia="Arial"/>
          <w:sz w:val="20"/>
          <w:szCs w:val="20"/>
          <w:rtl/>
        </w:rPr>
        <w:t xml:space="preserve"> Huguen et al. (2006), עמ' 72–73 (הסעיפים The Eastern Mediterranean Ridge ו-Conclusion).</w:t>
      </w:r>
    </w:p>
  </w:footnote>
  <w:footnote w:id="20">
    <w:p>
      <w:pPr>
        <w:pStyle w:val="FootnoteText"/>
        <w:bidi/>
      </w:pPr>
      <w:r>
        <w:rPr>
          <w:rStyle w:val="FootnoteReference"/>
        </w:rPr>
        <w:footnoteRef/>
      </w:r>
      <w:r>
        <w:rPr>
          <w:rFonts w:ascii="Arial" w:hAnsi="Arial" w:cs="Arial" w:eastAsia="Arial"/>
          <w:sz w:val="20"/>
          <w:szCs w:val="20"/>
          <w:rtl/>
        </w:rPr>
        <w:t xml:space="preserve"> Huguen et al. (2006), עמ' 72 (סעיף The Eastern Mediterranean Ridge).</w:t>
      </w:r>
    </w:p>
  </w:footnote>
  <w:footnote w:id="21">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22">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3">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24">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5">
    <w:p>
      <w:pPr>
        <w:pStyle w:val="FootnoteText"/>
        <w:bidi/>
      </w:pPr>
      <w:r>
        <w:rPr>
          <w:rStyle w:val="FootnoteReference"/>
        </w:rPr>
        <w:footnoteRef/>
      </w:r>
      <w:r>
        <w:rPr>
          <w:rFonts w:ascii="Arial" w:hAnsi="Arial" w:cs="Arial" w:eastAsia="Arial"/>
          <w:sz w:val="20"/>
          <w:szCs w:val="20"/>
          <w:rtl/>
        </w:rPr>
        <w:t xml:space="preserve"> Huguen et al. (2006), עמ' 61 ו-65 (תקציר ומבוא).</w:t>
      </w:r>
    </w:p>
  </w:footnote>
  <w:footnote w:id="26">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7">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8">
    <w:p>
      <w:pPr>
        <w:pStyle w:val="FootnoteText"/>
        <w:bidi/>
      </w:pPr>
      <w:r>
        <w:rPr>
          <w:rStyle w:val="FootnoteReference"/>
        </w:rPr>
        <w:footnoteRef/>
      </w:r>
      <w:r>
        <w:rPr>
          <w:rFonts w:ascii="Arial" w:hAnsi="Arial" w:cs="Arial" w:eastAsia="Arial"/>
          <w:sz w:val="20"/>
          <w:szCs w:val="20"/>
          <w:rtl/>
        </w:rPr>
        <w:t xml:space="preserve"> Mikenorton, Hellenic subduction zone, Wikimedia Commons, רישיון CC BY-SA 3.0.</w:t>
      </w:r>
    </w:p>
  </w:footnote>
  <w:footnote w:id="29">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30">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31">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32">
    <w:p>
      <w:pPr>
        <w:pStyle w:val="FootnoteText"/>
        <w:bidi/>
      </w:pPr>
      <w:r>
        <w:rPr>
          <w:rStyle w:val="FootnoteReference"/>
        </w:rPr>
        <w:footnoteRef/>
      </w:r>
      <w:r>
        <w:rPr>
          <w:rFonts w:ascii="Arial" w:hAnsi="Arial" w:cs="Arial" w:eastAsia="Arial"/>
          <w:sz w:val="20"/>
          <w:szCs w:val="20"/>
          <w:rtl/>
        </w:rPr>
        <w:t xml:space="preserve"> Huguen et al. (2006), עמ' 67 (סעיף The Western Mediterranean Ridge).</w:t>
      </w:r>
    </w:p>
  </w:footnote>
  <w:footnote w:id="33">
    <w:p>
      <w:pPr>
        <w:pStyle w:val="FootnoteText"/>
        <w:bidi/>
      </w:pPr>
      <w:r>
        <w:rPr>
          <w:rStyle w:val="FootnoteReference"/>
        </w:rPr>
        <w:footnoteRef/>
      </w:r>
      <w:r>
        <w:rPr>
          <w:rFonts w:ascii="Arial" w:hAnsi="Arial" w:cs="Arial" w:eastAsia="Arial"/>
          <w:sz w:val="20"/>
          <w:szCs w:val="20"/>
          <w:rtl/>
        </w:rPr>
        <w:t xml:space="preserve"> Huguen et al. (2006), עמ' 66 ו-69 (הסעיפים General morphologic ו-Western Mediterranean Ridge).</w:t>
      </w:r>
    </w:p>
  </w:footnote>
  <w:footnote w:id="34">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35">
    <w:p>
      <w:pPr>
        <w:pStyle w:val="FootnoteText"/>
        <w:bidi/>
      </w:pPr>
      <w:r>
        <w:rPr>
          <w:rStyle w:val="FootnoteReference"/>
        </w:rPr>
        <w:footnoteRef/>
      </w:r>
      <w:r>
        <w:rPr>
          <w:rFonts w:ascii="Arial" w:hAnsi="Arial" w:cs="Arial" w:eastAsia="Arial"/>
          <w:sz w:val="20"/>
          <w:szCs w:val="20"/>
          <w:rtl/>
        </w:rPr>
        <w:t xml:space="preserve"> Kopf et al. (2003), פס' 6 (סעיף 2.1, Accretionary Complex).</w:t>
      </w:r>
    </w:p>
  </w:footnote>
  <w:footnote w:id="36">
    <w:p>
      <w:pPr>
        <w:pStyle w:val="FootnoteText"/>
        <w:bidi/>
      </w:pPr>
      <w:r>
        <w:rPr>
          <w:rStyle w:val="FootnoteReference"/>
        </w:rPr>
        <w:footnoteRef/>
      </w:r>
      <w:r>
        <w:rPr>
          <w:rFonts w:ascii="Arial" w:hAnsi="Arial" w:cs="Arial" w:eastAsia="Arial"/>
          <w:sz w:val="20"/>
          <w:szCs w:val="20"/>
          <w:rtl/>
        </w:rPr>
        <w:t xml:space="preserve"> Kopf et al. (2003), תקציר (פס' 1); איור 1a.</w:t>
      </w:r>
    </w:p>
  </w:footnote>
  <w:footnote w:id="37">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8">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9">
    <w:p>
      <w:pPr>
        <w:pStyle w:val="FootnoteText"/>
        <w:bidi/>
      </w:pPr>
      <w:r>
        <w:rPr>
          <w:rStyle w:val="FootnoteReference"/>
        </w:rPr>
        <w:footnoteRef/>
      </w:r>
      <w:r>
        <w:rPr>
          <w:rFonts w:ascii="Arial" w:hAnsi="Arial" w:cs="Arial" w:eastAsia="Arial"/>
          <w:sz w:val="20"/>
          <w:szCs w:val="20"/>
          <w:rtl/>
        </w:rPr>
        <w:t xml:space="preserve"> Kastens (1991), כפי שמצוטט אצל Kopf et al. (2003), פס' 2 (סעיף 1, Introduction).</w:t>
      </w:r>
    </w:p>
  </w:footnote>
  <w:footnote w:id="40">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41">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42">
    <w:p>
      <w:pPr>
        <w:pStyle w:val="FootnoteText"/>
        <w:bidi/>
      </w:pPr>
      <w:r>
        <w:rPr>
          <w:rStyle w:val="FootnoteReference"/>
        </w:rPr>
        <w:footnoteRef/>
      </w:r>
      <w:r>
        <w:rPr>
          <w:rFonts w:ascii="Arial" w:hAnsi="Arial" w:cs="Arial" w:eastAsia="Arial"/>
          <w:sz w:val="20"/>
          <w:szCs w:val="20"/>
          <w:rtl/>
        </w:rPr>
        <w:t xml:space="preserve"> Huguen et al. (2006), עמ' 71 (סעיף The Central Mediterranean Ridge).</w:t>
      </w:r>
    </w:p>
  </w:footnote>
  <w:footnote w:id="43">
    <w:p>
      <w:pPr>
        <w:pStyle w:val="FootnoteText"/>
        <w:bidi/>
      </w:pPr>
      <w:r>
        <w:rPr>
          <w:rStyle w:val="FootnoteReference"/>
        </w:rPr>
        <w:footnoteRef/>
      </w:r>
      <w:r>
        <w:rPr>
          <w:rFonts w:ascii="Arial" w:hAnsi="Arial" w:cs="Arial" w:eastAsia="Arial"/>
          <w:sz w:val="20"/>
          <w:szCs w:val="20"/>
          <w:rtl/>
        </w:rPr>
        <w:t xml:space="preserve"> Güneş, P., Aksu, A. E., &amp; Hall, J. (2018). Internal seismic stratigraphy of the Messinian evaporites across the northern sector of the eastern Mediterranean Sea. Marine and Petroleum Geology, 91, 297–320. איור 21, עמ' 315; הפאנל המערבי שבו לקוח אצל המחברים מ-Dal Cin et al. (2016).</w:t>
      </w:r>
    </w:p>
  </w:footnote>
  <w:footnote w:id="44">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45">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46">
    <w:p>
      <w:pPr>
        <w:pStyle w:val="FootnoteText"/>
        <w:bidi/>
      </w:pPr>
      <w:r>
        <w:rPr>
          <w:rStyle w:val="FootnoteReference"/>
        </w:rPr>
        <w:footnoteRef/>
      </w:r>
      <w:r>
        <w:rPr>
          <w:rFonts w:ascii="Arial" w:hAnsi="Arial" w:cs="Arial" w:eastAsia="Arial"/>
          <w:sz w:val="20"/>
          <w:szCs w:val="20"/>
          <w:rtl/>
        </w:rPr>
        <w:t xml:space="preserve"> Huguen et al. (2006), עמ' 66–67 (סעיף General morphologic and backscatter characteristics).</w:t>
      </w:r>
    </w:p>
  </w:footnote>
  <w:footnote w:id="47">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48">
    <w:p>
      <w:pPr>
        <w:pStyle w:val="FootnoteText"/>
        <w:bidi/>
      </w:pPr>
      <w:r>
        <w:rPr>
          <w:rStyle w:val="FootnoteReference"/>
        </w:rPr>
        <w:footnoteRef/>
      </w:r>
      <w:r>
        <w:rPr>
          <w:rFonts w:ascii="Arial" w:hAnsi="Arial" w:cs="Arial" w:eastAsia="Arial"/>
          <w:sz w:val="20"/>
          <w:szCs w:val="20"/>
          <w:rtl/>
        </w:rPr>
        <w:t xml:space="preserve"> Huguen et al. (2006), עמ' 71 (סעיף The Central Mediterranean Ridge).</w:t>
      </w:r>
    </w:p>
  </w:footnote>
  <w:footnote w:id="49">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50">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51">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52">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53">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54">
    <w:p>
      <w:pPr>
        <w:pStyle w:val="FootnoteText"/>
        <w:bidi/>
      </w:pPr>
      <w:r>
        <w:rPr>
          <w:rStyle w:val="FootnoteReference"/>
        </w:rPr>
        <w:footnoteRef/>
      </w:r>
      <w:r>
        <w:rPr>
          <w:rFonts w:ascii="Arial" w:hAnsi="Arial" w:cs="Arial" w:eastAsia="Arial"/>
          <w:sz w:val="20"/>
          <w:szCs w:val="20"/>
          <w:rtl/>
        </w:rPr>
        <w:t xml:space="preserve"> Huguen et al. (2006), איור 4, עמ' 65.</w:t>
      </w:r>
    </w:p>
  </w:footnote>
  <w:footnote w:id="55">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56">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57">
    <w:p>
      <w:pPr>
        <w:pStyle w:val="FootnoteText"/>
        <w:bidi/>
      </w:pPr>
      <w:r>
        <w:rPr>
          <w:rStyle w:val="FootnoteReference"/>
        </w:rPr>
        <w:footnoteRef/>
      </w:r>
      <w:r>
        <w:rPr>
          <w:rFonts w:ascii="Arial" w:hAnsi="Arial" w:cs="Arial" w:eastAsia="Arial"/>
          <w:sz w:val="20"/>
          <w:szCs w:val="20"/>
          <w:rtl/>
        </w:rPr>
        <w:t xml:space="preserve"> Royden &amp; Papanikolaou (2011), פס' 38 (סעיף 3.2.2, Model Results).</w:t>
      </w:r>
    </w:p>
  </w:footnote>
  <w:footnote w:id="58">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59">
    <w:p>
      <w:pPr>
        <w:pStyle w:val="FootnoteText"/>
        <w:bidi/>
      </w:pPr>
      <w:r>
        <w:rPr>
          <w:rStyle w:val="FootnoteReference"/>
        </w:rPr>
        <w:footnoteRef/>
      </w:r>
      <w:r>
        <w:rPr>
          <w:rFonts w:ascii="Arial" w:hAnsi="Arial" w:cs="Arial" w:eastAsia="Arial"/>
          <w:sz w:val="20"/>
          <w:szCs w:val="20"/>
          <w:rtl/>
        </w:rPr>
        <w:t xml:space="preserve"> Huguen et al. (2006), עמ' 62 (מבוא); Kopf et al. (2003), פס' 5 (סעיף 2.1, Accretionary Complex).</w:t>
      </w:r>
    </w:p>
  </w:footnote>
  <w:footnote w:id="60">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61">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3386d49f76f1a6710329a0284e1d1bc79b591d4.png"/><Relationship Id="rId9" Type="http://schemas.openxmlformats.org/officeDocument/2006/relationships/image" Target="media/d92e42707be8c4a8e447790d93533e83328d4b02.png"/><Relationship Id="rId10" Type="http://schemas.openxmlformats.org/officeDocument/2006/relationships/fontTable" Target="fontTable.xml"/><Relationship Id="rId100" Type="http://schemas.openxmlformats.org/officeDocument/2006/relationships/image" Target="media/huguen_fig4.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2026-08-02T11:08:49.946Z</dcterms:created>
  <dcterms:modified xsi:type="dcterms:W3CDTF">2026-08-02T11:08:49.965Z</dcterms:modified>
</cp:coreProperties>
</file>

<file path=docProps/custom.xml><?xml version="1.0" encoding="utf-8"?>
<Properties xmlns="http://schemas.openxmlformats.org/officeDocument/2006/custom-properties" xmlns:vt="http://schemas.openxmlformats.org/officeDocument/2006/docPropsVTypes"/>
</file>