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גבול ההפחתה הפעיל ביותר באגן הים התיכון. היא נמתחת מהאיים היוניים במערב, דרך כרתים, ועד רודוס במזרח, ולאורכה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בעקבות ההתכנסות ארוכת-הטווח בין הלוח האירו-אסייתי ללוח האפריקאי.</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הקשת מקיימת אפוא מערכת הפחתה פעילה ומלאה, והיא 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השקעים — מטפן, פליני וסטראבו —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הידועה כמנסרת ים התיכון (Mediterranean Ridge), היא טריז משקעים מקושת שאורכו עולה על 1,500 ק"מ ורוחבו 200–250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והיא מתוארת בספרות כמנסרת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מרכיבים אלו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של הקשת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נשלטת על ידי שילוב של תחילת התנגשות מדרום לכרתים, קינמטיקה משתנה לאורך הקשת, ופיזור שכבות מלח המשמשות מישור ניתוק.</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תכונותיו המכניות של המלח שונות לחלוטין מאלו של משקעים סיליקלסטיים רגילים.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ו-Forearc</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כ-Backstop שאפשר את הצטברות המנסרה.</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אינה אחידה לאורך הקשת. מדרום לכרתים ההתכנסות היא חזיתית.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מדרום לכרתים שולי היבשת האפריקאיים והאגאיים כמעט נפגשים, במצב של תחילת התנגשות.</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שונות קינמטית זו היא המפתח להבנת ההבדלים המורפולוגיים לאורך המנסרה.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מדרום, לעומת זאת, גובלת המנסרה במישורים תהומיים רדודים יותר: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המנסרה מתנשאת אפוא כרכס רחב ומתון בין שני תחומים עמוקים אלו.</w:t>
      </w:r>
    </w:p>
    <w:p>
      <w:pPr>
        <w:bidi/>
        <w:spacing w:after="120" w:line="360" w:lineRule="auto"/>
        <w:jc w:val="both"/>
      </w:pPr>
      <w:r>
        <w:rPr>
          <w:rFonts w:ascii="Arial" w:cs="Arial" w:eastAsia="Arial" w:hAnsi="Arial"/>
          <w:b w:val="false"/>
          <w:bCs w:val="false"/>
          <w:i w:val="false"/>
          <w:iCs w:val="false"/>
          <w:color w:val="000000"/>
          <w:sz w:val="24"/>
          <w:szCs w:val="24"/>
          <w:rtl/>
        </w:rPr>
        <w:t xml:space="preserve">יש להדגיש כי "השקע ההלני" אינו שקע ים-עמוק במובן המדויק של המונח. מדובר בשקערורית של קדם-הקשת (forearc depression) המכילה מילוי סדימנטרי מועט בלבד.</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ונמצאת כיום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המרחק הגדול בין השקעים הפנימיים לחזית הדפורמציה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לשקעים תפקיד פעיל גם במאזן הסדימנטרי של האזור. שקעי פליני וסטראבו ערוכים כשרשרת אגנים במערך מדורג (en échelon) בכיוון צפון-מזרח–דרום-מערב, המבטא תנועת גזירה שמאלית.</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השקעים מתפקדים אפוא כמלכודות סדימנט, הלוכדות חומר המגיע מן האיים שמצפון להם.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שיטות המיפוי וממדי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תיאור המורפולוגיה של המנסרה מתבסס על שילוב של שיטות סקר ימי. בעשור שקדם לפרסום המחקר נסקרה המנסרה בהרחבה באמצעות מיפוי רב-קרני (swath mapping), פרופילים סיסמיים רב-ערוציים וצלילות עומק.</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שילוב זה מאפשר לאפיין הן את פני הקרקעית והן את המבנה הפנימי שמתחתיה. הנתונים שהתקבלו הם הבסיס לתיאור המורפולוגי שלהלן.</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 וצורת פני השטח שלה משתנה מאוד לאורכה. פסגתה, ברמת אנטאוס שמצפון לקירנאיקה, מגיעה לעומק מים של פחות מ-1,250 מטר. הזרוע היונית והזרוע הלבנטינית שלה, לעומת זאת, יורדות לעומקים של כ-3,200 ו-2,200 מטר בהתאמה.</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גם הרוחב משתנה: המנסרה מגיעה לרוחב מרבי של כ-200 ק"מ מול המישור התהומי היוני, אך מצטמצמת לרוחב ממוצע של כ-130 ק"מ בלבד בקטע שבין מרכז כרתים ללוב.</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איור 1 מציג את מבנה המערכת כולה. שונות זו לאורך הקשת דורשת הסבר, והיא עומדת במרכז הפרקים הבאים.</w:t>
      </w:r>
    </w:p>
    <w:p>
      <w:pPr>
        <w:spacing w:after="40" w:before="140"/>
        <w:jc w:val="center"/>
      </w:pPr>
      <w:r>
        <w:drawing>
          <wp:inline distT="0" distB="0" distL="0" distR="0">
            <wp:extent cx="504825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4143375"/>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הקשת החיצונית הלא-געשית (כרתים ורודוס), מערכת השקעים (השקע ההלני, פליני וסטראבו), ובחזית — מנסרת ההצטברות של ים התיכון, המסומנת בקו הצהוב המשונן. יש לשים לב לשני מאפיינים: הרוחב המשתנה של המנסרה לאורך הקשת, ומיקום השקעים בין קשת האיים לגוף המנסרה — ולא בחזיתה, כמקובל בשקעי הפחתה קלאסיים. מקור: Mikenorton, Wikimedia Commons (CC BY-SA 3.0).</w:t>
      </w:r>
      <w:r>
        <w:rPr>
          <w:rStyle w:val="FootnoteReference"/>
          <w:rFonts w:ascii="Arial" w:cs="Arial" w:eastAsia="Arial" w:hAnsi="Arial"/>
          <w:b w:val="false"/>
          <w:bCs w:val="false"/>
          <w:i/>
          <w:iCs/>
          <w:color w:val="000000"/>
          <w:sz w:val="22"/>
          <w:szCs w:val="22"/>
          <w:rtl/>
        </w:rPr>
        <w:footnoteReference w:id="21"/>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23"/>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הם משקפים גם את פיזור שכבות המלח: הקמטים בחזית המנסרה הדוקים היכן שהאוורית דקה, במיוחד בקטע שבין כרתים ללוב, והם מתרחבים בהדרגה לעבר הזרועות הלבנטינית והיונית עם התעבות שכבות האוורית.</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מתאם ישיר זה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ה-Backstop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 ה-Backstop ההלני.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ה-Backstop.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יחידות המנסרה נדחפות באופן שיטתי מעל ה-Backstop,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28"/>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שעברו עיבוד של הגירת עומק. הוא העלה שלושה תרחישי דפורמציה שונים לאורך הקשת: קפיצה של מישור הניתוק (décollement) במערב, דחיפה לאחור עזה בקטע המרכזי שבין לוב לכרתים, וטקטוניקה אופקית (transcurrent) במזרח.</w:t>
      </w:r>
      <w:r>
        <w:rPr>
          <w:rStyle w:val="FootnoteReference"/>
          <w:rFonts w:ascii="Arial" w:cs="Arial" w:eastAsia="Arial" w:hAnsi="Arial"/>
          <w:b w:val="false"/>
          <w:bCs w:val="false"/>
          <w:i w:val="false"/>
          <w:iCs w:val="false"/>
          <w:color w:val="000000"/>
          <w:sz w:val="24"/>
          <w:szCs w:val="24"/>
          <w:rtl/>
        </w:rPr>
        <w:footnoteReference w:id="30"/>
      </w:r>
      <w:r>
        <w:rPr>
          <w:rFonts w:ascii="Arial" w:cs="Arial" w:eastAsia="Arial" w:hAnsi="Arial"/>
          <w:b w:val="false"/>
          <w:bCs w:val="false"/>
          <w:i w:val="false"/>
          <w:iCs w:val="false"/>
          <w:color w:val="000000"/>
          <w:sz w:val="24"/>
          <w:szCs w:val="24"/>
          <w:rtl/>
        </w:rPr>
        <w:t xml:space="preserve"> אין מדובר אפוא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 20% עד 25% בלבד מסך אספקת המשקעים — נמדד דווקא בקטע המרכזי, שבו המנסרה סובלת מהדפורמציה המרבית; 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ערך זה נמצא בגבול העליון של שיעורי העברת החומר המוכרים בעולם.</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נתונים אלו ממחישים את עוצמת המערכת הסדימנטרית הפועלת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מבנים אלו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"הטריז המסיני" — חלק המנסרה המשלב אוורית שהושקעה בתעלת ההפחתה — אינו עולה ברוחבו על 80 ק"מ בזרוע המערבית, ושאר המנסרה בנוי ממשקעים מיוקניים שנצברו בשלביה המוקדמים.</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המלח שולט אפוא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504825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392430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בים התיכון המזרחי (אגן אנטליה הדרומי, משמאל) ובים התיכון המערבי (אגן סרדו-פרובנסל, מימין). המחזירים TS/TES ו-BS/BES מסמנים את גג הרצף ואת בסיסו בהתאמה. ניתן לראות את הרצף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(décollement)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36"/>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ניכרת בכל קנה מידה מרחבי.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באזור ה-Backstop השטוח והעמוק נצפית, לעומת זאת, גלישה כבידתית של הכיסוי הסדימנטרי צפונה, על גבי שכבות מלח הפועלות כמישור ניתוק פסיבי.</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מכלל התצפיות עולה מסקנה אחת: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39"/>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ה-Backstop.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ל-Backstop.</w:t>
      </w:r>
      <w:r>
        <w:rPr>
          <w:rStyle w:val="FootnoteReference"/>
          <w:rFonts w:ascii="Arial" w:cs="Arial" w:eastAsia="Arial" w:hAnsi="Arial"/>
          <w:b w:val="false"/>
          <w:bCs w:val="false"/>
          <w:i w:val="false"/>
          <w:iCs w:val="false"/>
          <w:color w:val="000000"/>
          <w:sz w:val="24"/>
          <w:szCs w:val="24"/>
          <w:rtl/>
        </w:rPr>
        <w:footnoteReference w:id="41"/>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הריכוז לאורך מגע המנסרה-Backstop אינו מקרי. זהו האזור שבו הדחיסה מרבית ולחצי הנוזלים בשיא, והשברים שם מספקים לנוזלים נתיב יציאה אל הקרקעית. הרי הבוץ מהווים אפוא חלון ישיר אל משטר הלחצים בעומק הטריז, ופיזורם משמש כלי מורפולוגי לזיהוי אזורי הדפורמציה הפעילה.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על ידי שלושה גורמים הפועלים יחד.</w:t>
      </w:r>
      <w:r>
        <w:rPr>
          <w:rStyle w:val="FootnoteReference"/>
          <w:rFonts w:ascii="Arial" w:cs="Arial" w:eastAsia="Arial" w:hAnsi="Arial"/>
          <w:b w:val="false"/>
          <w:bCs w:val="false"/>
          <w:i w:val="false"/>
          <w:iCs w:val="false"/>
          <w:color w:val="000000"/>
          <w:sz w:val="24"/>
          <w:szCs w:val="24"/>
          <w:rtl/>
        </w:rPr>
        <w:footnoteReference w:id="43"/>
      </w:r>
      <w:r>
        <w:rPr>
          <w:rFonts w:ascii="Arial" w:cs="Arial" w:eastAsia="Arial" w:hAnsi="Arial"/>
          <w:b w:val="false"/>
          <w:bCs w:val="false"/>
          <w:i w:val="false"/>
          <w:iCs w:val="false"/>
          <w:color w:val="000000"/>
          <w:sz w:val="24"/>
          <w:szCs w:val="24"/>
          <w:rtl/>
        </w:rPr>
        <w:t xml:space="preserve"> הגורם הראשון הוא מצב גיאודינמי של תחילת התנגשות מדרום לכרתים, שם שולי היבשת האפריקאיים והאגאיים כמעט נפגשים. הגורם השני הוא הקינמטיקה האזורית — התכנסות חזיתית מדרום לכרתים לעומת הפחתה אלכסונית בכיווני גזירה הפוכים בזרועות הצדדיות. הגורם השלישי הוא מאפייני הכיסוי הסדימנטרי, ובראשם שכבות המלח המסיביות.</w:t>
      </w:r>
      <w:r>
        <w:rPr>
          <w:rStyle w:val="FootnoteReference"/>
          <w:rFonts w:ascii="Arial" w:cs="Arial" w:eastAsia="Arial" w:hAnsi="Arial"/>
          <w:b w:val="false"/>
          <w:bCs w:val="false"/>
          <w:i w:val="false"/>
          <w:iCs w:val="false"/>
          <w:color w:val="000000"/>
          <w:sz w:val="24"/>
          <w:szCs w:val="24"/>
          <w:rtl/>
        </w:rPr>
        <w:footnoteReference w:id="44"/>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מסבירים היטב את התצפיות שהוצגו. הקינמטיקה ותחילת ההתנגשות מסבירות מדוע הזרוע המרכזית צרה ומעוותת, בעוד הזרוע היונית רחבה ושטוחה. פיזור המלח מסביר את המעבר ההדרגתי בסגנון הקימוט בין הזרועות, ואת ההבדל בין התחום הצירי חסר-האוורית לשוליים עתירי-המלח. תפקיד המלח בולט במיוחד: הוא פועל כמישור ניתוק בבסיס הטריז, ומאפשר לדפורמציה להתפרס על פני מרחב רחב במקום להתרכז בחזית צרה.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המנסרה מתרחבת כלפי חוץ בקצב של עד 10 ק"מ למיליון שנה — המהיר ביותר שתועד בהיסטוריה הגיאולוגית העדכנית.</w:t>
      </w:r>
      <w:r>
        <w:rPr>
          <w:rStyle w:val="FootnoteReference"/>
          <w:rFonts w:ascii="Arial" w:cs="Arial" w:eastAsia="Arial" w:hAnsi="Arial"/>
          <w:b w:val="false"/>
          <w:bCs w:val="false"/>
          <w:i w:val="false"/>
          <w:iCs w:val="false"/>
          <w:color w:val="000000"/>
          <w:sz w:val="24"/>
          <w:szCs w:val="24"/>
          <w:rtl/>
        </w:rPr>
        <w:footnoteReference w:id="45"/>
      </w:r>
      <w:r>
        <w:rPr>
          <w:rFonts w:ascii="Arial" w:cs="Arial" w:eastAsia="Arial" w:hAnsi="Arial"/>
          <w:b w:val="false"/>
          <w:bCs w:val="false"/>
          <w:i w:val="false"/>
          <w:iCs w:val="false"/>
          <w:color w:val="000000"/>
          <w:sz w:val="24"/>
          <w:szCs w:val="24"/>
          <w:rtl/>
        </w:rPr>
        <w:t xml:space="preserve"> שטף ההפחתה בקצה המזרחי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השילוב של אספקת משקעים שהצטברה מאז המזוזואיקון, קצב התכנסות גבוה ומישור ניתוק מלחי הוא צירוף חריג, והוא ההסבר לכך שהמורפולוגיה של המנסרה ההלנית שונה מזו של מנסרות הצטברות אחרות.</w:t>
      </w:r>
    </w:p>
    <w:p>
      <w:pPr>
        <w:bidi/>
        <w:spacing w:after="120" w:line="360" w:lineRule="auto"/>
        <w:jc w:val="both"/>
      </w:pPr>
      <w:r>
        <w:rPr>
          <w:rFonts w:ascii="Arial" w:cs="Arial" w:eastAsia="Arial" w:hAnsi="Arial"/>
          <w:b w:val="false"/>
          <w:bCs w:val="false"/>
          <w:i w:val="false"/>
          <w:iCs w:val="false"/>
          <w:color w:val="000000"/>
          <w:sz w:val="24"/>
          <w:szCs w:val="24"/>
          <w:rtl/>
        </w:rPr>
        <w:t xml:space="preserve">להבנה זו יש גם ערך מעשי מעבר למחקר הבסיסי. מערכת ההפחתה הפעילה, על שקעיה, הרי הבוץ שלה ומשטר הדפורמציה המשתנה לאורכה, מעצבת את הסיכונים הגיאולוגיים באגן כולו. סיכונים אלו כוללים רעידות אדמה, אי-יציבות מדרונות תת-ימיים וגלי צונאמי, והם נוגעים לכל מדינות החוף. מיפוי מורפולוגי מפורט של המערכת הוא לפיכך תשתית הכרחית להערכת סיכונים ולתכנון תשתיות ימיות.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השקע האוקייני ומנסרת ההצטברות של הקשת ההלנית. הוצג כי ההפחתה המהירה של הלוח האפריקאי, בקצב העולה על 3 ס"מ לשנה, יצרה טריז משקעים שאורכו מעל 1,500 ק"מ, רוחבו 200–250 ק"מ ועוביו עד 12 ק"מ.</w:t>
      </w:r>
      <w:r>
        <w:rPr>
          <w:rStyle w:val="FootnoteReference"/>
          <w:rFonts w:ascii="Arial" w:cs="Arial" w:eastAsia="Arial" w:hAnsi="Arial"/>
          <w:b w:val="false"/>
          <w:bCs w:val="false"/>
          <w:i w:val="false"/>
          <w:iCs w:val="false"/>
          <w:color w:val="000000"/>
          <w:sz w:val="24"/>
          <w:szCs w:val="24"/>
          <w:rtl/>
        </w:rPr>
        <w:footnoteReference w:id="47"/>
      </w:r>
      <w:r>
        <w:rPr>
          <w:rFonts w:ascii="Arial" w:cs="Arial" w:eastAsia="Arial" w:hAnsi="Arial"/>
          <w:b w:val="false"/>
          <w:bCs w:val="false"/>
          <w:i w:val="false"/>
          <w:iCs w:val="false"/>
          <w:color w:val="000000"/>
          <w:sz w:val="24"/>
          <w:szCs w:val="24"/>
          <w:rtl/>
        </w:rPr>
        <w:t xml:space="preserve"> בצידה הפנימי של המנסרה מתקיימת מערכת שקעים ייחודית, הכוללת את שקעי מטפן, פליני וסטראבו. שקעים אלו אינם שקעי הפחתה קלאסיים אלא שקערוריות של קדם-הקשת, שכן חזית הדפורמציה נדדה דרומה.</w:t>
      </w:r>
      <w:r>
        <w:rPr>
          <w:rStyle w:val="FootnoteReference"/>
          <w:rFonts w:ascii="Arial" w:cs="Arial" w:eastAsia="Arial" w:hAnsi="Arial"/>
          <w:b w:val="false"/>
          <w:bCs w:val="false"/>
          <w:i w:val="false"/>
          <w:iCs w:val="false"/>
          <w:color w:val="000000"/>
          <w:sz w:val="24"/>
          <w:szCs w:val="24"/>
          <w:rtl/>
        </w:rPr>
        <w:footnoteReference w:id="48"/>
      </w:r>
    </w:p>
    <w:p>
      <w:pPr>
        <w:bidi/>
        <w:spacing w:after="120" w:line="360" w:lineRule="auto"/>
        <w:jc w:val="both"/>
      </w:pPr>
      <w:r>
        <w:rPr>
          <w:rFonts w:ascii="Arial" w:cs="Arial" w:eastAsia="Arial" w:hAnsi="Arial"/>
          <w:b w:val="false"/>
          <w:bCs w:val="false"/>
          <w:i w:val="false"/>
          <w:iCs w:val="false"/>
          <w:color w:val="000000"/>
          <w:sz w:val="24"/>
          <w:szCs w:val="24"/>
          <w:rtl/>
        </w:rPr>
        <w:t xml:space="preserve">ניתוח המורפולוגיה והתהליכים העלה כי השונות של המנסרה נשלטת על ידי שלושה גורמים משולבים. אלו הם תחילת ההתנגשות מדרום לכרתים, הקינמטיקה של התכנסות חזיתית מול הפחתה אלכסונית, ופיזור שכבות האוורית המסינית המשמשות מישור ניתוק.</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מאזן המסה מלמד ששיעור ההצטברות במרכז המנסרה עומד על 20%–25% בלבד מסך אספקת המשקעים.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למרות שיעור נמוך זה, המנסרה היא הצומחת במהירות הגבוהה ביותר בעולם — עדות לעוצמת אספקת המשקעים במערכת.</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מדגימה עיקרון רחב יותר בחקר מורפולוגיית קרקעית הים. צורת פני הקרקעית משקפת ישירות את התהליכים הפועלים מתחתיה: חגורות הקמטים מתרחבות עם התעבות שכבות המלח, הרי הבוץ מסמנים את קו המגע עם ה-Backstop, וצורת הטריז כולה מוכתבת על ידי שכבה הקבורה קילומטרים בעומק. במובן זה, המערכת ההלנית היא מעבדה טבעית לחקר יחסי הגומלין בין טקטוניקה, סדימנטולוגיה ומורפולוגיה ימית.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eastern Mediterranean Sea. Marine and Petroleum Geology, 91, 297–320. https://doi.org/10.1016/j.marpetgeo.2018.01.010</w:t>
      </w:r>
      <w:r>
        <w:rPr>
          <w:rStyle w:val="FootnoteReference"/>
          <w:rFonts w:ascii="Arial" w:cs="Arial" w:eastAsia="Arial" w:hAnsi="Arial"/>
          <w:b w:val="false"/>
          <w:bCs w:val="false"/>
          <w:i w:val="false"/>
          <w:iCs w:val="false"/>
          <w:color w:val="000000"/>
          <w:sz w:val="22"/>
          <w:szCs w:val="22"/>
          <w:rtl w:val="0"/>
        </w:rPr>
        <w:footnoteReference w:id="51"/>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Marine Geophysical Research, 27(1),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Journal of Geophysical Research: Solid Earth, 108(B8), 2372. https://doi.org/10.1029/2001JB000473</w:t>
      </w:r>
      <w:r>
        <w:rPr>
          <w:rStyle w:val="FootnoteReference"/>
          <w:rFonts w:ascii="Arial" w:cs="Arial" w:eastAsia="Arial" w:hAnsi="Arial"/>
          <w:b w:val="false"/>
          <w:bCs w:val="false"/>
          <w:i w:val="false"/>
          <w:iCs w:val="false"/>
          <w:color w:val="000000"/>
          <w:sz w:val="22"/>
          <w:szCs w:val="22"/>
          <w:rtl w:val="0"/>
        </w:rPr>
        <w:footnoteReference w:id="52"/>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תקציר (פס' 1).</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0">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11">
    <w:p>
      <w:pPr>
        <w:pStyle w:val="FootnoteText"/>
        <w:bidi/>
      </w:pPr>
      <w:r>
        <w:rPr>
          <w:rStyle w:val="FootnoteReference"/>
        </w:rPr>
        <w:footnoteRef/>
      </w:r>
      <w:r>
        <w:rPr>
          <w:rFonts w:ascii="Arial" w:hAnsi="Arial" w:cs="Arial" w:eastAsia="Arial"/>
          <w:sz w:val="20"/>
          <w:szCs w:val="20"/>
          <w:rtl/>
        </w:rPr>
        <w:t xml:space="preserve"> Huguen et al. (2006), עמ' 61 (תקציר).</w:t>
      </w:r>
    </w:p>
  </w:footnote>
  <w:footnote w:id="12">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4">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5">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6">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17">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1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19">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0">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1">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4">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ו-The Western Mediterranean Ridge).</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28">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29">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0">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1">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2">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33">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34">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35">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36">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eastern Mediterranean Sea. Marine and Petroleum Geology, 91, 297–320. איור 21, עמ' 315; הפאנל המערבי שבו לקוח אצל המחברים מ-Dal Cin et al. (2016).</w:t>
      </w:r>
    </w:p>
  </w:footnote>
  <w:footnote w:id="37">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38">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39">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0">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1">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3">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45">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46">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48">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49">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0">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51">
    <w:p>
      <w:pPr>
        <w:pStyle w:val="FootnoteText"/>
        <w:bidi/>
      </w:pPr>
      <w:r>
        <w:rPr>
          <w:rStyle w:val="FootnoteReference"/>
        </w:rPr>
        <w:footnoteRef/>
      </w:r>
      <w:r>
        <w:rPr>
          <w:rFonts w:ascii="Arial" w:hAnsi="Arial" w:cs="Arial" w:eastAsia="Arial"/>
          <w:sz w:val="20"/>
          <w:szCs w:val="20"/>
          <w:rtl/>
        </w:rPr>
        <w:t xml:space="preserve"> מקור איור 2</w:t>
      </w:r>
    </w:p>
  </w:footnote>
  <w:footnote w:id="52">
    <w:p>
      <w:pPr>
        <w:pStyle w:val="FootnoteText"/>
        <w:bidi/>
      </w:pPr>
      <w:r>
        <w:rPr>
          <w:rStyle w:val="FootnoteReference"/>
        </w:rPr>
        <w:footnoteRef/>
      </w:r>
      <w:r>
        <w:rPr>
          <w:rFonts w:ascii="Arial" w:hAnsi="Arial" w:cs="Arial" w:eastAsia="Arial"/>
          <w:sz w:val="20"/>
          <w:szCs w:val="20"/>
          <w:rtl/>
        </w:rPr>
        <w:t xml:space="preserve"> מאמר בפורמט AGU, הממוספר בפסקאות ולא בעמודים; ההפניות בגוף העבודה ניתנות בהתאם, לפי תקציר, מספר פסקה או פרק.</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