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line="240" w:lineRule="auto" w:after="80" w:before="0"/>
        <w:jc w:val="right"/>
      </w:pPr>
      <w:r>
        <w:rPr>
          <w:rFonts w:ascii="Arial" w:hAnsi="Arial" w:cs="Arial"/>
          <w:b/>
          <w:bCs/>
          <w:sz w:val="28"/>
          <w:szCs w:val="28"/>
          <w:rtl w:val="1"/>
          <w:lang w:bidi="he-IL" w:val="en-US"/>
        </w:rPr>
        <w:t>מסמך אימות ציטוטים</w:t>
      </w:r>
    </w:p>
    <w:p>
      <w:pPr>
        <w:bidi/>
        <w:spacing w:line="240" w:lineRule="auto" w:after="160" w:before="0"/>
        <w:jc w:val="right"/>
      </w:pPr>
      <w:r>
        <w:rPr>
          <w:rFonts w:ascii="Arial" w:hAnsi="Arial" w:cs="Arial"/>
          <w:sz w:val="22"/>
          <w:szCs w:val="22"/>
          <w:rtl w:val="1"/>
          <w:lang w:bidi="he-IL" w:val="en-US"/>
        </w:rPr>
        <w:t>מסמך עבודה פנימי, נלווה לעבודת הסיכום "מערכות שקע אוקייני ומנסרות הצטברות: הקשת ההלנית". המסמך אינו חלק מן ההגשה.</w:t>
      </w:r>
    </w:p>
    <w:p>
      <w:pPr>
        <w:bidi/>
        <w:spacing w:line="240" w:lineRule="auto" w:after="200" w:before="0"/>
        <w:jc w:val="right"/>
      </w:pPr>
      <w:r>
        <w:rPr>
          <w:rFonts w:ascii="Arial" w:hAnsi="Arial" w:cs="Arial"/>
          <w:sz w:val="22"/>
          <w:szCs w:val="22"/>
          <w:rtl w:val="1"/>
          <w:lang w:bidi="he-IL" w:val="en-US"/>
        </w:rPr>
        <w:t>לכל אחת מהערות השוליים שבעבודה מובאים כאן המקור, הלוקטור המדויק (עמוד מודפס אצל Huguen ו-Güneş; מספר פסקה בפורמט AGU אצל Kopf ו-Royden), הטענה כפי שנוסחה בעבודה, והציטוט המילולי שממנו היא נגזרת. כל 56 הציטוטים אותרו אוטומטית בקובצי ה-PDF של המאמרים, בעמוד או בפסקה שהלוקטור טוען לו, לפני שנכתבו לכאן.</w:t>
      </w:r>
    </w:p>
    <w:p>
      <w:pPr>
        <w:keepNext/>
        <w:bidi/>
        <w:spacing w:line="240" w:lineRule="auto" w:after="80" w:before="0"/>
        <w:jc w:val="right"/>
      </w:pPr>
      <w:r>
        <w:rPr>
          <w:rFonts w:ascii="Arial" w:hAnsi="Arial" w:cs="Arial"/>
          <w:b/>
          <w:bCs/>
          <w:sz w:val="24"/>
          <w:szCs w:val="24"/>
          <w:rtl w:val="1"/>
          <w:lang w:bidi="he-IL" w:val="en-US"/>
        </w:rPr>
        <w:t>המקורות</w:t>
      </w:r>
    </w:p>
    <w:p>
      <w:pPr>
        <w:spacing w:line="240" w:lineRule="auto" w:after="80" w:before="0"/>
        <w:ind w:left="340" w:start="340"/>
        <w:jc w:val="left"/>
      </w:pPr>
      <w:r>
        <w:rPr>
          <w:rFonts w:ascii="Arial" w:hAnsi="Arial" w:cs="Arial"/>
          <w:sz w:val="20"/>
          <w:szCs w:val="20"/>
          <w:rtl w:val="0"/>
          <w:lang w:bidi="he-IL" w:val="en-US"/>
        </w:rPr>
        <w:t>Güneş, P., Aksu, A. E., &amp; Hall, J. (2018). Internal seismic stratigraphy of the Messinian evaporites across the northern sector of the eastern Mediterranean Sea. Marine and Petroleum Geology, 91, 297–320.</w:t>
      </w:r>
    </w:p>
    <w:p>
      <w:pPr>
        <w:spacing w:line="240" w:lineRule="auto" w:after="80" w:before="0"/>
        <w:ind w:left="340" w:start="340"/>
        <w:jc w:val="left"/>
      </w:pPr>
      <w:r>
        <w:rPr>
          <w:rFonts w:ascii="Arial" w:hAnsi="Arial" w:cs="Arial"/>
          <w:sz w:val="20"/>
          <w:szCs w:val="20"/>
          <w:rtl w:val="0"/>
          <w:lang w:bidi="he-IL" w:val="en-US"/>
        </w:rPr>
        <w:t>Huguen, C., Chamot-Rooke, N., Loubrieu, B., &amp; Mascle, J. (2006). Morphology of a pre-collisional, salt-bearing, accretionary complex: The Mediterranean Ridge (Eastern Mediterranean). Marine Geophysical Researches, 27(1), 61–75.</w:t>
      </w:r>
    </w:p>
    <w:p>
      <w:pPr>
        <w:spacing w:line="240" w:lineRule="auto" w:after="80" w:before="0"/>
        <w:ind w:left="340" w:start="340"/>
        <w:jc w:val="left"/>
      </w:pPr>
      <w:r>
        <w:rPr>
          <w:rFonts w:ascii="Arial" w:hAnsi="Arial" w:cs="Arial"/>
          <w:sz w:val="20"/>
          <w:szCs w:val="20"/>
          <w:rtl w:val="0"/>
          <w:lang w:bidi="he-IL" w:val="en-US"/>
        </w:rPr>
        <w:t>Kopf, A., Mascle, J., &amp; Klaeschen, D. (2003). The Mediterranean Ridge: A mass balance across the fastest growing accretionary complex on Earth. Journal of Geophysical Research: Solid Earth, 108(B8), 2372.</w:t>
      </w:r>
    </w:p>
    <w:p>
      <w:pPr>
        <w:spacing w:line="240" w:lineRule="auto" w:after="80" w:before="0"/>
        <w:ind w:left="340" w:start="340"/>
        <w:jc w:val="left"/>
      </w:pPr>
      <w:r>
        <w:rPr>
          <w:rFonts w:ascii="Arial" w:hAnsi="Arial" w:cs="Arial"/>
          <w:sz w:val="20"/>
          <w:szCs w:val="20"/>
          <w:rtl w:val="0"/>
          <w:lang w:bidi="he-IL" w:val="en-US"/>
        </w:rPr>
        <w:t>Royden, L. H., &amp; Papanikolaou, D. J. (2011). Slab segmentation and late Cenozoic disruption of the Hellenic arc. Geochemistry, Geophysics, Geosystems, 12(3), Q03010.</w:t>
      </w:r>
    </w:p>
    <w:p>
      <w:pPr>
        <w:bidi/>
        <w:spacing w:line="240" w:lineRule="auto" w:after="120" w:before="0"/>
        <w:jc w:val="right"/>
      </w:pPr>
    </w:p>
    <w:p>
      <w:pPr>
        <w:keepNext/>
        <w:bidi/>
        <w:spacing w:line="240" w:lineRule="auto" w:after="120" w:before="0"/>
        <w:jc w:val="right"/>
      </w:pPr>
      <w:r>
        <w:rPr>
          <w:rFonts w:ascii="Arial" w:hAnsi="Arial" w:cs="Arial"/>
          <w:b/>
          <w:bCs/>
          <w:sz w:val="24"/>
          <w:szCs w:val="24"/>
          <w:rtl w:val="1"/>
          <w:lang w:bidi="he-IL" w:val="en-US"/>
        </w:rPr>
        <w:t>ההערות</w:t>
      </w:r>
    </w:p>
    <w:p>
      <w:pPr>
        <w:keepNext/>
        <w:bidi/>
        <w:spacing w:line="240" w:lineRule="auto" w:after="40" w:before="0"/>
        <w:jc w:val="right"/>
      </w:pPr>
      <w:r>
        <w:rPr>
          <w:rFonts w:ascii="Arial" w:hAnsi="Arial" w:cs="Arial"/>
          <w:b/>
          <w:bCs/>
          <w:sz w:val="22"/>
          <w:szCs w:val="22"/>
          <w:rtl w:val="1"/>
          <w:lang w:bidi="he-IL" w:val="en-US"/>
        </w:rPr>
        <w:t>הערה 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C., Chamot-Rooke, N., Loubrieu, B., &amp; Mascle, J. (2006). Morphology of a pre-collisional, salt-bearing, accretionary complex: The Mediterranean Ridge (Eastern Mediterranean). Marine Geophysical Researches, 27(1), 61–75.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לאורכה נשקע הלוח האפריקאי מתחת ללוח הים האגאי בקצב העולה על 3 ס"מ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“which results from the relatively rapid (&gt;3 cm/year) subduction of the African plate beneath eastern Europe”</w:t>
      </w:r>
    </w:p>
    <w:p>
      <w:pPr>
        <w:keepNext/>
        <w:bidi/>
        <w:spacing w:line="240" w:lineRule="auto" w:after="40" w:before="0"/>
        <w:jc w:val="right"/>
      </w:pPr>
      <w:r>
        <w:rPr>
          <w:rFonts w:ascii="Arial" w:hAnsi="Arial" w:cs="Arial"/>
          <w:b/>
          <w:bCs/>
          <w:sz w:val="22"/>
          <w:szCs w:val="22"/>
          <w:rtl w:val="1"/>
          <w:lang w:bidi="he-IL" w:val="en-US"/>
        </w:rPr>
        <w:t>הערה 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הקרום הנשקע הוא שרידו של אגן אוקייני מזוזואי עמוק, שכמעט כולו נסגר בהתכנסות ארוכת-הטווח בין אירואסיה לאפריקה.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Eastern Mediterranean Sea is a remnant of a deep Mesozoic oceanic basin, now almost totally consumed as a result of long-term plate convergence between Eurasia and Africa.”</w:t>
      </w:r>
    </w:p>
    <w:p>
      <w:pPr>
        <w:keepNext/>
        <w:bidi/>
        <w:spacing w:line="240" w:lineRule="auto" w:after="40" w:before="0"/>
        <w:jc w:val="right"/>
      </w:pPr>
      <w:r>
        <w:rPr>
          <w:rFonts w:ascii="Arial" w:hAnsi="Arial" w:cs="Arial"/>
          <w:b/>
          <w:bCs/>
          <w:sz w:val="22"/>
          <w:szCs w:val="22"/>
          <w:rtl w:val="1"/>
          <w:lang w:bidi="he-IL" w:val="en-US"/>
        </w:rPr>
        <w:t>הערה 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שקעי מטפן, פליני וסטראבו מלווים את מרגלות מדרונות היבשת של הפלופונס, כרתים ורודוס.</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“and surrounding the foot of Peloponnesus, Crete and Rhodes islands continental slopes”</w:t>
      </w:r>
    </w:p>
    <w:p>
      <w:pPr>
        <w:keepNext/>
        <w:bidi/>
        <w:spacing w:line="240" w:lineRule="auto" w:after="40" w:before="0"/>
        <w:jc w:val="right"/>
      </w:pPr>
      <w:r>
        <w:rPr>
          <w:rFonts w:ascii="Arial" w:hAnsi="Arial" w:cs="Arial"/>
          <w:b/>
          <w:bCs/>
          <w:sz w:val="22"/>
          <w:szCs w:val="22"/>
          <w:rtl w:val="1"/>
          <w:lang w:bidi="he-IL" w:val="en-US"/>
        </w:rPr>
        <w:t>הערה 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זהו טריז משקעים מקושת שאורכו עולה על 1,500 ק"מ ורוחבו 200–250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large, arc-shaped, sedimentary wedge, more than 1500 km long and 200-250 km wide, known as the Mediterranean Ridge”</w:t>
      </w:r>
    </w:p>
    <w:p>
      <w:pPr>
        <w:keepNext/>
        <w:bidi/>
        <w:spacing w:line="240" w:lineRule="auto" w:after="40" w:before="0"/>
        <w:jc w:val="right"/>
      </w:pPr>
      <w:r>
        <w:rPr>
          <w:rFonts w:ascii="Arial" w:hAnsi="Arial" w:cs="Arial"/>
          <w:b/>
          <w:bCs/>
          <w:sz w:val="22"/>
          <w:szCs w:val="22"/>
          <w:rtl w:val="1"/>
          <w:lang w:bidi="he-IL" w:val="en-US"/>
        </w:rPr>
        <w:t>הערה 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A., Mascle, J., &amp; Klaeschen, D. (2003). The Mediterranean Ridge: A mass balance across the fastest growing accretionary complex on Earth. Journal of Geophysical Research: Solid Earth, 108(B8), 2372.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היא נחשבת למנסרת ההצטברות הצומחת במהירות הגבוהה ביותר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התהליך מגרד מן הלוח האפריקאי הנשקע ערמת משקעים עבה, שעוביה מגיע עד 12 ק"מ.</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“The Mediterranean Ridge, which consists of a thick pile (up to 12 km) of offscrapped and stacked sediments”</w:t>
      </w:r>
    </w:p>
    <w:p>
      <w:pPr>
        <w:keepNext/>
        <w:bidi/>
        <w:spacing w:line="240" w:lineRule="auto" w:after="40" w:before="0"/>
        <w:jc w:val="right"/>
      </w:pPr>
      <w:r>
        <w:rPr>
          <w:rFonts w:ascii="Arial" w:hAnsi="Arial" w:cs="Arial"/>
          <w:b/>
          <w:bCs/>
          <w:sz w:val="22"/>
          <w:szCs w:val="22"/>
          <w:rtl w:val="1"/>
          <w:lang w:bidi="he-IL" w:val="en-US"/>
        </w:rPr>
        <w:t>הערה 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ההצטברות החלה לפני כ-19 מיליון שנה, במקביל לחשיפת יריעות דחיפה בשולי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onset of accretion coincides with exhumation of thrust sheets (19 Ma), followed by rapid sediment accretion with thick, evaporite-bearing incoming successions facilitating outward growth of the wedge.”</w:t>
      </w:r>
    </w:p>
    <w:p>
      <w:pPr>
        <w:keepNext/>
        <w:bidi/>
        <w:spacing w:line="240" w:lineRule="auto" w:after="40" w:before="0"/>
        <w:jc w:val="right"/>
      </w:pPr>
      <w:r>
        <w:rPr>
          <w:rFonts w:ascii="Arial" w:hAnsi="Arial" w:cs="Arial"/>
          <w:b/>
          <w:bCs/>
          <w:sz w:val="22"/>
          <w:szCs w:val="22"/>
          <w:rtl w:val="1"/>
          <w:lang w:bidi="he-IL" w:val="en-US"/>
        </w:rPr>
        <w:t>הערה 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(תקציר ומבוא).</w:t>
      </w:r>
    </w:p>
    <w:p>
      <w:pPr>
        <w:bidi/>
        <w:spacing w:line="240" w:lineRule="auto" w:after="40" w:before="0"/>
        <w:ind w:right="283" w:end="283"/>
        <w:jc w:val="right"/>
      </w:pPr>
      <w:r>
        <w:rPr>
          <w:rFonts w:ascii="Arial" w:hAnsi="Arial" w:cs="Arial"/>
          <w:sz w:val="22"/>
          <w:szCs w:val="22"/>
          <w:rtl w:val="1"/>
          <w:lang w:bidi="he-IL" w:val="en-US"/>
        </w:rPr>
        <w:t>הטענה בעבודה: שכבות אלו הושקעו במיוקן העליון, בתקופה המסינית, ועוביין מגיע מקומית עד 2 ק"מ בכיסוי העליון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“partly because it contains, in its upper sedimentary cover, thick Upper Miocene/Messinian evaporitic sequences (locally up to 2 km)”</w:t>
      </w:r>
    </w:p>
    <w:p>
      <w:pPr>
        <w:keepNext/>
        <w:bidi/>
        <w:spacing w:line="240" w:lineRule="auto" w:after="40" w:before="0"/>
        <w:jc w:val="right"/>
      </w:pPr>
      <w:r>
        <w:rPr>
          <w:rFonts w:ascii="Arial" w:hAnsi="Arial" w:cs="Arial"/>
          <w:b/>
          <w:bCs/>
          <w:sz w:val="22"/>
          <w:szCs w:val="22"/>
          <w:rtl w:val="1"/>
          <w:lang w:bidi="he-IL" w:val="en-US"/>
        </w:rPr>
        <w:t>הערה 9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איור 1a.</w:t>
      </w:r>
    </w:p>
    <w:p>
      <w:pPr>
        <w:bidi/>
        <w:spacing w:line="240" w:lineRule="auto" w:after="40" w:before="0"/>
        <w:ind w:right="283" w:end="283"/>
        <w:jc w:val="right"/>
      </w:pPr>
      <w:r>
        <w:rPr>
          <w:rFonts w:ascii="Arial" w:hAnsi="Arial" w:cs="Arial"/>
          <w:sz w:val="22"/>
          <w:szCs w:val="22"/>
          <w:rtl w:val="1"/>
          <w:lang w:bidi="he-IL" w:val="en-US"/>
        </w:rPr>
        <w:t>הטענה בעבודה: כרתים היא רמה טופוגרפית של קדם-הקשת (forearc), אשר שימשה בעבר כ-Backstop שאפשר את הצטברות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בכיתוב איור 1a (עמוד 2 בקובץ ה-PDF):</w:t>
      </w:r>
    </w:p>
    <w:p>
      <w:pPr>
        <w:spacing w:line="240" w:lineRule="auto" w:after="200" w:before="0"/>
        <w:ind w:left="680" w:start="680"/>
        <w:jc w:val="left"/>
      </w:pPr>
      <w:r>
        <w:rPr>
          <w:rFonts w:ascii="Arial" w:hAnsi="Arial" w:cs="Arial"/>
          <w:i/>
          <w:iCs/>
          <w:sz w:val="20"/>
          <w:szCs w:val="20"/>
          <w:rtl w:val="0"/>
          <w:lang w:bidi="he-IL" w:val="en-US"/>
        </w:rPr>
        <w:t>“Crete is a forearc topographic high, which earlier acted as the backstop to allow accretion of the Mediterranean Ridge (light shading).”</w:t>
      </w:r>
    </w:p>
    <w:p>
      <w:pPr>
        <w:keepNext/>
        <w:bidi/>
        <w:spacing w:line="240" w:lineRule="auto" w:after="40" w:before="0"/>
        <w:jc w:val="right"/>
      </w:pPr>
      <w:r>
        <w:rPr>
          <w:rFonts w:ascii="Arial" w:hAnsi="Arial" w:cs="Arial"/>
          <w:b/>
          <w:bCs/>
          <w:sz w:val="22"/>
          <w:szCs w:val="22"/>
          <w:rtl w:val="1"/>
          <w:lang w:bidi="he-IL" w:val="en-US"/>
        </w:rPr>
        <w:t>הערה 10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(היונית) ובזרוע המזרחית (הלבנטינית), לעומת זאת, ההפחתה אלכסונית ובעלת כיווני גזירה הפוכים זה לזה.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“a unique regional kinematics, controlled by frontal convergence south of Crete (central Mediterranean Ridge) and oblique subduction with opposite sense of shear for the western (Ionian) and eastern (Levantine) domains of the Mediterranean Ridge”</w:t>
      </w:r>
    </w:p>
    <w:p>
      <w:pPr>
        <w:keepNext/>
        <w:bidi/>
        <w:spacing w:line="240" w:lineRule="auto" w:after="40" w:before="0"/>
        <w:jc w:val="right"/>
      </w:pPr>
      <w:r>
        <w:rPr>
          <w:rFonts w:ascii="Arial" w:hAnsi="Arial" w:cs="Arial"/>
          <w:b/>
          <w:bCs/>
          <w:sz w:val="22"/>
          <w:szCs w:val="22"/>
          <w:rtl w:val="1"/>
          <w:lang w:bidi="he-IL" w:val="en-US"/>
        </w:rPr>
        <w:t>הערה 11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L. H., &amp; Papanikolaou, D. J. (2011). Slab segmentation and late Cenozoic disruption of the Hellenic arc. Geochemistry, Geophysics, Geosystems, 12(3), Q03010. פס' 7 (סעיף 2.1, Active Subduction).</w:t>
      </w:r>
    </w:p>
    <w:p>
      <w:pPr>
        <w:bidi/>
        <w:spacing w:line="240" w:lineRule="auto" w:after="40" w:before="0"/>
        <w:ind w:right="283" w:end="283"/>
        <w:jc w:val="right"/>
      </w:pPr>
      <w:r>
        <w:rPr>
          <w:rFonts w:ascii="Arial" w:hAnsi="Arial" w:cs="Arial"/>
          <w:sz w:val="22"/>
          <w:szCs w:val="22"/>
          <w:rtl w:val="1"/>
          <w:lang w:bidi="he-IL" w:val="en-US"/>
        </w:rPr>
        <w:t>הטענה בעבודה: מדידות GPS מראות התכנסות של כ-35 מ"מ לשנה לרוחב ההלנידים הדרומיים, בין אפריקה לבין נקודות בלוח האגאי הרוכב.</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7 (עמוד 2 בקובץ ה-PDF):</w:t>
      </w:r>
    </w:p>
    <w:p>
      <w:pPr>
        <w:spacing w:line="240" w:lineRule="auto" w:after="200" w:before="0"/>
        <w:ind w:left="680" w:start="680"/>
        <w:jc w:val="left"/>
      </w:pPr>
      <w:r>
        <w:rPr>
          <w:rFonts w:ascii="Arial" w:hAnsi="Arial" w:cs="Arial"/>
          <w:i/>
          <w:iCs/>
          <w:sz w:val="20"/>
          <w:szCs w:val="20"/>
          <w:rtl w:val="0"/>
          <w:lang w:bidi="he-IL" w:val="en-US"/>
        </w:rPr>
        <w:t>“GPS data indicate a convergence rate of ~35 mm/yr across the southern Hellenides, as measured between Africa and points in the overriding (Aegean) domain”</w:t>
      </w:r>
    </w:p>
    <w:p>
      <w:pPr>
        <w:keepNext/>
        <w:bidi/>
        <w:spacing w:line="240" w:lineRule="auto" w:after="40" w:before="0"/>
        <w:jc w:val="right"/>
      </w:pPr>
      <w:r>
        <w:rPr>
          <w:rFonts w:ascii="Arial" w:hAnsi="Arial" w:cs="Arial"/>
          <w:b/>
          <w:bCs/>
          <w:sz w:val="22"/>
          <w:szCs w:val="22"/>
          <w:rtl w:val="1"/>
          <w:lang w:bidi="he-IL" w:val="en-US"/>
        </w:rPr>
        <w:t>הערה 12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מדרומו שוקעת ליתוספרה אוקיינית יונית, צפופה הרבה יותר, בקצב של כ-35 מ"מ לשנה.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13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ההבדל בין המקטעים גדול דיו כדי להסיט את חזית ההפחתה עצמה, שמוסטת בהיסט ימני של 100–120 ק"מ לרוחב אזור העתק קפלוניה.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active Hellenic subduction front is dextrally offset by 100-120 km across the Kephalonia Transform Zone”</w:t>
      </w:r>
    </w:p>
    <w:p>
      <w:pPr>
        <w:keepNext/>
        <w:bidi/>
        <w:spacing w:line="240" w:lineRule="auto" w:after="40" w:before="0"/>
        <w:jc w:val="right"/>
      </w:pPr>
      <w:r>
        <w:rPr>
          <w:rFonts w:ascii="Arial" w:hAnsi="Arial" w:cs="Arial"/>
          <w:b/>
          <w:bCs/>
          <w:sz w:val="22"/>
          <w:szCs w:val="22"/>
          <w:rtl w:val="1"/>
          <w:lang w:bidi="he-IL" w:val="en-US"/>
        </w:rPr>
        <w:t>הערה 14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אלו הן שקע מטפן, שקע פליני, שקע סטראבו ותעלת רודוס, שעומקן נע בין 3,000 ל-5,000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 ranging in depth from 5000 to 3000 m”</w:t>
      </w:r>
    </w:p>
    <w:p>
      <w:pPr>
        <w:keepNext/>
        <w:bidi/>
        <w:spacing w:line="240" w:lineRule="auto" w:after="40" w:before="0"/>
        <w:jc w:val="right"/>
      </w:pPr>
      <w:r>
        <w:rPr>
          <w:rFonts w:ascii="Arial" w:hAnsi="Arial" w:cs="Arial"/>
          <w:b/>
          <w:bCs/>
          <w:sz w:val="22"/>
          <w:szCs w:val="22"/>
          <w:rtl w:val="1"/>
          <w:lang w:bidi="he-IL" w:val="en-US"/>
        </w:rPr>
        <w:t>הערה 15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גובלת המנסרה במישורים תהומיים רדודים יותר, ובהם המישור התהומי היוני בעומק 4,000 מטר ומישור הרודוטוס בעומק כ-3,100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“the Mediterranean Ridge faces discontinuous segments of abyssal plains whose water depths range between 4000 m (Ionian Abyssal Plain) to 3100 m (Herodotus Abyssal Plain at the base of the Egyptian margin)”</w:t>
      </w:r>
    </w:p>
    <w:p>
      <w:pPr>
        <w:keepNext/>
        <w:bidi/>
        <w:spacing w:line="240" w:lineRule="auto" w:after="40" w:before="0"/>
        <w:jc w:val="right"/>
      </w:pPr>
      <w:r>
        <w:rPr>
          <w:rFonts w:ascii="Arial" w:hAnsi="Arial" w:cs="Arial"/>
          <w:b/>
          <w:bCs/>
          <w:sz w:val="22"/>
          <w:szCs w:val="22"/>
          <w:rtl w:val="1"/>
          <w:lang w:bidi="he-IL" w:val="en-US"/>
        </w:rPr>
        <w:t>הערה 16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מדובר בשקערורית של קדם-הקשת (forearc depression) שהמילוי הסדימנטרי בה מועט.</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17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חזית הדפורמציה האמיתית, שבה מתחיל גירוד המשקעים, נדדה דרומה עם ההצטברות המתמשכת, והיום היא נמצאת בשוליים החיצוניים של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“However, with ongoing accretion in the Plio-Quaternary this deformation front migrated southward”</w:t>
      </w:r>
    </w:p>
    <w:p>
      <w:pPr>
        <w:keepNext/>
        <w:bidi/>
        <w:spacing w:line="240" w:lineRule="auto" w:after="40" w:before="0"/>
        <w:jc w:val="right"/>
      </w:pPr>
      <w:r>
        <w:rPr>
          <w:rFonts w:ascii="Arial" w:hAnsi="Arial" w:cs="Arial"/>
          <w:b/>
          <w:bCs/>
          <w:sz w:val="22"/>
          <w:szCs w:val="22"/>
          <w:rtl w:val="1"/>
          <w:lang w:bidi="he-IL" w:val="en-US"/>
        </w:rPr>
        <w:t>הערה 18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72–73 (הסעיפים The Eastern Mediterranean Ridge ו-Conclusion).</w:t>
      </w:r>
    </w:p>
    <w:p>
      <w:pPr>
        <w:bidi/>
        <w:spacing w:line="240" w:lineRule="auto" w:after="40" w:before="0"/>
        <w:ind w:right="283" w:end="283"/>
        <w:jc w:val="right"/>
      </w:pPr>
      <w:r>
        <w:rPr>
          <w:rFonts w:ascii="Arial" w:hAnsi="Arial" w:cs="Arial"/>
          <w:sz w:val="22"/>
          <w:szCs w:val="22"/>
          <w:rtl w:val="1"/>
          <w:lang w:bidi="he-IL" w:val="en-US"/>
        </w:rPr>
        <w:t>הטענה בעבודה: הם ערוכים במערך מדורג (en échelon) בכיוון צפון-מזרח–דרום-מערב, אגניהם רחבים ומלאים חלקית במשקעים, והמבנה כולו מבטא תנועת גזירה שמאלית.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“Both trenches are composed of successive wide and partly sedimented basins, en echelon arranged, and clearly representative of left lateral strike-slip movement.”</w:t>
      </w:r>
    </w:p>
    <w:p>
      <w:pPr>
        <w:keepNext/>
        <w:bidi/>
        <w:spacing w:line="240" w:lineRule="auto" w:after="40" w:before="0"/>
        <w:jc w:val="right"/>
      </w:pPr>
      <w:r>
        <w:rPr>
          <w:rFonts w:ascii="Arial" w:hAnsi="Arial" w:cs="Arial"/>
          <w:b/>
          <w:bCs/>
          <w:sz w:val="22"/>
          <w:szCs w:val="22"/>
          <w:rtl w:val="1"/>
          <w:lang w:bidi="he-IL" w:val="en-US"/>
        </w:rPr>
        <w:t>הערה 19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Eastern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לצידו מתנשאים הרי סטראבו, שרשרת מבנים בתימטריים מסיביים בכיוון כללי N60, שנקרעו משולי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“Between these two trenches, the backstop area is composed of: a plateau-like area, slightly sloping northwards, and characterized by large lobe-like features, interpreted as gravity induced deformation (Mascle et al., 1999), and the Strabo Seamounts, a series of massive bathymetric highs trending in a general N60 direction, rifted from the Cretan margin”</w:t>
      </w:r>
    </w:p>
    <w:p>
      <w:pPr>
        <w:keepNext/>
        <w:bidi/>
        <w:spacing w:line="240" w:lineRule="auto" w:after="40" w:before="0"/>
        <w:jc w:val="right"/>
      </w:pPr>
      <w:r>
        <w:rPr>
          <w:rFonts w:ascii="Arial" w:hAnsi="Arial" w:cs="Arial"/>
          <w:b/>
          <w:bCs/>
          <w:sz w:val="22"/>
          <w:szCs w:val="22"/>
          <w:rtl w:val="1"/>
          <w:lang w:bidi="he-IL" w:val="en-US"/>
        </w:rPr>
        <w:t>הערה 20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האחד הוא הגבול בין שולי כרתים לאזור ה-Backstop, המתבטא בשקע פליני, והשני הוא המגע בין הרי סטראבו לתחום הפנימי של המנסרה, המתבטא בשקע סטראבו.</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“Along the eastern branch, shearing is also mainly restricted to the boundary between the Cretan margin and the backstop area (Pliny Trench) and the contact between the Strabo Mountains and the Mediterranean Ridge Inner domain (Strabo Trench).”</w:t>
      </w:r>
    </w:p>
    <w:p>
      <w:pPr>
        <w:keepNext/>
        <w:bidi/>
        <w:spacing w:line="240" w:lineRule="auto" w:after="40" w:before="0"/>
        <w:jc w:val="right"/>
      </w:pPr>
      <w:r>
        <w:rPr>
          <w:rFonts w:ascii="Arial" w:hAnsi="Arial" w:cs="Arial"/>
          <w:b/>
          <w:bCs/>
          <w:sz w:val="22"/>
          <w:szCs w:val="22"/>
          <w:rtl w:val="1"/>
          <w:lang w:bidi="he-IL" w:val="en-US"/>
        </w:rPr>
        <w:t>הערה 21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מצפון תוחם אותה שקע מטפן, העובר למרגלות המדרון היבשתי האגאי.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“a northern area in tectonic backthrust contact with a flat inner region extending just south of the deep troughs (Matapan Trench) that run at the base of the Aegean continental slope”</w:t>
      </w:r>
    </w:p>
    <w:p>
      <w:pPr>
        <w:keepNext/>
        <w:bidi/>
        <w:spacing w:line="240" w:lineRule="auto" w:after="40" w:before="0"/>
        <w:jc w:val="right"/>
      </w:pPr>
      <w:r>
        <w:rPr>
          <w:rFonts w:ascii="Arial" w:hAnsi="Arial" w:cs="Arial"/>
          <w:b/>
          <w:bCs/>
          <w:sz w:val="22"/>
          <w:szCs w:val="22"/>
          <w:rtl w:val="1"/>
          <w:lang w:bidi="he-IL" w:val="en-US"/>
        </w:rPr>
        <w:t>הערה 22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w:t>
      </w:r>
    </w:p>
    <w:p>
      <w:pPr>
        <w:bidi/>
        <w:spacing w:line="240" w:lineRule="auto" w:after="40" w:before="0"/>
        <w:ind w:right="283" w:end="283"/>
        <w:jc w:val="right"/>
      </w:pPr>
      <w:r>
        <w:rPr>
          <w:rFonts w:ascii="Arial" w:hAnsi="Arial" w:cs="Arial"/>
          <w:sz w:val="22"/>
          <w:szCs w:val="22"/>
          <w:rtl w:val="1"/>
          <w:lang w:bidi="he-IL" w:val="en-US"/>
        </w:rPr>
        <w:t>הטענה בעבודה: מדרום, מול המדרון הלובי התלול, אין שקע כלל, אלא תעלה צרה ושטוחת-קרקעית בעומק ממוצע של כ-2,800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62 (עמוד 2 בקובץ ה-PDF):</w:t>
      </w:r>
    </w:p>
    <w:p>
      <w:pPr>
        <w:spacing w:line="240" w:lineRule="auto" w:after="200" w:before="0"/>
        <w:ind w:left="680" w:start="680"/>
        <w:jc w:val="left"/>
      </w:pPr>
      <w:r>
        <w:rPr>
          <w:rFonts w:ascii="Arial" w:hAnsi="Arial" w:cs="Arial"/>
          <w:i/>
          <w:iCs/>
          <w:sz w:val="20"/>
          <w:szCs w:val="20"/>
          <w:rtl w:val="0"/>
          <w:lang w:bidi="he-IL" w:val="en-US"/>
        </w:rPr>
        <w:t>“with only a very narrow, flat-bottomed furrow (water depth averaging 2800 m) north of the steep Libyan continental slope”</w:t>
      </w:r>
    </w:p>
    <w:p>
      <w:pPr>
        <w:keepNext/>
        <w:bidi/>
        <w:spacing w:line="240" w:lineRule="auto" w:after="40" w:before="0"/>
        <w:jc w:val="right"/>
      </w:pPr>
      <w:r>
        <w:rPr>
          <w:rFonts w:ascii="Arial" w:hAnsi="Arial" w:cs="Arial"/>
          <w:b/>
          <w:bCs/>
          <w:sz w:val="22"/>
          <w:szCs w:val="22"/>
          <w:rtl w:val="1"/>
          <w:lang w:bidi="he-IL" w:val="en-US"/>
        </w:rPr>
        <w:t>הערה 23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ו-65 (תקציר ומבוא).</w:t>
      </w:r>
    </w:p>
    <w:p>
      <w:pPr>
        <w:bidi/>
        <w:spacing w:line="240" w:lineRule="auto" w:after="40" w:before="0"/>
        <w:ind w:right="283" w:end="283"/>
        <w:jc w:val="right"/>
      </w:pPr>
      <w:r>
        <w:rPr>
          <w:rFonts w:ascii="Arial" w:hAnsi="Arial" w:cs="Arial"/>
          <w:sz w:val="22"/>
          <w:szCs w:val="22"/>
          <w:rtl w:val="1"/>
          <w:lang w:bidi="he-IL" w:val="en-US"/>
        </w:rPr>
        <w:t>הטענה בעבודה: המיפוי הרב-קרני והפרופילים הסיסמיים שנאספו בעשור שקדם למחקר אפשרו למדוד את ממדיה לאורך הקשת.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“During the last decade this tectono-sedimentary accretionary prism, which results from the Hellenic subduction, has been intensively surveyed by swath mapping, multichannel seismic profiling and deep dives.”</w:t>
      </w:r>
    </w:p>
    <w:p>
      <w:pPr>
        <w:keepNext/>
        <w:bidi/>
        <w:spacing w:line="240" w:lineRule="auto" w:after="40" w:before="0"/>
        <w:jc w:val="right"/>
      </w:pPr>
      <w:r>
        <w:rPr>
          <w:rFonts w:ascii="Arial" w:hAnsi="Arial" w:cs="Arial"/>
          <w:b/>
          <w:bCs/>
          <w:sz w:val="22"/>
          <w:szCs w:val="22"/>
          <w:rtl w:val="1"/>
          <w:lang w:bidi="he-IL" w:val="en-US"/>
        </w:rPr>
        <w:t>הערה 24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פסגת המנסרה נמצאת ברמת אנטאוס שמצפון לקירנאיקה, בעומק מים של פחות מ-1,250 מטר, ואילו הזרועות היונית והלבנטינית יורדות לעומקים של כ-3,200 וכ-2,200 מטר.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“Its summit, just north of Cyrenaica (Antaeus High, Figure 2), reaches water depth of less than 1250 m, while its Ionian and Levantine branches extend into water depths of approximately respectively 3200 and 2200 m”</w:t>
      </w:r>
    </w:p>
    <w:p>
      <w:pPr>
        <w:keepNext/>
        <w:bidi/>
        <w:spacing w:line="240" w:lineRule="auto" w:after="40" w:before="0"/>
        <w:jc w:val="right"/>
      </w:pPr>
      <w:r>
        <w:rPr>
          <w:rFonts w:ascii="Arial" w:hAnsi="Arial" w:cs="Arial"/>
          <w:b/>
          <w:bCs/>
          <w:sz w:val="22"/>
          <w:szCs w:val="22"/>
          <w:rtl w:val="1"/>
          <w:lang w:bidi="he-IL" w:val="en-US"/>
        </w:rPr>
        <w:t>הערה 25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מול המישור התהומי היוני רוחב המנסרה מגיע לכ-200 ק"מ, ובקטע שבין מרכז כרתים ללוב הוא מצטמצם לכ-130 ק"מ בלבד.</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“It reaches its maximum width, about 200 km, facing the deep Ionian Abyssal Plain. Between central Crete and Libya, the ridge appears much narrower, with an average width of only 130 km.”</w:t>
      </w:r>
    </w:p>
    <w:p>
      <w:pPr>
        <w:keepNext/>
        <w:bidi/>
        <w:spacing w:line="240" w:lineRule="auto" w:after="40" w:before="0"/>
        <w:jc w:val="right"/>
      </w:pPr>
      <w:r>
        <w:rPr>
          <w:rFonts w:ascii="Arial" w:hAnsi="Arial" w:cs="Arial"/>
          <w:b/>
          <w:bCs/>
          <w:sz w:val="22"/>
          <w:szCs w:val="22"/>
          <w:rtl w:val="1"/>
          <w:lang w:bidi="he-IL" w:val="en-US"/>
        </w:rPr>
        <w:t>הערה 26 — ייחוס מקור</w:t>
      </w:r>
    </w:p>
    <w:p>
      <w:pPr>
        <w:bidi/>
        <w:spacing w:line="240" w:lineRule="auto" w:after="40" w:before="0"/>
        <w:ind w:right="283" w:end="283"/>
        <w:jc w:val="right"/>
      </w:pPr>
      <w:r>
        <w:rPr>
          <w:rFonts w:ascii="Arial" w:hAnsi="Arial" w:cs="Arial"/>
          <w:sz w:val="22"/>
          <w:szCs w:val="22"/>
          <w:rtl w:val="1"/>
          <w:lang w:bidi="he-IL" w:val="en-US"/>
        </w:rPr>
        <w:t>תוכן ההערה: Mikenorton, Hellenic subduction zone, Wikimedia Commons, רישיון CC BY-SA 3.0.</w:t>
      </w:r>
    </w:p>
    <w:p>
      <w:pPr>
        <w:bidi/>
        <w:spacing w:line="240" w:lineRule="auto" w:after="200" w:before="0"/>
        <w:ind w:right="283" w:end="283"/>
        <w:jc w:val="right"/>
      </w:pPr>
      <w:r>
        <w:rPr>
          <w:rFonts w:ascii="Arial" w:hAnsi="Arial" w:cs="Arial"/>
          <w:sz w:val="22"/>
          <w:szCs w:val="22"/>
          <w:rtl w:val="1"/>
          <w:lang w:bidi="he-IL" w:val="en-US"/>
        </w:rPr>
        <w:t>ייחוס מקור לאיור 1 (Wikimedia Commons, CC BY-SA 3.0).</w:t>
      </w:r>
    </w:p>
    <w:p>
      <w:pPr>
        <w:keepNext/>
        <w:bidi/>
        <w:spacing w:line="240" w:lineRule="auto" w:after="40" w:before="0"/>
        <w:jc w:val="right"/>
      </w:pPr>
      <w:r>
        <w:rPr>
          <w:rFonts w:ascii="Arial" w:hAnsi="Arial" w:cs="Arial"/>
          <w:b/>
          <w:bCs/>
          <w:sz w:val="22"/>
          <w:szCs w:val="22"/>
          <w:rtl w:val="1"/>
          <w:lang w:bidi="he-IL" w:val="en-US"/>
        </w:rPr>
        <w:t>הערה 27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בחתך צפון–דרום מתחלקת המנסרה לשלוש פרובינציות מורפוסטרוקטורליות.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“Truffert (1992) identified, on the base of the deformational pattern, three different morphostructural provinces: an outer folded front, an almost flat central province, and a northern area in tectonic backthrust contact with a flat inner region”</w:t>
      </w:r>
    </w:p>
    <w:p>
      <w:pPr>
        <w:keepNext/>
        <w:bidi/>
        <w:spacing w:line="240" w:lineRule="auto" w:after="40" w:before="0"/>
        <w:jc w:val="right"/>
      </w:pPr>
      <w:r>
        <w:rPr>
          <w:rFonts w:ascii="Arial" w:hAnsi="Arial" w:cs="Arial"/>
          <w:b/>
          <w:bCs/>
          <w:sz w:val="22"/>
          <w:szCs w:val="22"/>
          <w:rtl w:val="1"/>
          <w:lang w:bidi="he-IL" w:val="en-US"/>
        </w:rPr>
        <w:t>הערה 28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חלוקה זו זוהתה תחילה בזרוע המערבית, ופרובינציות דומות זוהו גם בזרועות המרכזית והלבנטינית.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“Comparable morphostructural domains, showing local variations, have been recognized within the central and Levantine Mediterranean Ridge branches”</w:t>
      </w:r>
    </w:p>
    <w:p>
      <w:pPr>
        <w:keepNext/>
        <w:bidi/>
        <w:spacing w:line="240" w:lineRule="auto" w:after="40" w:before="0"/>
        <w:jc w:val="right"/>
      </w:pPr>
      <w:r>
        <w:rPr>
          <w:rFonts w:ascii="Arial" w:hAnsi="Arial" w:cs="Arial"/>
          <w:b/>
          <w:bCs/>
          <w:sz w:val="22"/>
          <w:szCs w:val="22"/>
          <w:rtl w:val="1"/>
          <w:lang w:bidi="he-IL" w:val="en-US"/>
        </w:rPr>
        <w:t>הערה 29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הקמטים בחזית המנסרה הדוקים היכן שהאוורית דקה, במיוחד בקטע שבין כרתים ללוב, והם מתרחבים בהדרגה לעבר הזרועות הלבנטינית והיונית ככל שהאוורית מתעבה.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“Folds are tight where evaporites are thin, in particular between Crete and Libya where little space is available for the wedge to grow, and they progressively widen towards the Levantine and Ionian branches of the Mediterranean Ridge due to both thickening of the evaporitic layers”</w:t>
      </w:r>
    </w:p>
    <w:p>
      <w:pPr>
        <w:keepNext/>
        <w:bidi/>
        <w:spacing w:line="240" w:lineRule="auto" w:after="40" w:before="0"/>
        <w:jc w:val="right"/>
      </w:pPr>
      <w:r>
        <w:rPr>
          <w:rFonts w:ascii="Arial" w:hAnsi="Arial" w:cs="Arial"/>
          <w:b/>
          <w:bCs/>
          <w:sz w:val="22"/>
          <w:szCs w:val="22"/>
          <w:rtl w:val="1"/>
          <w:lang w:bidi="he-IL" w:val="en-US"/>
        </w:rPr>
        <w:t>הערה 30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67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זהו גוף קשיח המתפקד כ"סדן" מכני בעל צורה מורכבת, שאליו נדחסים משקעי המנסרה.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67 (עמוד 7 בקובץ ה-PDF):</w:t>
      </w:r>
    </w:p>
    <w:p>
      <w:pPr>
        <w:spacing w:line="240" w:lineRule="auto" w:after="200" w:before="0"/>
        <w:ind w:left="680" w:start="680"/>
        <w:jc w:val="left"/>
      </w:pPr>
      <w:r>
        <w:rPr>
          <w:rFonts w:ascii="Arial" w:hAnsi="Arial" w:cs="Arial"/>
          <w:i/>
          <w:iCs/>
          <w:sz w:val="20"/>
          <w:szCs w:val="20"/>
          <w:rtl w:val="0"/>
          <w:lang w:bidi="he-IL" w:val="en-US"/>
        </w:rPr>
        <w:t>“the Mediterranean Ridge Hellenic backstop (Figures 3 and 4), acting as a mechanical ''buttress'' of complex shape”</w:t>
      </w:r>
    </w:p>
    <w:p>
      <w:pPr>
        <w:keepNext/>
        <w:bidi/>
        <w:spacing w:line="240" w:lineRule="auto" w:after="40" w:before="0"/>
        <w:jc w:val="right"/>
      </w:pPr>
      <w:r>
        <w:rPr>
          <w:rFonts w:ascii="Arial" w:hAnsi="Arial" w:cs="Arial"/>
          <w:b/>
          <w:bCs/>
          <w:sz w:val="22"/>
          <w:szCs w:val="22"/>
          <w:rtl w:val="1"/>
          <w:lang w:bidi="he-IL" w:val="en-US"/>
        </w:rPr>
        <w:t>הערה 31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 ו-69 (הסעיפים General morphologic ו-The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גבול זה מצטייר בצורת "W" מורכבת.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“This backstop not only extends far south of the Hellenic Trenches, but its southern edge also has a complex ''W'' shape”</w:t>
      </w:r>
    </w:p>
    <w:p>
      <w:pPr>
        <w:keepNext/>
        <w:bidi/>
        <w:spacing w:line="240" w:lineRule="auto" w:after="40" w:before="0"/>
        <w:jc w:val="right"/>
      </w:pPr>
      <w:r>
        <w:rPr>
          <w:rFonts w:ascii="Arial" w:hAnsi="Arial" w:cs="Arial"/>
          <w:b/>
          <w:bCs/>
          <w:sz w:val="22"/>
          <w:szCs w:val="22"/>
          <w:rtl w:val="1"/>
          <w:lang w:bidi="he-IL" w:val="en-US"/>
        </w:rPr>
        <w:t>הערה 32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יחידות המנסרה נדחפות באופן שיטתי מעל ה-Backstop, עם עדויות ברורות לגזירה ימנית לאורך המגע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“These ridge units are systematically thrusted over the backstop, with clear evidence for dextral shearing”</w:t>
      </w:r>
    </w:p>
    <w:p>
      <w:pPr>
        <w:keepNext/>
        <w:bidi/>
        <w:spacing w:line="240" w:lineRule="auto" w:after="40" w:before="0"/>
        <w:jc w:val="right"/>
      </w:pPr>
      <w:r>
        <w:rPr>
          <w:rFonts w:ascii="Arial" w:hAnsi="Arial" w:cs="Arial"/>
          <w:b/>
          <w:bCs/>
          <w:sz w:val="22"/>
          <w:szCs w:val="22"/>
          <w:rtl w:val="1"/>
          <w:lang w:bidi="he-IL" w:val="en-US"/>
        </w:rPr>
        <w:t>הערה 33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6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המנסרה נדחפת דרומה אל מעל השוליים הלוביים, ובמקביל נדחפת לאחור צפונה אל מעל שולי כרתים.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6 (עמוד 3 בקובץ ה-PDF):</w:t>
      </w:r>
    </w:p>
    <w:p>
      <w:pPr>
        <w:spacing w:line="240" w:lineRule="auto" w:after="200" w:before="0"/>
        <w:ind w:left="680" w:start="680"/>
        <w:jc w:val="left"/>
      </w:pPr>
      <w:r>
        <w:rPr>
          <w:rFonts w:ascii="Arial" w:hAnsi="Arial" w:cs="Arial"/>
          <w:i/>
          <w:iCs/>
          <w:sz w:val="20"/>
          <w:szCs w:val="20"/>
          <w:rtl w:val="0"/>
          <w:lang w:bidi="he-IL" w:val="en-US"/>
        </w:rPr>
        <w:t>“The entire prism is thrust onto the Libyan Margin to the south, and backthrust over the Cretan Margin to the north [Mascle et al., 1999].”</w:t>
      </w:r>
    </w:p>
    <w:p>
      <w:pPr>
        <w:keepNext/>
        <w:bidi/>
        <w:spacing w:line="240" w:lineRule="auto" w:after="40" w:before="0"/>
        <w:jc w:val="right"/>
      </w:pPr>
      <w:r>
        <w:rPr>
          <w:rFonts w:ascii="Arial" w:hAnsi="Arial" w:cs="Arial"/>
          <w:b/>
          <w:bCs/>
          <w:sz w:val="22"/>
          <w:szCs w:val="22"/>
          <w:rtl w:val="1"/>
          <w:lang w:bidi="he-IL" w:val="en-US"/>
        </w:rPr>
        <w:t>הערה 34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 איור 1a.</w:t>
      </w:r>
    </w:p>
    <w:p>
      <w:pPr>
        <w:bidi/>
        <w:spacing w:line="240" w:lineRule="auto" w:after="40" w:before="0"/>
        <w:ind w:right="283" w:end="283"/>
        <w:jc w:val="right"/>
      </w:pPr>
      <w:r>
        <w:rPr>
          <w:rFonts w:ascii="Arial" w:hAnsi="Arial" w:cs="Arial"/>
          <w:sz w:val="22"/>
          <w:szCs w:val="22"/>
          <w:rtl w:val="1"/>
          <w:lang w:bidi="he-IL" w:val="en-US"/>
        </w:rPr>
        <w:t>הטענה בעבודה: Kopf et al. (2003) ביצעו איזון נפחי בין כמות המשקעים הנצברת לזו הנבלעת בהפחתה. הניתוח התבסס על ארבעה חתכים סיסמיים לרוחב המנסרה, שעברו עיבוד של הגירת עומק.</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“Depth migration of seismic reflection profiles across the Mediterranean Ridge accretionary complex between the African and Eurasian blocks illustrates profound variations in the geometry and internal structure along strike. Structural interpretations of four cross sections, together with bathymetric and acoustic surface information and drilling data, are used to volumetrically balance the amount of subduction versus accretion with time.”</w:t>
      </w:r>
    </w:p>
    <w:p>
      <w:pPr>
        <w:keepNext/>
        <w:bidi/>
        <w:spacing w:line="240" w:lineRule="auto" w:after="40" w:before="0"/>
        <w:jc w:val="right"/>
      </w:pPr>
      <w:r>
        <w:rPr>
          <w:rFonts w:ascii="Arial" w:hAnsi="Arial" w:cs="Arial"/>
          <w:b/>
          <w:bCs/>
          <w:sz w:val="22"/>
          <w:szCs w:val="22"/>
          <w:rtl w:val="1"/>
          <w:lang w:bidi="he-IL" w:val="en-US"/>
        </w:rPr>
        <w:t>הערה 35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במערב מדובר בקפיצה של מישור הניתוק (décollement), בקטע המרכזי שבין לוב לכרתים בדחיפה לאחור עזה, ובמזרח בטקטוניקה אופקית (transcurrent).</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“Results suggest the existence of three distinct scenarios, with a jump in decollement in the west, intense backthrusting in the central part between Libya and Crete, and transcurrent tectonism in the east.”</w:t>
      </w:r>
    </w:p>
    <w:p>
      <w:pPr>
        <w:keepNext/>
        <w:bidi/>
        <w:spacing w:line="240" w:lineRule="auto" w:after="40" w:before="0"/>
        <w:jc w:val="right"/>
      </w:pPr>
      <w:r>
        <w:rPr>
          <w:rFonts w:ascii="Arial" w:hAnsi="Arial" w:cs="Arial"/>
          <w:b/>
          <w:bCs/>
          <w:sz w:val="22"/>
          <w:szCs w:val="22"/>
          <w:rtl w:val="1"/>
          <w:lang w:bidi="he-IL" w:val="en-US"/>
        </w:rPr>
        <w:t>הערה 36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תקציר (פס' 1).</w:t>
      </w:r>
    </w:p>
    <w:p>
      <w:pPr>
        <w:bidi/>
        <w:spacing w:line="240" w:lineRule="auto" w:after="40" w:before="0"/>
        <w:ind w:right="283" w:end="283"/>
        <w:jc w:val="right"/>
      </w:pPr>
      <w:r>
        <w:rPr>
          <w:rFonts w:ascii="Arial" w:hAnsi="Arial" w:cs="Arial"/>
          <w:sz w:val="22"/>
          <w:szCs w:val="22"/>
          <w:rtl w:val="1"/>
          <w:lang w:bidi="he-IL" w:val="en-US"/>
        </w:rPr>
        <w:t>הטענה בעבודה: הערך הנמוך ביותר, 20% עד 25% בלבד מסך אספקת המשקעים, נמדד דווקא בקטע המרכזי שבו המנסרה סובלת מהדפורמציה המרבית, ושאר החומר ממשיך לשקוע עם הלוח.</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“The minimum rate of accretion (20-25% of the total sediment supply) is observed in the central portion where the ridge suffers maximum deformation. Here the indenting leading edge of the African Plate apparently forces the sediment into subduction, or local underplating.”</w:t>
      </w:r>
    </w:p>
    <w:p>
      <w:pPr>
        <w:keepNext/>
        <w:bidi/>
        <w:spacing w:line="240" w:lineRule="auto" w:after="40" w:before="0"/>
        <w:jc w:val="right"/>
      </w:pPr>
      <w:r>
        <w:rPr>
          <w:rFonts w:ascii="Arial" w:hAnsi="Arial" w:cs="Arial"/>
          <w:b/>
          <w:bCs/>
          <w:sz w:val="22"/>
          <w:szCs w:val="22"/>
          <w:rtl w:val="1"/>
          <w:lang w:bidi="he-IL" w:val="en-US"/>
        </w:rPr>
        <w:t>הערה 37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Kastens (1991), כפי שמצוטט אצל Kopf et al. (2003), פס' 2 (סעיף 1, Introduction).</w:t>
      </w:r>
    </w:p>
    <w:p>
      <w:pPr>
        <w:bidi/>
        <w:spacing w:line="240" w:lineRule="auto" w:after="40" w:before="0"/>
        <w:ind w:right="283" w:end="283"/>
        <w:jc w:val="right"/>
      </w:pPr>
      <w:r>
        <w:rPr>
          <w:rFonts w:ascii="Arial" w:hAnsi="Arial" w:cs="Arial"/>
          <w:sz w:val="22"/>
          <w:szCs w:val="22"/>
          <w:rtl w:val="1"/>
          <w:lang w:bidi="he-IL" w:val="en-US"/>
        </w:rPr>
        <w:t>הטענה בעבודה: למרות זאת המנסרה מוגדרת כטריז המתרחב כלפי חוץ במהירות הגבוהה ביותר בהיסטוריה הגיאולוגית העדכנית, בקצב של עד 10 ק"מ למיליון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2 (עמוד 1 בקובץ ה-PDF):</w:t>
      </w:r>
    </w:p>
    <w:p>
      <w:pPr>
        <w:spacing w:line="240" w:lineRule="auto" w:after="200" w:before="0"/>
        <w:ind w:left="680" w:start="680"/>
        <w:jc w:val="left"/>
      </w:pPr>
      <w:r>
        <w:rPr>
          <w:rFonts w:ascii="Arial" w:hAnsi="Arial" w:cs="Arial"/>
          <w:i/>
          <w:iCs/>
          <w:sz w:val="20"/>
          <w:szCs w:val="20"/>
          <w:rtl w:val="0"/>
          <w:lang w:bidi="he-IL" w:val="en-US"/>
        </w:rPr>
        <w:t>“It has been demonstrated to be the fastest outward growing wedge in most recent Earth history, with a rate of up to 10 km Myr1 [Kastens, 1991].”</w:t>
      </w:r>
    </w:p>
    <w:p>
      <w:pPr>
        <w:keepNext/>
        <w:bidi/>
        <w:spacing w:line="240" w:lineRule="auto" w:after="40" w:before="0"/>
        <w:jc w:val="right"/>
      </w:pPr>
      <w:r>
        <w:rPr>
          <w:rFonts w:ascii="Arial" w:hAnsi="Arial" w:cs="Arial"/>
          <w:b/>
          <w:bCs/>
          <w:sz w:val="22"/>
          <w:szCs w:val="22"/>
          <w:rtl w:val="1"/>
          <w:lang w:bidi="he-IL" w:val="en-US"/>
        </w:rPr>
        <w:t>הערה 38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שטף ההפחתה בקצה המזרחי מגיע לכ-50 קמ"ק של סלע לכל קילומטר אורך של השקע מדי מיליון שנה, והוא נמצא בגבול העליון של הערכים המוכרים בעולם.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39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חגורת הקמטים בחזית המנסרה בנויה מקמרים וקערים המושרשים במלח, והם מתפתחים מעל מישור ניתוק החופף את בסיס שכבות האוורית.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 belt is made of salt-rooted anticline-synclines developing above a decollement level, which correlates with the base of Messinian evaporites”</w:t>
      </w:r>
    </w:p>
    <w:p>
      <w:pPr>
        <w:keepNext/>
        <w:bidi/>
        <w:spacing w:line="240" w:lineRule="auto" w:after="40" w:before="0"/>
        <w:jc w:val="right"/>
      </w:pPr>
      <w:r>
        <w:rPr>
          <w:rFonts w:ascii="Arial" w:hAnsi="Arial" w:cs="Arial"/>
          <w:b/>
          <w:bCs/>
          <w:sz w:val="22"/>
          <w:szCs w:val="22"/>
          <w:rtl w:val="1"/>
          <w:lang w:bidi="he-IL" w:val="en-US"/>
        </w:rPr>
        <w:t>הערה 40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"הטריז המסיני", כלומר חלק המנסרה שמשלב אוורית שהושקעה בתעלת ההפחתה, אינו עולה ברוחבו על 80 ק"מ בזרוע המערבית.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“The Messinian wedge (i.e. the portion of the wedge that incorporates Messinian evaporites originally deposited in the subduction trough) does not exceed 80 km in width.”</w:t>
      </w:r>
    </w:p>
    <w:p>
      <w:pPr>
        <w:keepNext/>
        <w:bidi/>
        <w:spacing w:line="240" w:lineRule="auto" w:after="40" w:before="0"/>
        <w:jc w:val="right"/>
      </w:pPr>
      <w:r>
        <w:rPr>
          <w:rFonts w:ascii="Arial" w:hAnsi="Arial" w:cs="Arial"/>
          <w:b/>
          <w:bCs/>
          <w:sz w:val="22"/>
          <w:szCs w:val="22"/>
          <w:rtl w:val="1"/>
          <w:lang w:bidi="he-IL" w:val="en-US"/>
        </w:rPr>
        <w:t>הערה 41 — ייחוס מקור</w:t>
      </w:r>
    </w:p>
    <w:p>
      <w:pPr>
        <w:bidi/>
        <w:spacing w:line="240" w:lineRule="auto" w:after="40" w:before="0"/>
        <w:ind w:right="283" w:end="283"/>
        <w:jc w:val="right"/>
      </w:pPr>
      <w:r>
        <w:rPr>
          <w:rFonts w:ascii="Arial" w:hAnsi="Arial" w:cs="Arial"/>
          <w:sz w:val="22"/>
          <w:szCs w:val="22"/>
          <w:rtl w:val="1"/>
          <w:lang w:bidi="he-IL" w:val="en-US"/>
        </w:rPr>
        <w:t>תוכן ההערה: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p>
      <w:pPr>
        <w:bidi/>
        <w:spacing w:line="240" w:lineRule="auto" w:after="200" w:before="0"/>
        <w:ind w:right="283" w:end="283"/>
        <w:jc w:val="right"/>
      </w:pPr>
      <w:r>
        <w:rPr>
          <w:rFonts w:ascii="Arial" w:hAnsi="Arial" w:cs="Arial"/>
          <w:sz w:val="22"/>
          <w:szCs w:val="22"/>
          <w:rtl w:val="1"/>
          <w:lang w:bidi="he-IL" w:val="en-US"/>
        </w:rPr>
        <w:t>ייחוס מקור לאיור 2 (Güneş et al. 2018, איור 21, עמ' 315).</w:t>
      </w:r>
    </w:p>
    <w:p>
      <w:pPr>
        <w:keepNext/>
        <w:bidi/>
        <w:spacing w:line="240" w:lineRule="auto" w:after="40" w:before="0"/>
        <w:jc w:val="right"/>
      </w:pPr>
      <w:r>
        <w:rPr>
          <w:rFonts w:ascii="Arial" w:hAnsi="Arial" w:cs="Arial"/>
          <w:b/>
          <w:bCs/>
          <w:sz w:val="22"/>
          <w:szCs w:val="22"/>
          <w:rtl w:val="1"/>
          <w:lang w:bidi="he-IL" w:val="en-US"/>
        </w:rPr>
        <w:t>הערה 42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בתחום הצירי (האקסיאלי) של המנסרה לא נמצאו שכבות אוורית משמעותיות, והתוצאה היא תבנית מורפוסטרוקטורלית שונה לחלוטין.</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“Within the axial domain no evaporites layers of significant extend have been found (Kopf et al., 2003), resulting in a different morphostructural pattern”</w:t>
      </w:r>
    </w:p>
    <w:p>
      <w:pPr>
        <w:keepNext/>
        <w:bidi/>
        <w:spacing w:line="240" w:lineRule="auto" w:after="40" w:before="0"/>
        <w:jc w:val="right"/>
      </w:pPr>
      <w:r>
        <w:rPr>
          <w:rFonts w:ascii="Arial" w:hAnsi="Arial" w:cs="Arial"/>
          <w:b/>
          <w:bCs/>
          <w:sz w:val="22"/>
          <w:szCs w:val="22"/>
          <w:rtl w:val="1"/>
          <w:lang w:bidi="he-IL" w:val="en-US"/>
        </w:rPr>
        <w:t>הערה 43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פיזור האוורית הוא הגורם השולט בשונות המורפולוגית של המנסרה בציר צפון–דרום.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61 (עמוד 1 בקובץ ה-PDF):</w:t>
      </w:r>
    </w:p>
    <w:p>
      <w:pPr>
        <w:spacing w:line="240" w:lineRule="auto" w:after="200" w:before="0"/>
        <w:ind w:left="680" w:start="680"/>
        <w:jc w:val="left"/>
      </w:pPr>
      <w:r>
        <w:rPr>
          <w:rFonts w:ascii="Arial" w:hAnsi="Arial" w:cs="Arial"/>
          <w:i/>
          <w:iCs/>
          <w:sz w:val="20"/>
          <w:szCs w:val="20"/>
          <w:rtl w:val="0"/>
          <w:lang w:bidi="he-IL" w:val="en-US"/>
        </w:rPr>
        <w:t>“particularities of its sedimentary cover, which includes massive salt layers within the outer Mediterranean Ridge and local salt deposits within the inner domains, that control the north-south morphostructural variability of the sedimentary wedge”</w:t>
      </w:r>
    </w:p>
    <w:p>
      <w:pPr>
        <w:keepNext/>
        <w:bidi/>
        <w:spacing w:line="240" w:lineRule="auto" w:after="40" w:before="0"/>
        <w:jc w:val="right"/>
      </w:pPr>
      <w:r>
        <w:rPr>
          <w:rFonts w:ascii="Arial" w:hAnsi="Arial" w:cs="Arial"/>
          <w:b/>
          <w:bCs/>
          <w:sz w:val="22"/>
          <w:szCs w:val="22"/>
          <w:rtl w:val="1"/>
          <w:lang w:bidi="he-IL" w:val="en-US"/>
        </w:rPr>
        <w:t>הערה 44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66–67 (סעיף General morphologic and backscatter characteristics).</w:t>
      </w:r>
    </w:p>
    <w:p>
      <w:pPr>
        <w:bidi/>
        <w:spacing w:line="240" w:lineRule="auto" w:after="40" w:before="0"/>
        <w:ind w:right="283" w:end="283"/>
        <w:jc w:val="right"/>
      </w:pPr>
      <w:r>
        <w:rPr>
          <w:rFonts w:ascii="Arial" w:hAnsi="Arial" w:cs="Arial"/>
          <w:sz w:val="22"/>
          <w:szCs w:val="22"/>
          <w:rtl w:val="1"/>
          <w:lang w:bidi="he-IL" w:val="en-US"/>
        </w:rPr>
        <w:t>הטענה בעבודה: מבנים אלה פורשו, על סמך דיגום ותצפיות ישירות, כהרי בוץ הפולטים אל קרקעית הים זרמי בוץ מסיביים, נוזלים ותמלחות.</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66 (עמוד 6 בקובץ ה-PDF):</w:t>
      </w:r>
    </w:p>
    <w:p>
      <w:pPr>
        <w:spacing w:line="240" w:lineRule="auto" w:after="200" w:before="0"/>
        <w:ind w:left="680" w:start="680"/>
        <w:jc w:val="left"/>
      </w:pPr>
      <w:r>
        <w:rPr>
          <w:rFonts w:ascii="Arial" w:hAnsi="Arial" w:cs="Arial"/>
          <w:i/>
          <w:iCs/>
          <w:sz w:val="20"/>
          <w:szCs w:val="20"/>
          <w:rtl w:val="0"/>
          <w:lang w:bidi="he-IL" w:val="en-US"/>
        </w:rPr>
        <w:t>“Based on sampling and/or direct in situ observations several of these features have been interpreted as mud volcanoes through which massive mud flows, fluids and brines are emitted on the sea floor”</w:t>
      </w:r>
    </w:p>
    <w:p>
      <w:pPr>
        <w:keepNext/>
        <w:bidi/>
        <w:spacing w:line="240" w:lineRule="auto" w:after="40" w:before="0"/>
        <w:jc w:val="right"/>
      </w:pPr>
      <w:r>
        <w:rPr>
          <w:rFonts w:ascii="Arial" w:hAnsi="Arial" w:cs="Arial"/>
          <w:b/>
          <w:bCs/>
          <w:sz w:val="22"/>
          <w:szCs w:val="22"/>
          <w:rtl w:val="1"/>
          <w:lang w:bidi="he-IL" w:val="en-US"/>
        </w:rPr>
        <w:t>הערה 45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בזרוע המערבית ממוקם רובם המכריע בסמיכות למגע שבין המנסרה ל-Backstop.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“Mud volcanoes of all size punctuate the entire region (Figure 3), with 95% of them located at proximity of the prism/backstop contact”</w:t>
      </w:r>
    </w:p>
    <w:p>
      <w:pPr>
        <w:keepNext/>
        <w:bidi/>
        <w:spacing w:line="240" w:lineRule="auto" w:after="40" w:before="0"/>
        <w:jc w:val="right"/>
      </w:pPr>
      <w:r>
        <w:rPr>
          <w:rFonts w:ascii="Arial" w:hAnsi="Arial" w:cs="Arial"/>
          <w:b/>
          <w:bCs/>
          <w:sz w:val="22"/>
          <w:szCs w:val="22"/>
          <w:rtl w:val="1"/>
          <w:lang w:bidi="he-IL" w:val="en-US"/>
        </w:rPr>
        <w:t>הערה 46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71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גם בזרוע המרכזית מרוכזים שדות הרי בוץ מוכרים, ובהם השדות "אולימפי" ו"האומות המאוחדות", שנסקרו בהרחבה.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71 (עמוד 11 בקובץ ה-PDF):</w:t>
      </w:r>
    </w:p>
    <w:p>
      <w:pPr>
        <w:spacing w:line="240" w:lineRule="auto" w:after="200" w:before="0"/>
        <w:ind w:left="680" w:start="680"/>
        <w:jc w:val="left"/>
      </w:pPr>
      <w:r>
        <w:rPr>
          <w:rFonts w:ascii="Arial" w:hAnsi="Arial" w:cs="Arial"/>
          <w:i/>
          <w:iCs/>
          <w:sz w:val="20"/>
          <w:szCs w:val="20"/>
          <w:rtl w:val="0"/>
          <w:lang w:bidi="he-IL" w:val="en-US"/>
        </w:rPr>
        <w:t>“an area of the Mediterranean Ridge where the now well-known Olimpi and United Nations mud volcano fields (Figure 6) have previously been detected (Cita et al., 1981) and intensively surveyed during PRISMED 2”</w:t>
      </w:r>
    </w:p>
    <w:p>
      <w:pPr>
        <w:keepNext/>
        <w:bidi/>
        <w:spacing w:line="240" w:lineRule="auto" w:after="40" w:before="0"/>
        <w:jc w:val="right"/>
      </w:pPr>
      <w:r>
        <w:rPr>
          <w:rFonts w:ascii="Arial" w:hAnsi="Arial" w:cs="Arial"/>
          <w:b/>
          <w:bCs/>
          <w:sz w:val="22"/>
          <w:szCs w:val="22"/>
          <w:rtl w:val="1"/>
          <w:lang w:bidi="he-IL" w:val="en-US"/>
        </w:rPr>
        <w:t>הערה 47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69 (סעיף The Western Mediterranean Ridge).</w:t>
      </w:r>
    </w:p>
    <w:p>
      <w:pPr>
        <w:bidi/>
        <w:spacing w:line="240" w:lineRule="auto" w:after="40" w:before="0"/>
        <w:ind w:right="283" w:end="283"/>
        <w:jc w:val="right"/>
      </w:pPr>
      <w:r>
        <w:rPr>
          <w:rFonts w:ascii="Arial" w:hAnsi="Arial" w:cs="Arial"/>
          <w:sz w:val="22"/>
          <w:szCs w:val="22"/>
          <w:rtl w:val="1"/>
          <w:lang w:bidi="he-IL" w:val="en-US"/>
        </w:rPr>
        <w:t>הטענה בעבודה: נוצרת שם טקטוניקת מלח יוצאת דופן, הכוללת אונות מלח תת-עגולות, קימוט כבידתי הדוק ו"רפסודות" של משקעים פליו-קוורטרניים.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69 (עמוד 9 בקובץ ה-PDF):</w:t>
      </w:r>
    </w:p>
    <w:p>
      <w:pPr>
        <w:spacing w:line="240" w:lineRule="auto" w:after="200" w:before="0"/>
        <w:ind w:left="680" w:start="680"/>
        <w:jc w:val="left"/>
      </w:pPr>
      <w:r>
        <w:rPr>
          <w:rFonts w:ascii="Arial" w:hAnsi="Arial" w:cs="Arial"/>
          <w:i/>
          <w:iCs/>
          <w:sz w:val="20"/>
          <w:szCs w:val="20"/>
          <w:rtl w:val="0"/>
          <w:lang w:bidi="he-IL" w:val="en-US"/>
        </w:rPr>
        <w:t>“resulting into an extraordinary salt tectonics including sub-circular salt lobes (e.g. 35 N-22 E) with tight gravity folding and ''rafts'' of Plio-Quaternary.”</w:t>
      </w:r>
    </w:p>
    <w:p>
      <w:pPr>
        <w:keepNext/>
        <w:bidi/>
        <w:spacing w:line="240" w:lineRule="auto" w:after="40" w:before="0"/>
        <w:jc w:val="right"/>
      </w:pPr>
      <w:r>
        <w:rPr>
          <w:rFonts w:ascii="Arial" w:hAnsi="Arial" w:cs="Arial"/>
          <w:b/>
          <w:bCs/>
          <w:sz w:val="22"/>
          <w:szCs w:val="22"/>
          <w:rtl w:val="1"/>
          <w:lang w:bidi="he-IL" w:val="en-US"/>
        </w:rPr>
        <w:t>הערה 48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הכיסוי הסדימנטרי של האזור הפנימי גולש בהדרגה צפונה וממלא את סדרת התעלות של שקע פליני.</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“The sedimentary cover of this last area is in fact progressively gliding northward and filling the series of deep troughs that constitute the Pliny Trench at the foot of the Cretan continental slope.”</w:t>
      </w:r>
    </w:p>
    <w:p>
      <w:pPr>
        <w:keepNext/>
        <w:bidi/>
        <w:spacing w:line="240" w:lineRule="auto" w:after="40" w:before="0"/>
        <w:jc w:val="right"/>
      </w:pPr>
      <w:r>
        <w:rPr>
          <w:rFonts w:ascii="Arial" w:hAnsi="Arial" w:cs="Arial"/>
          <w:b/>
          <w:bCs/>
          <w:sz w:val="22"/>
          <w:szCs w:val="22"/>
          <w:rtl w:val="1"/>
          <w:lang w:bidi="he-IL" w:val="en-US"/>
        </w:rPr>
        <w:t>הערה 49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72 (סעיף The Central Mediterranean Ridge).</w:t>
      </w:r>
    </w:p>
    <w:p>
      <w:pPr>
        <w:bidi/>
        <w:spacing w:line="240" w:lineRule="auto" w:after="40" w:before="0"/>
        <w:ind w:right="283" w:end="283"/>
        <w:jc w:val="right"/>
      </w:pPr>
      <w:r>
        <w:rPr>
          <w:rFonts w:ascii="Arial" w:hAnsi="Arial" w:cs="Arial"/>
          <w:sz w:val="22"/>
          <w:szCs w:val="22"/>
          <w:rtl w:val="1"/>
          <w:lang w:bidi="he-IL" w:val="en-US"/>
        </w:rPr>
        <w:t>הטענה בעבודה: בכיוון ההפוך, התפשטות דרומה של הכיסוי המלחי הדוקטילי מייצרת בחגורת הקמטים מערכת צפופה של העתקי הזזה.</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72 (עמוד 12 בקובץ ה-PDF):</w:t>
      </w:r>
    </w:p>
    <w:p>
      <w:pPr>
        <w:spacing w:line="240" w:lineRule="auto" w:after="200" w:before="0"/>
        <w:ind w:left="680" w:start="680"/>
        <w:jc w:val="left"/>
      </w:pPr>
      <w:r>
        <w:rPr>
          <w:rFonts w:ascii="Arial" w:hAnsi="Arial" w:cs="Arial"/>
          <w:i/>
          <w:iCs/>
          <w:sz w:val="20"/>
          <w:szCs w:val="20"/>
          <w:rtl w:val="0"/>
          <w:lang w:bidi="he-IL" w:val="en-US"/>
        </w:rPr>
        <w:t>“this folded belt is cut by a dense set of conjugate faults, probably strike-slip faults, either triggered by southwards progressive spreading of the salt-rich and ductile superficial cover”</w:t>
      </w:r>
    </w:p>
    <w:p>
      <w:pPr>
        <w:keepNext/>
        <w:bidi/>
        <w:spacing w:line="240" w:lineRule="auto" w:after="40" w:before="0"/>
        <w:jc w:val="right"/>
      </w:pPr>
      <w:r>
        <w:rPr>
          <w:rFonts w:ascii="Arial" w:hAnsi="Arial" w:cs="Arial"/>
          <w:b/>
          <w:bCs/>
          <w:sz w:val="22"/>
          <w:szCs w:val="22"/>
          <w:rtl w:val="1"/>
          <w:lang w:bidi="he-IL" w:val="en-US"/>
        </w:rPr>
        <w:t>הערה 50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הגלישה הכבידתית פועלת בשני הכיוונים, ובאזור ה-Backstop השטוח היא משתרעת על פני כל השטח שנחקר.</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“The flat and deeper backstop area shows well expressed northward gliding deformations over the entire studied area”</w:t>
      </w:r>
    </w:p>
    <w:p>
      <w:pPr>
        <w:keepNext/>
        <w:bidi/>
        <w:spacing w:line="240" w:lineRule="auto" w:after="40" w:before="0"/>
        <w:jc w:val="right"/>
      </w:pPr>
      <w:r>
        <w:rPr>
          <w:rFonts w:ascii="Arial" w:hAnsi="Arial" w:cs="Arial"/>
          <w:b/>
          <w:bCs/>
          <w:sz w:val="22"/>
          <w:szCs w:val="22"/>
          <w:rtl w:val="1"/>
          <w:lang w:bidi="he-IL" w:val="en-US"/>
        </w:rPr>
        <w:t>הערה 51 — ייחוס מקור</w:t>
      </w:r>
    </w:p>
    <w:p>
      <w:pPr>
        <w:bidi/>
        <w:spacing w:line="240" w:lineRule="auto" w:after="40" w:before="0"/>
        <w:ind w:right="283" w:end="283"/>
        <w:jc w:val="right"/>
      </w:pPr>
      <w:r>
        <w:rPr>
          <w:rFonts w:ascii="Arial" w:hAnsi="Arial" w:cs="Arial"/>
          <w:sz w:val="22"/>
          <w:szCs w:val="22"/>
          <w:rtl w:val="1"/>
          <w:lang w:bidi="he-IL" w:val="en-US"/>
        </w:rPr>
        <w:t>תוכן ההערה: Huguen et al. (2006), איור 4, עמ' 65.</w:t>
      </w:r>
    </w:p>
    <w:p>
      <w:pPr>
        <w:bidi/>
        <w:spacing w:line="240" w:lineRule="auto" w:after="200" w:before="0"/>
        <w:ind w:right="283" w:end="283"/>
        <w:jc w:val="right"/>
      </w:pPr>
      <w:r>
        <w:rPr>
          <w:rFonts w:ascii="Arial" w:hAnsi="Arial" w:cs="Arial"/>
          <w:sz w:val="22"/>
          <w:szCs w:val="22"/>
          <w:rtl w:val="1"/>
          <w:lang w:bidi="he-IL" w:val="en-US"/>
        </w:rPr>
        <w:t>ייחוס מקור לאיור 3 (Huguen et al. 2006, איור 4, עמ' 65).</w:t>
      </w:r>
    </w:p>
    <w:p>
      <w:pPr>
        <w:keepNext/>
        <w:bidi/>
        <w:spacing w:line="240" w:lineRule="auto" w:after="40" w:before="0"/>
        <w:jc w:val="right"/>
      </w:pPr>
      <w:r>
        <w:rPr>
          <w:rFonts w:ascii="Arial" w:hAnsi="Arial" w:cs="Arial"/>
          <w:b/>
          <w:bCs/>
          <w:sz w:val="22"/>
          <w:szCs w:val="22"/>
          <w:rtl w:val="1"/>
          <w:lang w:bidi="he-IL" w:val="en-US"/>
        </w:rPr>
        <w:t>הערה 52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61 ו-73 (תקציר וסעיף Conclusion).</w:t>
      </w:r>
    </w:p>
    <w:p>
      <w:pPr>
        <w:bidi/>
        <w:spacing w:line="240" w:lineRule="auto" w:after="40" w:before="0"/>
        <w:ind w:right="283" w:end="283"/>
        <w:jc w:val="right"/>
      </w:pPr>
      <w:r>
        <w:rPr>
          <w:rFonts w:ascii="Arial" w:hAnsi="Arial" w:cs="Arial"/>
          <w:sz w:val="22"/>
          <w:szCs w:val="22"/>
          <w:rtl w:val="1"/>
          <w:lang w:bidi="he-IL" w:val="en-US"/>
        </w:rPr>
        <w:t>הטענה בעבודה: השלישי הוא מאפייני הכיסוי הסדימנטרי, ובראשם שכבות המלח.</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“and finally a complex distribution, within parts of its cover, of thick ductile sedimentary layers (i.e. Messinian evaporites)”</w:t>
      </w:r>
    </w:p>
    <w:p>
      <w:pPr>
        <w:keepNext/>
        <w:bidi/>
        <w:spacing w:line="240" w:lineRule="auto" w:after="40" w:before="0"/>
        <w:jc w:val="right"/>
      </w:pPr>
      <w:r>
        <w:rPr>
          <w:rFonts w:ascii="Arial" w:hAnsi="Arial" w:cs="Arial"/>
          <w:b/>
          <w:bCs/>
          <w:sz w:val="22"/>
          <w:szCs w:val="22"/>
          <w:rtl w:val="1"/>
          <w:lang w:bidi="he-IL" w:val="en-US"/>
        </w:rPr>
        <w:t>הערה 53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פילוח הלוח השוקע לפי ציפתו הוא שמייצר את ההבדל בקצבי ההפחתה, שהקינמטיקה האזורית רק מבטאת.</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“Consistency between geodynamic model results and geologic observations suggest that the middle Miocene and younger deformation of the Hellenic upper plate, including formation of the Central Hellenic Shear Zone, can be quantitatively understood as the result of spatial variations in the buoyancy of the subducting slab.”</w:t>
      </w:r>
    </w:p>
    <w:p>
      <w:pPr>
        <w:keepNext/>
        <w:bidi/>
        <w:spacing w:line="240" w:lineRule="auto" w:after="40" w:before="0"/>
        <w:jc w:val="right"/>
      </w:pPr>
      <w:r>
        <w:rPr>
          <w:rFonts w:ascii="Arial" w:hAnsi="Arial" w:cs="Arial"/>
          <w:b/>
          <w:bCs/>
          <w:sz w:val="22"/>
          <w:szCs w:val="22"/>
          <w:rtl w:val="1"/>
          <w:lang w:bidi="he-IL" w:val="en-US"/>
        </w:rPr>
        <w:t>הערה 54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פס' 38 (סעיף 3.2.2, Model Results).</w:t>
      </w:r>
    </w:p>
    <w:p>
      <w:pPr>
        <w:bidi/>
        <w:spacing w:line="240" w:lineRule="auto" w:after="40" w:before="0"/>
        <w:ind w:right="283" w:end="283"/>
        <w:jc w:val="right"/>
      </w:pPr>
      <w:r>
        <w:rPr>
          <w:rFonts w:ascii="Arial" w:hAnsi="Arial" w:cs="Arial"/>
          <w:sz w:val="22"/>
          <w:szCs w:val="22"/>
          <w:rtl w:val="1"/>
          <w:lang w:bidi="he-IL" w:val="en-US"/>
        </w:rPr>
        <w:t>הטענה בעבודה: מודלים גיאודינמיים מתארכים את היווצרותו ל-6–8 מיליון שנה, ורוב ההפרדה בין חזיתות ההפחתה התרחשה אחרי 5 מיליון שנה.</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38 (עמוד 13 בקובץ ה-PDF):</w:t>
      </w:r>
    </w:p>
    <w:p>
      <w:pPr>
        <w:spacing w:line="240" w:lineRule="auto" w:after="200" w:before="0"/>
        <w:ind w:left="680" w:start="680"/>
        <w:jc w:val="left"/>
      </w:pPr>
      <w:r>
        <w:rPr>
          <w:rFonts w:ascii="Arial" w:hAnsi="Arial" w:cs="Arial"/>
          <w:i/>
          <w:iCs/>
          <w:sz w:val="20"/>
          <w:szCs w:val="20"/>
          <w:rtl w:val="0"/>
          <w:lang w:bidi="he-IL" w:val="en-US"/>
        </w:rPr>
        <w:t>“The model time at which the northern Hellenic and Peloponnesus trenches begin to separate is ~6-8 Ma, with most of the model trench separation occurring after 5 Ma.”</w:t>
      </w:r>
    </w:p>
    <w:p>
      <w:pPr>
        <w:keepNext/>
        <w:bidi/>
        <w:spacing w:line="240" w:lineRule="auto" w:after="40" w:before="0"/>
        <w:jc w:val="right"/>
      </w:pPr>
      <w:r>
        <w:rPr>
          <w:rFonts w:ascii="Arial" w:hAnsi="Arial" w:cs="Arial"/>
          <w:b/>
          <w:bCs/>
          <w:sz w:val="22"/>
          <w:szCs w:val="22"/>
          <w:rtl w:val="1"/>
          <w:lang w:bidi="he-IL" w:val="en-US"/>
        </w:rPr>
        <w:t>הערה 55 — Kopf et al. (2003)</w:t>
      </w:r>
    </w:p>
    <w:p>
      <w:pPr>
        <w:bidi/>
        <w:spacing w:line="240" w:lineRule="auto" w:after="40" w:before="0"/>
        <w:ind w:right="283" w:end="283"/>
        <w:jc w:val="right"/>
      </w:pPr>
      <w:r>
        <w:rPr>
          <w:rFonts w:ascii="Arial" w:hAnsi="Arial" w:cs="Arial"/>
          <w:sz w:val="22"/>
          <w:szCs w:val="22"/>
          <w:rtl w:val="1"/>
          <w:lang w:bidi="he-IL" w:val="en-US"/>
        </w:rPr>
        <w:t>הערת השוליים בעבודה: Kopf et al. (2003), פס' 42 (סעיף 6, Discussion).</w:t>
      </w:r>
    </w:p>
    <w:p>
      <w:pPr>
        <w:bidi/>
        <w:spacing w:line="240" w:lineRule="auto" w:after="40" w:before="0"/>
        <w:ind w:right="283" w:end="283"/>
        <w:jc w:val="right"/>
      </w:pPr>
      <w:r>
        <w:rPr>
          <w:rFonts w:ascii="Arial" w:hAnsi="Arial" w:cs="Arial"/>
          <w:sz w:val="22"/>
          <w:szCs w:val="22"/>
          <w:rtl w:val="1"/>
          <w:lang w:bidi="he-IL" w:val="en-US"/>
        </w:rPr>
        <w:t>הטענה בעבודה: אספקת משקעים שהצטברה מאז המזוזואיקון, קצב התכנסות גבוה ומישור ניתוק מלחי הם צירוף חריג של תנאים.</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42 (עמוד 26 בקובץ ה-PDF):</w:t>
      </w:r>
    </w:p>
    <w:p>
      <w:pPr>
        <w:spacing w:line="240" w:lineRule="auto" w:after="200" w:before="0"/>
        <w:ind w:left="680" w:start="680"/>
        <w:jc w:val="left"/>
      </w:pPr>
      <w:r>
        <w:rPr>
          <w:rFonts w:ascii="Arial" w:hAnsi="Arial" w:cs="Arial"/>
          <w:i/>
          <w:iCs/>
          <w:sz w:val="20"/>
          <w:szCs w:val="20"/>
          <w:rtl w:val="0"/>
          <w:lang w:bidi="he-IL" w:val="en-US"/>
        </w:rPr>
        <w:t>“In contrast, the easternmost subduction flux of almost 50 km3 km1 Myr1 (line 30) range at the upper limit of material transfer on a global scale.”</w:t>
      </w:r>
    </w:p>
    <w:p>
      <w:pPr>
        <w:keepNext/>
        <w:bidi/>
        <w:spacing w:line="240" w:lineRule="auto" w:after="40" w:before="0"/>
        <w:jc w:val="right"/>
      </w:pPr>
      <w:r>
        <w:rPr>
          <w:rFonts w:ascii="Arial" w:hAnsi="Arial" w:cs="Arial"/>
          <w:b/>
          <w:bCs/>
          <w:sz w:val="22"/>
          <w:szCs w:val="22"/>
          <w:rtl w:val="1"/>
          <w:lang w:bidi="he-IL" w:val="en-US"/>
        </w:rPr>
        <w:t>הערה 56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62 (מבוא); Kopf et al. (2003), פס' 5 (סעיף 2.1, Accretionary Complex).</w:t>
      </w:r>
    </w:p>
    <w:p>
      <w:pPr>
        <w:bidi/>
        <w:spacing w:line="240" w:lineRule="auto" w:after="40" w:before="0"/>
        <w:ind w:right="283" w:end="283"/>
        <w:jc w:val="right"/>
      </w:pPr>
      <w:r>
        <w:rPr>
          <w:rFonts w:ascii="Arial" w:hAnsi="Arial" w:cs="Arial"/>
          <w:sz w:val="22"/>
          <w:szCs w:val="22"/>
          <w:rtl w:val="1"/>
          <w:lang w:bidi="he-IL" w:val="en-US"/>
        </w:rPr>
        <w:t>הטענה בעבודה: השקעים מטפן, פליני וסטראבו אינם שקעי הפחתה במובן הרגיל, אלא שקערוריות בתוך קדם-הקשת שנותרו מאחור כאשר חזית הדפורמציה נדדה דרומה.</w:t>
      </w:r>
    </w:p>
    <w:p>
      <w:pPr>
        <w:keepNext/>
        <w:bidi/>
        <w:spacing w:line="240" w:lineRule="auto" w:after="20" w:before="0"/>
        <w:ind w:right="283" w:end="283"/>
        <w:jc w:val="right"/>
      </w:pPr>
      <w:r>
        <w:rPr>
          <w:rFonts w:ascii="Arial" w:hAnsi="Arial" w:cs="Arial"/>
          <w:sz w:val="22"/>
          <w:szCs w:val="22"/>
          <w:rtl w:val="1"/>
          <w:lang w:bidi="he-IL" w:val="en-US"/>
        </w:rPr>
        <w:t>ציטוט מדויק (Huguen et al. (2006)) — אומת בעמ' 62 (עמוד 2 בקובץ ה-PDF):</w:t>
      </w:r>
    </w:p>
    <w:p>
      <w:pPr>
        <w:spacing w:line="240" w:lineRule="auto" w:after="40" w:before="0"/>
        <w:ind w:left="680" w:start="680"/>
        <w:jc w:val="left"/>
      </w:pPr>
      <w:r>
        <w:rPr>
          <w:rFonts w:ascii="Arial" w:hAnsi="Arial" w:cs="Arial"/>
          <w:i/>
          <w:iCs/>
          <w:sz w:val="20"/>
          <w:szCs w:val="20"/>
          <w:rtl w:val="0"/>
          <w:lang w:bidi="he-IL" w:val="en-US"/>
        </w:rPr>
        <w:t>“the Mediterranean Ridge is bathymetrically bounded by a series of disconnected and deep troughs (Matapan, Pliny, Strabo Trenches, Rhodes Trough)”</w:t>
      </w:r>
    </w:p>
    <w:p>
      <w:pPr>
        <w:keepNext/>
        <w:bidi/>
        <w:spacing w:line="240" w:lineRule="auto" w:after="20" w:before="0"/>
        <w:ind w:right="283" w:end="283"/>
        <w:jc w:val="right"/>
      </w:pPr>
      <w:r>
        <w:rPr>
          <w:rFonts w:ascii="Arial" w:hAnsi="Arial" w:cs="Arial"/>
          <w:sz w:val="22"/>
          <w:szCs w:val="22"/>
          <w:rtl w:val="1"/>
          <w:lang w:bidi="he-IL" w:val="en-US"/>
        </w:rPr>
        <w:t>ציטוט מדויק (Kopf et al. (2003)) — אומת בפס' 5 (עמוד 2 בקובץ ה-PDF):</w:t>
      </w:r>
    </w:p>
    <w:p>
      <w:pPr>
        <w:spacing w:line="240" w:lineRule="auto" w:after="200" w:before="0"/>
        <w:ind w:left="680" w:start="680"/>
        <w:jc w:val="left"/>
      </w:pPr>
      <w:r>
        <w:rPr>
          <w:rFonts w:ascii="Arial" w:hAnsi="Arial" w:cs="Arial"/>
          <w:i/>
          <w:iCs/>
          <w:sz w:val="20"/>
          <w:szCs w:val="20"/>
          <w:rtl w:val="0"/>
          <w:lang w:bidi="he-IL" w:val="en-US"/>
        </w:rPr>
        <w:t>“What is usually referred to as the Hellenic Trench, or Hellenic Trough (Figure 1a), represented the deformation front of the initial MedRidge during the early Miocene. However, with ongoing accretion in the Plio-Quaternary this deformation front migrated southward, so that the present-day Hellenic Trench is not a deep-sea trench in the strictest sense, but a forearc depression with very little sedimentary infill”</w:t>
      </w:r>
    </w:p>
    <w:p>
      <w:pPr>
        <w:keepNext/>
        <w:bidi/>
        <w:spacing w:line="240" w:lineRule="auto" w:after="40" w:before="0"/>
        <w:jc w:val="right"/>
      </w:pPr>
      <w:r>
        <w:rPr>
          <w:rFonts w:ascii="Arial" w:hAnsi="Arial" w:cs="Arial"/>
          <w:b/>
          <w:bCs/>
          <w:sz w:val="22"/>
          <w:szCs w:val="22"/>
          <w:rtl w:val="1"/>
          <w:lang w:bidi="he-IL" w:val="en-US"/>
        </w:rPr>
        <w:t>הערה 57 — Royden &amp; Papanikolaou (2011)</w:t>
      </w:r>
    </w:p>
    <w:p>
      <w:pPr>
        <w:bidi/>
        <w:spacing w:line="240" w:lineRule="auto" w:after="40" w:before="0"/>
        <w:ind w:right="283" w:end="283"/>
        <w:jc w:val="right"/>
      </w:pPr>
      <w:r>
        <w:rPr>
          <w:rFonts w:ascii="Arial" w:hAnsi="Arial" w:cs="Arial"/>
          <w:sz w:val="22"/>
          <w:szCs w:val="22"/>
          <w:rtl w:val="1"/>
          <w:lang w:bidi="he-IL" w:val="en-US"/>
        </w:rPr>
        <w:t>הערת השוליים בעבודה: Royden &amp; Papanikolaou (2011), תקציר (פס' 1).</w:t>
      </w:r>
    </w:p>
    <w:p>
      <w:pPr>
        <w:bidi/>
        <w:spacing w:line="240" w:lineRule="auto" w:after="40" w:before="0"/>
        <w:ind w:right="283" w:end="283"/>
        <w:jc w:val="right"/>
      </w:pPr>
      <w:r>
        <w:rPr>
          <w:rFonts w:ascii="Arial" w:hAnsi="Arial" w:cs="Arial"/>
          <w:sz w:val="22"/>
          <w:szCs w:val="22"/>
          <w:rtl w:val="1"/>
          <w:lang w:bidi="he-IL" w:val="en-US"/>
        </w:rPr>
        <w:t>הטענה בעבודה: ליתוספרה יבשתית וציפה בצפון, וליתוספרה אוקיינית וצפופה בדרום, שוקעות בקצבים שונים מאוד.</w:t>
      </w:r>
    </w:p>
    <w:p>
      <w:pPr>
        <w:keepNext/>
        <w:bidi/>
        <w:spacing w:line="240" w:lineRule="auto" w:after="20" w:before="0"/>
        <w:ind w:right="283" w:end="283"/>
        <w:jc w:val="right"/>
      </w:pPr>
      <w:r>
        <w:rPr>
          <w:rFonts w:ascii="Arial" w:hAnsi="Arial" w:cs="Arial"/>
          <w:sz w:val="22"/>
          <w:szCs w:val="22"/>
          <w:rtl w:val="1"/>
          <w:lang w:bidi="he-IL" w:val="en-US"/>
        </w:rPr>
        <w:t>ציטוט מדויק — אומת בפס' 1 (עמוד 1 בקובץ ה-PDF):</w:t>
      </w:r>
    </w:p>
    <w:p>
      <w:pPr>
        <w:spacing w:line="240" w:lineRule="auto" w:after="200" w:before="0"/>
        <w:ind w:left="680" w:start="680"/>
        <w:jc w:val="left"/>
      </w:pPr>
      <w:r>
        <w:rPr>
          <w:rFonts w:ascii="Arial" w:hAnsi="Arial" w:cs="Arial"/>
          <w:i/>
          <w:iCs/>
          <w:sz w:val="20"/>
          <w:szCs w:val="20"/>
          <w:rtl w:val="0"/>
          <w:lang w:bidi="he-IL" w:val="en-US"/>
        </w:rPr>
        <w:t>“coinciding with the junction of a slowly subducting Adriatic continental lithosphere in the north (5-10 mm/yr) and a rapidly subducting Ionian oceanic lithosphere in the south (~35 mm/yr)”</w:t>
      </w:r>
    </w:p>
    <w:p>
      <w:pPr>
        <w:keepNext/>
        <w:bidi/>
        <w:spacing w:line="240" w:lineRule="auto" w:after="40" w:before="0"/>
        <w:jc w:val="right"/>
      </w:pPr>
      <w:r>
        <w:rPr>
          <w:rFonts w:ascii="Arial" w:hAnsi="Arial" w:cs="Arial"/>
          <w:b/>
          <w:bCs/>
          <w:sz w:val="22"/>
          <w:szCs w:val="22"/>
          <w:rtl w:val="1"/>
          <w:lang w:bidi="he-IL" w:val="en-US"/>
        </w:rPr>
        <w:t>הערה 58 — Huguen et al. (2006)</w:t>
      </w:r>
    </w:p>
    <w:p>
      <w:pPr>
        <w:bidi/>
        <w:spacing w:line="240" w:lineRule="auto" w:after="40" w:before="0"/>
        <w:ind w:right="283" w:end="283"/>
        <w:jc w:val="right"/>
      </w:pPr>
      <w:r>
        <w:rPr>
          <w:rFonts w:ascii="Arial" w:hAnsi="Arial" w:cs="Arial"/>
          <w:sz w:val="22"/>
          <w:szCs w:val="22"/>
          <w:rtl w:val="1"/>
          <w:lang w:bidi="he-IL" w:val="en-US"/>
        </w:rPr>
        <w:t>הערת השוליים בעבודה: Huguen et al. (2006), עמ' 73 (סעיף Conclusion).</w:t>
      </w:r>
    </w:p>
    <w:p>
      <w:pPr>
        <w:bidi/>
        <w:spacing w:line="240" w:lineRule="auto" w:after="40" w:before="0"/>
        <w:ind w:right="283" w:end="283"/>
        <w:jc w:val="right"/>
      </w:pPr>
      <w:r>
        <w:rPr>
          <w:rFonts w:ascii="Arial" w:hAnsi="Arial" w:cs="Arial"/>
          <w:sz w:val="22"/>
          <w:szCs w:val="22"/>
          <w:rtl w:val="1"/>
          <w:lang w:bidi="he-IL" w:val="en-US"/>
        </w:rPr>
        <w:t>הטענה בעבודה: הן גם מזינות את הרי הבוץ ומניעות את הגלישות הכבידתיות שמעל ה-Backstop.</w:t>
      </w:r>
    </w:p>
    <w:p>
      <w:pPr>
        <w:keepNext/>
        <w:bidi/>
        <w:spacing w:line="240" w:lineRule="auto" w:after="20" w:before="0"/>
        <w:ind w:right="283" w:end="283"/>
        <w:jc w:val="right"/>
      </w:pPr>
      <w:r>
        <w:rPr>
          <w:rFonts w:ascii="Arial" w:hAnsi="Arial" w:cs="Arial"/>
          <w:sz w:val="22"/>
          <w:szCs w:val="22"/>
          <w:rtl w:val="1"/>
          <w:lang w:bidi="he-IL" w:val="en-US"/>
        </w:rPr>
        <w:t>ציטוט מדויק — אומת בעמ' 73 (עמוד 13 בקובץ ה-PDF):</w:t>
      </w:r>
    </w:p>
    <w:p>
      <w:pPr>
        <w:spacing w:line="240" w:lineRule="auto" w:after="200" w:before="0"/>
        <w:ind w:left="680" w:start="680"/>
        <w:jc w:val="left"/>
      </w:pPr>
      <w:r>
        <w:rPr>
          <w:rFonts w:ascii="Arial" w:hAnsi="Arial" w:cs="Arial"/>
          <w:i/>
          <w:iCs/>
          <w:sz w:val="20"/>
          <w:szCs w:val="20"/>
          <w:rtl w:val="0"/>
          <w:lang w:bidi="he-IL" w:val="en-US"/>
        </w:rPr>
        <w:t>“interpreted as the result of ductile salt tectonics related to the presence of evaporite layers, deposited within a pre-existing fore-arc basin setting and acting as a passive decollement level”</w:t>
      </w:r>
    </w:p>
    <w:p>
      <w:pPr>
        <w:keepNext/>
        <w:bidi/>
        <w:spacing w:line="240" w:lineRule="auto" w:after="40" w:before="0"/>
        <w:jc w:val="right"/>
      </w:pPr>
      <w:r>
        <w:rPr>
          <w:rFonts w:ascii="Arial" w:hAnsi="Arial" w:cs="Arial"/>
          <w:b/>
          <w:bCs/>
          <w:sz w:val="22"/>
          <w:szCs w:val="22"/>
          <w:rtl w:val="1"/>
          <w:lang w:bidi="he-IL" w:val="en-US"/>
        </w:rPr>
        <w:t>הערה 59 — ייחוס מקור</w:t>
      </w:r>
    </w:p>
    <w:p>
      <w:pPr>
        <w:bidi/>
        <w:spacing w:line="240" w:lineRule="auto" w:after="40" w:before="0"/>
        <w:ind w:right="283" w:end="283"/>
        <w:jc w:val="right"/>
      </w:pPr>
      <w:r>
        <w:rPr>
          <w:rFonts w:ascii="Arial" w:hAnsi="Arial" w:cs="Arial"/>
          <w:sz w:val="22"/>
          <w:szCs w:val="22"/>
          <w:rtl w:val="1"/>
          <w:lang w:bidi="he-IL" w:val="en-US"/>
        </w:rPr>
        <w:t>תוכן ההערה: מקור איור 2</w:t>
      </w:r>
    </w:p>
    <w:p>
      <w:pPr>
        <w:bidi/>
        <w:spacing w:line="240" w:lineRule="auto" w:after="200" w:before="0"/>
        <w:ind w:right="283" w:end="283"/>
        <w:jc w:val="right"/>
      </w:pPr>
      <w:r>
        <w:rPr>
          <w:rFonts w:ascii="Arial" w:hAnsi="Arial" w:cs="Arial"/>
          <w:sz w:val="22"/>
          <w:szCs w:val="22"/>
          <w:rtl w:val="1"/>
          <w:lang w:bidi="he-IL" w:val="en-US"/>
        </w:rPr>
        <w:t>הערה ביבליוגרפית: מזהה DOI של Güneş et al. (2018).</w:t>
      </w:r>
    </w:p>
    <w:p>
      <w:pPr>
        <w:keepNext/>
        <w:bidi/>
        <w:spacing w:line="240" w:lineRule="auto" w:after="40" w:before="0"/>
        <w:jc w:val="right"/>
      </w:pPr>
      <w:r>
        <w:rPr>
          <w:rFonts w:ascii="Arial" w:hAnsi="Arial" w:cs="Arial"/>
          <w:b/>
          <w:bCs/>
          <w:sz w:val="22"/>
          <w:szCs w:val="22"/>
          <w:rtl w:val="1"/>
          <w:lang w:bidi="he-IL" w:val="en-US"/>
        </w:rPr>
        <w:t>הערה 60 — ייחוס מקור</w:t>
      </w:r>
    </w:p>
    <w:p>
      <w:pPr>
        <w:bidi/>
        <w:spacing w:line="240" w:lineRule="auto" w:after="40" w:before="0"/>
        <w:ind w:right="283" w:end="283"/>
        <w:jc w:val="right"/>
      </w:pPr>
      <w:r>
        <w:rPr>
          <w:rFonts w:ascii="Arial" w:hAnsi="Arial" w:cs="Arial"/>
          <w:sz w:val="22"/>
          <w:szCs w:val="22"/>
          <w:rtl w:val="1"/>
          <w:lang w:bidi="he-IL" w:val="en-US"/>
        </w:rPr>
        <w:t>תוכן ההערה: מאמר בפורמט AGU, הממוספר בפסקאות ולא בעמודים; ההפניות בגוף העבודה ניתנות בהתאם, לפי תקציר, מספר פסקה או פרק.</w:t>
      </w:r>
    </w:p>
    <w:p>
      <w:pPr>
        <w:bidi/>
        <w:spacing w:line="240" w:lineRule="auto" w:after="200" w:before="0"/>
        <w:ind w:right="283" w:end="283"/>
        <w:jc w:val="right"/>
      </w:pPr>
      <w:r>
        <w:rPr>
          <w:rFonts w:ascii="Arial" w:hAnsi="Arial" w:cs="Arial"/>
          <w:sz w:val="22"/>
          <w:szCs w:val="22"/>
          <w:rtl w:val="1"/>
          <w:lang w:bidi="he-IL" w:val="en-US"/>
        </w:rPr>
        <w:t>הערה ביבליוגרפית: מזהה DOI ופורמט המספור של Kopf et al. (2003).</w:t>
      </w:r>
    </w:p>
    <w:p>
      <w:pPr>
        <w:keepNext/>
        <w:bidi/>
        <w:spacing w:line="240" w:lineRule="auto" w:after="40" w:before="0"/>
        <w:jc w:val="right"/>
      </w:pPr>
      <w:r>
        <w:rPr>
          <w:rFonts w:ascii="Arial" w:hAnsi="Arial" w:cs="Arial"/>
          <w:b/>
          <w:bCs/>
          <w:sz w:val="22"/>
          <w:szCs w:val="22"/>
          <w:rtl w:val="1"/>
          <w:lang w:bidi="he-IL" w:val="en-US"/>
        </w:rPr>
        <w:t>הערה 61 — ייחוס מקור</w:t>
      </w:r>
    </w:p>
    <w:p>
      <w:pPr>
        <w:bidi/>
        <w:spacing w:line="240" w:lineRule="auto" w:after="40" w:before="0"/>
        <w:ind w:right="283" w:end="283"/>
        <w:jc w:val="right"/>
      </w:pPr>
      <w:r>
        <w:rPr>
          <w:rFonts w:ascii="Arial" w:hAnsi="Arial" w:cs="Arial"/>
          <w:sz w:val="22"/>
          <w:szCs w:val="22"/>
          <w:rtl w:val="1"/>
          <w:lang w:bidi="he-IL" w:val="en-US"/>
        </w:rPr>
        <w:t>תוכן ההערה: מאמר בפורמט AGU, הממוספר בפסקאות ולא בעמודים</w:t>
      </w:r>
    </w:p>
    <w:p>
      <w:pPr>
        <w:bidi/>
        <w:spacing w:line="240" w:lineRule="auto" w:after="200" w:before="0"/>
        <w:ind w:right="283" w:end="283"/>
        <w:jc w:val="right"/>
      </w:pPr>
      <w:r>
        <w:rPr>
          <w:rFonts w:ascii="Arial" w:hAnsi="Arial" w:cs="Arial"/>
          <w:sz w:val="22"/>
          <w:szCs w:val="22"/>
          <w:rtl w:val="1"/>
          <w:lang w:bidi="he-IL" w:val="en-US"/>
        </w:rPr>
        <w:t>הערה ביבליוגרפית: מזהה DOI ופורמט המספור של Royden &amp; Papanikolaou (2011).</w:t>
      </w:r>
    </w:p>
    <w:sectPr w:rsidR="00FC693F" w:rsidRPr="0006063C" w:rsidSect="00034616">
      <w:pgSz w:w="11906" w:h="16838"/>
      <w:pgMar w:top="1134" w:right="1134" w:bottom="1134" w:left="1134" w:header="720" w:footer="72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