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גבול ההפחתה הפעיל ביותר באגן הים התיכון. היא נמתחת מהאיים היוניים במערב, דרך כרתים, ועד רודוס במזרח. 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 ורוחבו 200–250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תכונותיו המכניות של המלח שונות לחלוטין מאלו של משקעים סיליקלסטיים רגילים.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ו-Forearc</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כ-Backstop שאפשר את הצטברות המנסרה.</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בין שני התחומים האלה מתנשאת המנסרה כרכס רחב ומתון.</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שקעי פליני וסטראבו אינם תעלות רציפות, אלא מערך של אגנים נפרדים. הם ערוכים במערך מדורג (en échelon) בכיוון צפון-מזרח–דרום-מערב, אגניהם רחבים ומלאים חלקית במשקעים, והמבנה כולו מבטא תנועת גזירה שמאלית.</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אלה מבנים טקטוניים פעילים, ולא רק שקערוריות בתוך הטופוגרפיה.</w:t>
      </w:r>
    </w:p>
    <w:p>
      <w:pPr>
        <w:bidi/>
        <w:spacing w:after="120" w:line="360" w:lineRule="auto"/>
        <w:jc w:val="both"/>
      </w:pPr>
      <w:r>
        <w:rPr>
          <w:rFonts w:ascii="Arial" w:cs="Arial" w:eastAsia="Arial" w:hAnsi="Arial"/>
          <w:b w:val="false"/>
          <w:bCs w:val="false"/>
          <w:i w:val="false"/>
          <w:iCs w:val="false"/>
          <w:color w:val="000000"/>
          <w:sz w:val="24"/>
          <w:szCs w:val="24"/>
          <w:rtl/>
        </w:rPr>
        <w:t xml:space="preserve">מבנה אזור ה-Backstop שבין שקע פליני לשקע סטראבו מוסיף נדבך לתמונה. בין שני השקעים משתרע שטח דמוי רמה, המשופע קלות צפונה ומאופיין במבנים גדולים דמויי אונה שפורשו כדפורמציה כבידתית. לצידו מתנשאים הרי סטראבו, שרשרת מבנים בתימטריים מסיביים בכיוון כללי N60, שנקרעו משולי כרתים.</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הגזירה לאורך הזרוע המזרחית מרוכזת בשני מגעים בלבד. האחד הוא הגבול בין שולי כרתים לאזור ה-Backstop, המתבטא בשקע פליני, והשני הוא המגע בין הרי סטראבו לתחום הפנימי של המנסרה, המתבטא בשקע סטראבו.</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השקעים מסמנים את קווי הגזירה של המערכת, ולא רק את השפלים שבין הרכסים.</w:t>
      </w:r>
    </w:p>
    <w:p>
      <w:pPr>
        <w:bidi/>
        <w:spacing w:after="120" w:line="360" w:lineRule="auto"/>
        <w:jc w:val="both"/>
      </w:pPr>
      <w:r>
        <w:rPr>
          <w:rFonts w:ascii="Arial" w:cs="Arial" w:eastAsia="Arial" w:hAnsi="Arial"/>
          <w:b w:val="false"/>
          <w:bCs w:val="false"/>
          <w:i w:val="false"/>
          <w:iCs w:val="false"/>
          <w:color w:val="000000"/>
          <w:sz w:val="24"/>
          <w:szCs w:val="24"/>
          <w:rtl/>
        </w:rPr>
        <w:t xml:space="preserve">מערכת השקעים אינה סימטרית סביב המנסרה. מצפון תוחם אותה שקע מטפן, העובר למרגלות המדרון היבשתי האגאי.</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מדרום, מול המדרון הלובי התלול, אין שקע כלל, אלא תעלה צרה ושטוחת-קרקעית בעומק ממוצע של כ-2,800 מטר.</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האסימטריה הזו חוזרת על עצמה בכל חתך רוחב של המערכת.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פסגת המנסרה נמצאת ברמת אנטאוס שמצפון לקירנאיקה, בעומק מים של פחות מ-1,250 מטר, ואילו הזרועות היונית והלבנטינית יורדות לעומקים של כ-3,200 וכ-2,200 מטר.</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גם הרוחב אינו אחיד. מול המישור התהומי היוני רוחב המנסרה מגיע לכ-200 ק"מ, ובקטע שבין מרכז כרתים ללוב הוא מצטמצם לכ-130 ק"מ בלבד.</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3384000" cy="27774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4000" cy="2777433"/>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בקו הצהוב המשונן,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כמקובל בשקעי הפחתה קלאסיים. מקור: Mikenorton, Wikimedia Commons (CC BY-SA 3.0).</w:t>
      </w:r>
      <w:r>
        <w:rPr>
          <w:rStyle w:val="FootnoteReference"/>
          <w:rFonts w:ascii="Arial" w:cs="Arial" w:eastAsia="Arial" w:hAnsi="Arial"/>
          <w:b w:val="false"/>
          <w:bCs w:val="false"/>
          <w:i/>
          <w:iCs/>
          <w:color w:val="000000"/>
          <w:sz w:val="22"/>
          <w:szCs w:val="22"/>
          <w:rtl/>
        </w:rPr>
        <w:footnoteReference w:id="26"/>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28"/>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ה-Backstop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 ה-Backstop ההלני.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30"/>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ה-Backstop.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יחידות המנסרה נדחפות באופן שיטתי מעל ה-Backstop,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39"/>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4536000" cy="35260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36000" cy="3526098"/>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(décollement)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41"/>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43"/>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ה-Backstop.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ל-Backstop.</w:t>
      </w:r>
      <w:r>
        <w:rPr>
          <w:rStyle w:val="FootnoteReference"/>
          <w:rFonts w:ascii="Arial" w:cs="Arial" w:eastAsia="Arial" w:hAnsi="Arial"/>
          <w:b w:val="false"/>
          <w:bCs w:val="false"/>
          <w:i w:val="false"/>
          <w:iCs w:val="false"/>
          <w:color w:val="000000"/>
          <w:sz w:val="24"/>
          <w:szCs w:val="24"/>
          <w:rtl/>
        </w:rPr>
        <w:footnoteReference w:id="45"/>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הריכוז לאורך מגע המנסרה-Backstop אינו מקרי. זהו האזור שבו הדחיסה מרבית ולחצי הנוזלים בשיא, והשברים שם מספקים לנוזלים נתיב יציאה אל הקרקעית. הרי הבוץ הם חלון ישיר אל משטר הלחצים בעומק הטריז, ופיזורם משמש כלי מורפולוגי לזיהוי אזורי הדפורמציה הפעילה.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ה-Backstop גולשות היחידות המסיניאניות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47"/>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בכיוון ההפוך, התפשטות דרומה של הכיסוי המלחי הדוקטילי מייצרת בחגורת הקמטים מערכת צפופה של העתקי הזזה.</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הגלישה הכבידתית פועלת בשני הכיוונים, ובאזור ה-Backstop השטוח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איור 3 מציג את המנסרה, את ה-Backstop ואת אונות המלח שגלשו מעליו במבט אחד.</w:t>
      </w:r>
    </w:p>
    <w:p>
      <w:pPr>
        <w:keepNext/>
        <w:spacing w:after="40" w:before="140"/>
        <w:jc w:val="center"/>
      </w:pPr>
      <w:r>
        <w:drawing>
          <wp:inline distT="0" distB="0" distL="0" distR="0">
            <wp:extent cx="4536000" cy="310762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536000" cy="310762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3: תצוגה בתימטרית תלת-ממדית של הזרוע המערבית של מנסרת ים התיכון ושל אזור ה-Backstop שמצפון לה. באיור נראים שלושת המרכיבים שנדונו בפרק זה. הראשון הוא מגע המנסרה-Backstop, שלאורכו מרוכזים הרי הבוץ. השני הוא אונת מלח כבידתית שגלשה מעל ה-Backstop. השלישי הוא אגני הבקע (cleft basins), שקערוריות עמוקות בסמוך לאותו מגע. סולם הצבעים מציג עומקי מים שבין 2,200 ל-4,000 מטר. מקור: Huguen et al. (2006), איור 4, עמ' 65.</w:t>
      </w:r>
      <w:r>
        <w:rPr>
          <w:rStyle w:val="FootnoteReference"/>
          <w:rFonts w:ascii="Arial" w:cs="Arial" w:eastAsia="Arial" w:hAnsi="Arial"/>
          <w:b w:val="false"/>
          <w:bCs w:val="false"/>
          <w:i/>
          <w:iCs/>
          <w:color w:val="000000"/>
          <w:sz w:val="22"/>
          <w:szCs w:val="22"/>
          <w:rtl/>
        </w:rPr>
        <w:footnoteReference w:id="51"/>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שהוא מאפשר לדפורמציה להתפרס על מרחב רחב במקום להתרכז בחזית צרה.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54"/>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5"/>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6"/>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אין לה סיבה אחת, ויש לה שתי רמות. ברמה הרדודה פועלים הקינמטיקה ופיזור המלח, וברמה העמוקה פועלת ציפת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57"/>
      </w:r>
      <w:r>
        <w:rPr>
          <w:rFonts w:ascii="Arial" w:cs="Arial" w:eastAsia="Arial" w:hAnsi="Arial"/>
          <w:b w:val="false"/>
          <w:bCs w:val="false"/>
          <w:i w:val="false"/>
          <w:iCs w:val="false"/>
          <w:color w:val="000000"/>
          <w:sz w:val="24"/>
          <w:szCs w:val="24"/>
          <w:rtl/>
        </w:rPr>
        <w:t xml:space="preserve"> צורת פני הקרקעית היא הביטוי העליון של שרשרת סיבתית שראשיתה בעומק.</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מזינות את הרי הבוץ ומניעות את הגלישות הכבידתיות שמעל ה-Backstop.</w:t>
      </w:r>
      <w:r>
        <w:rPr>
          <w:rStyle w:val="FootnoteReference"/>
          <w:rFonts w:ascii="Arial" w:cs="Arial" w:eastAsia="Arial" w:hAnsi="Arial"/>
          <w:b w:val="false"/>
          <w:bCs w:val="false"/>
          <w:i w:val="false"/>
          <w:iCs w:val="false"/>
          <w:color w:val="000000"/>
          <w:sz w:val="24"/>
          <w:szCs w:val="24"/>
          <w:rtl/>
        </w:rPr>
        <w:footnoteReference w:id="58"/>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northern sector of the eastern Mediterranean Sea. Marine and Petroleum Geology, 91, 297–320. https://doi.org/10.1016/j.marpetgeo.2018.01.010</w:t>
      </w:r>
      <w:r>
        <w:rPr>
          <w:rStyle w:val="FootnoteReference"/>
          <w:rFonts w:ascii="Arial" w:cs="Arial" w:eastAsia="Arial" w:hAnsi="Arial"/>
          <w:b w:val="false"/>
          <w:bCs w:val="false"/>
          <w:i w:val="false"/>
          <w:iCs w:val="false"/>
          <w:color w:val="000000"/>
          <w:sz w:val="22"/>
          <w:szCs w:val="22"/>
          <w:rtl w:val="0"/>
        </w:rPr>
        <w:footnoteReference w:id="59"/>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Marine Geophysical Researches, 27(1),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Journal of Geophysical Research: Solid Earth, 108(B8), 2372. https://doi.org/10.1029/2001JB000473</w:t>
      </w:r>
      <w:r>
        <w:rPr>
          <w:rStyle w:val="FootnoteReference"/>
          <w:rFonts w:ascii="Arial" w:cs="Arial" w:eastAsia="Arial" w:hAnsi="Arial"/>
          <w:b w:val="false"/>
          <w:bCs w:val="false"/>
          <w:i w:val="false"/>
          <w:iCs w:val="false"/>
          <w:color w:val="000000"/>
          <w:sz w:val="22"/>
          <w:szCs w:val="22"/>
          <w:rtl w:val="0"/>
        </w:rPr>
        <w:footnoteReference w:id="60"/>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Geochemistry, Geophysics, Geosystems, 12(3), Q03010. https://doi.org/10.1029/2010GC003280</w:t>
      </w:r>
      <w:r>
        <w:rPr>
          <w:rStyle w:val="FootnoteReference"/>
          <w:rFonts w:ascii="Arial" w:cs="Arial" w:eastAsia="Arial" w:hAnsi="Arial"/>
          <w:b w:val="false"/>
          <w:bCs w:val="false"/>
          <w:i w:val="false"/>
          <w:iCs w:val="false"/>
          <w:color w:val="000000"/>
          <w:sz w:val="22"/>
          <w:szCs w:val="22"/>
          <w:rtl w:val="0"/>
        </w:rPr>
        <w:footnoteReference w:id="61"/>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פס' 2 (סעיף 1, Introduction).</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0">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1">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w:t>
      </w:r>
    </w:p>
  </w:footnote>
  <w:footnote w:id="12">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19">
    <w:p>
      <w:pPr>
        <w:pStyle w:val="FootnoteText"/>
        <w:bidi/>
      </w:pPr>
      <w:r>
        <w:rPr>
          <w:rStyle w:val="FootnoteReference"/>
        </w:rPr>
        <w:footnoteRef/>
      </w:r>
      <w:r>
        <w:rPr>
          <w:rFonts w:ascii="Arial" w:hAnsi="Arial" w:cs="Arial" w:eastAsia="Arial"/>
          <w:sz w:val="20"/>
          <w:szCs w:val="20"/>
          <w:rtl/>
        </w:rPr>
        <w:t xml:space="preserve"> Huguen et al. (2006), עמ' 72 (סעיף The Eastern Mediterranean Ridge).</w:t>
      </w:r>
    </w:p>
  </w:footnote>
  <w:footnote w:id="20">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1">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6">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8">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0">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31">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ו-The Western Mediterranean Ridge).</w:t>
      </w:r>
    </w:p>
  </w:footnote>
  <w:footnote w:id="32">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33">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4">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5">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6">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7">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38">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39">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0">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1">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3">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4">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5">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6">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8">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9">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0">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1">
    <w:p>
      <w:pPr>
        <w:pStyle w:val="FootnoteText"/>
        <w:bidi/>
      </w:pPr>
      <w:r>
        <w:rPr>
          <w:rStyle w:val="FootnoteReference"/>
        </w:rPr>
        <w:footnoteRef/>
      </w:r>
      <w:r>
        <w:rPr>
          <w:rFonts w:ascii="Arial" w:hAnsi="Arial" w:cs="Arial" w:eastAsia="Arial"/>
          <w:sz w:val="20"/>
          <w:szCs w:val="20"/>
          <w:rtl/>
        </w:rPr>
        <w:t xml:space="preserve"> Huguen et al. (2006), איור 4, עמ' 65.</w:t>
      </w:r>
    </w:p>
  </w:footnote>
  <w:footnote w:id="52">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4">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5">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6">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57">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8">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9">
    <w:p>
      <w:pPr>
        <w:pStyle w:val="FootnoteText"/>
        <w:bidi/>
      </w:pPr>
      <w:r>
        <w:rPr>
          <w:rStyle w:val="FootnoteReference"/>
        </w:rPr>
        <w:footnoteRef/>
      </w:r>
      <w:r>
        <w:rPr>
          <w:rFonts w:ascii="Arial" w:hAnsi="Arial" w:cs="Arial" w:eastAsia="Arial"/>
          <w:sz w:val="20"/>
          <w:szCs w:val="20"/>
          <w:rtl/>
        </w:rPr>
        <w:t xml:space="preserve"> מקור איור 2</w:t>
      </w:r>
    </w:p>
  </w:footnote>
  <w:footnote w:id="60">
    <w:p>
      <w:pPr>
        <w:pStyle w:val="FootnoteText"/>
        <w:bidi/>
      </w:pPr>
      <w:r>
        <w:rPr>
          <w:rStyle w:val="FootnoteReference"/>
        </w:rPr>
        <w:footnoteRef/>
      </w:r>
      <w:r>
        <w:rPr>
          <w:rFonts w:ascii="Arial" w:hAnsi="Arial" w:cs="Arial" w:eastAsia="Arial"/>
          <w:sz w:val="20"/>
          <w:szCs w:val="20"/>
          <w:rtl/>
        </w:rPr>
        <w:t xml:space="preserve"> מאמר בפורמט AGU, הממוספר בפסקאות ולא בעמודים; ההפניות בגוף העבודה ניתנות בהתאם, לפי תקציר, מספר פסקה או פרק.</w:t>
      </w:r>
    </w:p>
  </w:footnote>
  <w:footnote w:id="61">
    <w:p>
      <w:pPr>
        <w:pStyle w:val="FootnoteText"/>
        <w:bidi/>
      </w:pPr>
      <w:r>
        <w:rPr>
          <w:rStyle w:val="FootnoteReference"/>
        </w:rPr>
        <w:footnoteRef/>
      </w:r>
      <w:r>
        <w:rPr>
          <w:rFonts w:ascii="Arial" w:hAnsi="Arial" w:cs="Arial" w:eastAsia="Arial"/>
          <w:sz w:val="20"/>
          <w:szCs w:val="20"/>
          <w:rtl/>
        </w:rPr>
        <w:t xml:space="preserve"> מאמר בפורמט AGU, הממוספר בפסקאות ולא בעמודים</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 Id="rId100" Type="http://schemas.openxmlformats.org/officeDocument/2006/relationships/image" Target="media/huguen_fi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