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מערכת ההפחתה הפעילה של אגן הים התיכון המזרחי. היא נמתחת מהאיים היוניים במערב, דרך כרתים, ועד רודוס במזרח. לאורכה שוקע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השוקע הוא שרידו של אגן אוקייני מזוזואי עמוק, שכמעט כולו נסגר בהתכנסות ארוכת-הטווח בין אירואסיה לאפריקה.</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מדובר במערכת הפחתה פעילה ומלאה, ובמקרה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שקעי מטפן, פליני וסטראבו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מוכרת בספרות בשם מנסרת ים התיכון (Mediterranean Ridge). זהו טריז משקעים מקושת שאורכו עולה על 1,500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היא נחשבת למנסרת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המרכיבים האלה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אינה נשלטת בגורם אחד. תחילת ההתנגשות מדרום לכרתים, הקינמטיקה המשתנה לאורך הקשת ופיזור שכבות המלח פועלים יחד.</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השוקע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השוקע הוא נוכחות שכבות אוורית, כלומר שכבות מלח ומינרלים שהתגבשו מאידוי.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אלו שכבות דוקטיליות, בשונה משאר הכיסוי הסדימנטרי.</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וקדם-קשת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כמשענת (backstop) שאפשרה את הצטברות המנסרה.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כלומר הכיוון והקצב שבהם נעים הלוחות זה מול זה, אינה אחידה לאורך הקשת. מדרום לכרתים ההתכנסות חזיתית, ובאותו אזור שולי היבשת האפריקאיים והאגאיים כמעט נפגשים במצב של תחילת התנגשות.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שונות קינמטית זו היא המפתח להבדלים המורפולוגיים לאורך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השונות הקינמטית הזו אינה שרירותית, ומקורה בהרכב הליתוספרה הנכנסת להפחתה. מדידות GPS מראות התכנסות של כ-35 מ"מ לשנה לרוחב ההלנידים הדרומיים, בין אפריקה לבין נקודות בלוח האגאי הרוכב.</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הקצב אינו אחיד לאורך הקשת. מצפון לאזור העתק קפלוניה שוקעת ליתוספרה יבשתית אדריאטית בקצב של 5–10 מ"מ לשנה בלבד. מדרומו שוקעת ליתוספרה אוקיינית יונית, צפופה הרבה יותר, בקצב של כ-35 מ"מ לשנה.</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ההבדל בין המקטעים גדול דיו כדי להסיט את חזית ההפחתה עצמה, שמוסטת בהיסט ימני של 100–120 ק"מ לרוחב אזור העתק קפלוניה.</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השונות לאורך הקשת מתחילה בציפת הלוח השוקע, ולא רק בכיסוי הסדימנטרי שמעליו.</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אלה הם שקע מטפן, שקע פליני, שקע סטראבו ותעלת רודוס, שעומקם נע בין 3,000 ל-5,000 מטר.</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מדרום גובלת המנסרה במישורים תהומיים רדודים יותר, ובהם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בין שני התחומים האלה מתנשאת המנסרה כרכס רחב.</w:t>
      </w:r>
    </w:p>
    <w:p>
      <w:pPr>
        <w:bidi/>
        <w:spacing w:after="120" w:line="360" w:lineRule="auto"/>
        <w:jc w:val="both"/>
      </w:pPr>
      <w:r>
        <w:rPr>
          <w:rFonts w:ascii="Arial" w:cs="Arial" w:eastAsia="Arial" w:hAnsi="Arial"/>
          <w:b w:val="false"/>
          <w:bCs w:val="false"/>
          <w:i w:val="false"/>
          <w:iCs w:val="false"/>
          <w:color w:val="000000"/>
          <w:sz w:val="24"/>
          <w:szCs w:val="24"/>
          <w:rtl/>
        </w:rPr>
        <w:t xml:space="preserve">"השקע ההלני" אינו שקע ים-עמוק במובן המדויק של המונח. מדובר בשקערורית של קדם-הקשת (forearc depression) שהמילוי הסדימנטרי בה מועט.</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והיום היא נמצאת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המרחק הגדול בין השקעים הפנימיים לחזית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שקעי פליני וסטראבו אינם תעלות רציפות, אלא מערך של אגנים נפרדים. הם ערוכים במערך מדורג (en échelon) בכיוון צפון-מזרח–דרום-מערב, אגניהם רחבים ומלאים חלקית במשקעים, והמבנה כולו מבטא תנועת גזירה שמאלית.</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אלה מבנים טקטוניים פעילים, ולא רק שקערוריות בתוך הטופוגרפיה.</w:t>
      </w:r>
    </w:p>
    <w:p>
      <w:pPr>
        <w:bidi/>
        <w:spacing w:after="120" w:line="360" w:lineRule="auto"/>
        <w:jc w:val="both"/>
      </w:pPr>
      <w:r>
        <w:rPr>
          <w:rFonts w:ascii="Arial" w:cs="Arial" w:eastAsia="Arial" w:hAnsi="Arial"/>
          <w:b w:val="false"/>
          <w:bCs w:val="false"/>
          <w:i w:val="false"/>
          <w:iCs w:val="false"/>
          <w:color w:val="000000"/>
          <w:sz w:val="24"/>
          <w:szCs w:val="24"/>
          <w:rtl/>
        </w:rPr>
        <w:t xml:space="preserve">מבנה אזור המשענת שבין שקע פליני לשקע סטראבו מוסיף נדבך לתמונה. בין שני השקעים משתרע שטח דמוי רמה, המשופע קלות צפונה ומאופיין במבנים גדולים דמויי אונה שפורשו כדפורמציה כבידתית. לצידו מתנשאים הרי סטראבו, שרשרת מבנים בתימטריים מסיביים בכיוון כללי N60, שנקרעו משולי כרתים.</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הגזירה לאורך הזרוע המזרחית מרוכזת בשני מגעים בלבד. האחד הוא הגבול בין שולי כרתים לאזור המשענת, המתבטא בשקע פליני, והשני הוא המגע בין הרי סטראבו לתחום הפנימי של המנסרה, המתבטא בשקע סטראבו.</w:t>
      </w:r>
      <w:r>
        <w:rPr>
          <w:rStyle w:val="FootnoteReference"/>
          <w:rFonts w:ascii="Arial" w:cs="Arial" w:eastAsia="Arial" w:hAnsi="Arial"/>
          <w:b w:val="false"/>
          <w:bCs w:val="false"/>
          <w:i w:val="false"/>
          <w:iCs w:val="false"/>
          <w:color w:val="000000"/>
          <w:sz w:val="24"/>
          <w:szCs w:val="24"/>
          <w:rtl/>
        </w:rPr>
        <w:footnoteReference w:id="21"/>
      </w:r>
      <w:r>
        <w:rPr>
          <w:rFonts w:ascii="Arial" w:cs="Arial" w:eastAsia="Arial" w:hAnsi="Arial"/>
          <w:b w:val="false"/>
          <w:bCs w:val="false"/>
          <w:i w:val="false"/>
          <w:iCs w:val="false"/>
          <w:color w:val="000000"/>
          <w:sz w:val="24"/>
          <w:szCs w:val="24"/>
          <w:rtl/>
        </w:rPr>
        <w:t xml:space="preserve"> השקעים מסמנים את קווי הגזירה של המערכת, ולא רק את השפלים שבין הרכסים.</w:t>
      </w:r>
    </w:p>
    <w:p>
      <w:pPr>
        <w:bidi/>
        <w:spacing w:after="120" w:line="360" w:lineRule="auto"/>
        <w:jc w:val="both"/>
      </w:pPr>
      <w:r>
        <w:rPr>
          <w:rFonts w:ascii="Arial" w:cs="Arial" w:eastAsia="Arial" w:hAnsi="Arial"/>
          <w:b w:val="false"/>
          <w:bCs w:val="false"/>
          <w:i w:val="false"/>
          <w:iCs w:val="false"/>
          <w:color w:val="000000"/>
          <w:sz w:val="24"/>
          <w:szCs w:val="24"/>
          <w:rtl/>
        </w:rPr>
        <w:t xml:space="preserve">מערכת השקעים אינה סימטרית סביב המנסרה. מצפון תוחם אותה שקע מטפן, העובר למרגלות המדרון היבשתי האגאי.</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מדרום, מול המדרון הלובי התלול, אין שקע כלל, אלא תעלה צרה ושטוחת-קרקעית בעומק ממוצע של כ-2,800 מטר.</w:t>
      </w:r>
      <w:r>
        <w:rPr>
          <w:rStyle w:val="FootnoteReference"/>
          <w:rFonts w:ascii="Arial" w:cs="Arial" w:eastAsia="Arial" w:hAnsi="Arial"/>
          <w:b w:val="false"/>
          <w:bCs w:val="false"/>
          <w:i w:val="false"/>
          <w:iCs w:val="false"/>
          <w:color w:val="000000"/>
          <w:sz w:val="24"/>
          <w:szCs w:val="24"/>
          <w:rtl/>
        </w:rPr>
        <w:footnoteReference w:id="23"/>
      </w:r>
      <w:r>
        <w:rPr>
          <w:rFonts w:ascii="Arial" w:cs="Arial" w:eastAsia="Arial" w:hAnsi="Arial"/>
          <w:b w:val="false"/>
          <w:bCs w:val="false"/>
          <w:i w:val="false"/>
          <w:iCs w:val="false"/>
          <w:color w:val="000000"/>
          <w:sz w:val="24"/>
          <w:szCs w:val="24"/>
          <w:rtl/>
        </w:rPr>
        <w:t xml:space="preserve"> השקעים העמוקים מצויים רק בצידה הפנימי של המנסרה, ולא בחזיתה.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ממדי המנסרה ושונותם</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המיפוי הרב-קרני והפרופילים הסיסמיים שנאספו בעשור שקדם למחקר אפשרו למדוד את ממדיה לאורך הקשת.</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פסגת המנסרה נמצאת ברמת אנטאוס שמצפון לקירנאיקה, בעומק מים של פחות מ-1,250 מטר, ואילו הזרועות היונית והלבנטינית יורדות לעומקים של כ-3,200 וכ-2,200 מטר.</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גם הרוחב אינו אחיד. מול המישור התהומי היוני רוחב המנסרה מגיע לכ-200 ק"מ, ובקטע שבין מרכז כרתים ללוב הוא מצטמצם לכ-130 ק"מ בלבד.</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איור 1 מציג את מבנה המערכת כולה. השונות הזו לאורך הקשת דורשת הסבר, והיא עומדת במרכז הפרקים הבאים.</w:t>
      </w:r>
    </w:p>
    <w:p>
      <w:pPr>
        <w:spacing w:after="40" w:before="140"/>
        <w:jc w:val="center"/>
      </w:pPr>
      <w:r>
        <w:drawing>
          <wp:inline distT="0" distB="0" distL="0" distR="0">
            <wp:extent cx="3384000" cy="27774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84000" cy="2777433"/>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והקשת החיצונית הלא-געשית (כרתים ורודוס). בחזית מסומנת מנסרת ההצטברות של ים התיכון, התחומה בשני קווי דחיפה משוננים, ומצפון לה מערכת השקעים (השקע ההלני, פליני וסטראבו). שני דברים חשובים לראות באיור. הראשון הוא הרוחב המשתנה של המנסרה לאורך הקשת. השני הוא מיקום השקעים בין קשת האיים לגוף המנסרה, ולא בחזיתה. מקור: Mikenorton, Wikimedia Commons (CC BY-SA 3.0).</w:t>
      </w:r>
      <w:r>
        <w:rPr>
          <w:rStyle w:val="FootnoteReference"/>
          <w:rFonts w:ascii="Arial" w:cs="Arial" w:eastAsia="Arial" w:hAnsi="Arial"/>
          <w:b w:val="false"/>
          <w:bCs w:val="false"/>
          <w:i/>
          <w:iCs/>
          <w:color w:val="000000"/>
          <w:sz w:val="22"/>
          <w:szCs w:val="22"/>
          <w:rtl/>
        </w:rPr>
        <w:footnoteReference w:id="28"/>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30"/>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וגם את פיזור שכבות המלח. הקמטים בחזית המנסרה הדוקים היכן שהאוורית דקה, במיוחד בקטע שבין כרתים ללוב, והם מתרחבים בהדרגה לעבר הזרועות הלבנטינית והיונית ככל שהאוורית מתעבה.</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המתאם הישיר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המשענת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ניצבת המשענת ההלנית.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המשענת.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יחידות המנסרה נדחפות באופן שיטתי מעל המשענת,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36"/>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שעובדו לחתכי עומק אמיתיים. עלו ממנו שלושה תרחישי דפורמציה שונים לאורך הקשת. במערב מדובר בקפיצה של מישור הניתוק (décollement), בקטע המרכזי שבין לוב לכרתים בדחיפה לאחור עזה, ובמזרח בטקטוניקה אופקית (transcurrent).</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לא מדובר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20% עד 25% בלבד מסך אספקת המשקעים, נמדד דווקא בקטע המרכזי שבו המנסרה סובלת מהדפורמציה המרבית, ושאר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9"/>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והוא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הנתונים האלה ממחישים את עוצמת המערכת הסדימנטרית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והם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41"/>
      </w:r>
      <w:r>
        <w:rPr>
          <w:rFonts w:ascii="Arial" w:cs="Arial" w:eastAsia="Arial" w:hAnsi="Arial"/>
          <w:b w:val="false"/>
          <w:bCs w:val="false"/>
          <w:i w:val="false"/>
          <w:iCs w:val="false"/>
          <w:color w:val="000000"/>
          <w:sz w:val="24"/>
          <w:szCs w:val="24"/>
          <w:rtl/>
        </w:rPr>
        <w:t xml:space="preserve"> "הטריז המסיני", כלומר חלק המנסרה שמשלב אוורית שהושקעה בתעלת ההפחתה, אינו עולה ברוחבו על 80 ק"מ בזרוע המערבית.</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שאר המנסרה בנוי ממשקעים מיוקניים שנצברו בשלביה המוקדמים. המלח שולט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4536000" cy="35260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36000" cy="3526098"/>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משמאל הים התיכון המזרחי (אגן אנטליה הדרומי), ומימין הים התיכון המערבי (אגן סרדו-פרובנסל). המחזירים TS/TES ו-BS/BES מסמנים את גג הרצף ואת בסיסו בהתאמה. הרצף נראה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43"/>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בולטת בכל קנה מידה.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44"/>
      </w:r>
      <w:r>
        <w:rPr>
          <w:rFonts w:ascii="Arial" w:cs="Arial" w:eastAsia="Arial" w:hAnsi="Arial"/>
          <w:b w:val="false"/>
          <w:bCs w:val="false"/>
          <w:i w:val="false"/>
          <w:iCs w:val="false"/>
          <w:color w:val="000000"/>
          <w:sz w:val="24"/>
          <w:szCs w:val="24"/>
          <w:rtl/>
        </w:rPr>
        <w:t xml:space="preserve"> הניגוד בין התחום הזה לבין השוליים עתירי-המלח הוא ההדגמה הישירה ביותר לתפקידו של המלח.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45"/>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המשענת.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למשענת.</w:t>
      </w:r>
      <w:r>
        <w:rPr>
          <w:rStyle w:val="FootnoteReference"/>
          <w:rFonts w:ascii="Arial" w:cs="Arial" w:eastAsia="Arial" w:hAnsi="Arial"/>
          <w:b w:val="false"/>
          <w:bCs w:val="false"/>
          <w:i w:val="false"/>
          <w:iCs w:val="false"/>
          <w:color w:val="000000"/>
          <w:sz w:val="24"/>
          <w:szCs w:val="24"/>
          <w:rtl/>
        </w:rPr>
        <w:footnoteReference w:id="47"/>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8"/>
      </w:r>
      <w:r>
        <w:rPr>
          <w:rFonts w:ascii="Arial" w:cs="Arial" w:eastAsia="Arial" w:hAnsi="Arial"/>
          <w:b w:val="false"/>
          <w:bCs w:val="false"/>
          <w:i w:val="false"/>
          <w:iCs w:val="false"/>
          <w:color w:val="000000"/>
          <w:sz w:val="24"/>
          <w:szCs w:val="24"/>
          <w:rtl/>
        </w:rPr>
        <w:t xml:space="preserve"> הריכוז לאורך המגע בין המנסרה למשענת אינו מקרי. בזרוע המערבית הגזירה ממוקדת באותו מגע, שפורש כמבנה פרח דחיסתי ימני ושהוא גם האתר המועדף לפריצת בוץ מסיבית.</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פיזורם של הרי הבוץ הוא לכן סמן מורפולוגי לאזורי הגזירה הפעילה של המנסרה.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5.4 תנועות סדימנט וגלישות כבידתיות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המלח אינו משפיע רק על סגנון הקימוט, אלא מניע גם תנועות סדימנט של ממש. מעל המשענת גולשות היחידות המסיניות לעבר השקעים ההלניים. נוצרת שם טקטוניקת מלח יוצאת דופן, הכוללת אונות מלח תת-עגולות, קימוט כבידתי הדוק ו"רפסודות" של משקעים פליו-קוורטרניים.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51"/>
      </w:r>
      <w:r>
        <w:rPr>
          <w:rFonts w:ascii="Arial" w:cs="Arial" w:eastAsia="Arial" w:hAnsi="Arial"/>
          <w:b w:val="false"/>
          <w:bCs w:val="false"/>
          <w:i w:val="false"/>
          <w:iCs w:val="false"/>
          <w:color w:val="000000"/>
          <w:sz w:val="24"/>
          <w:szCs w:val="24"/>
          <w:rtl/>
        </w:rPr>
        <w:t xml:space="preserve"> בכיוון ההפוך, חגורת הקמטים חצויה במערכת צפופה של העתקים, שיוחסו בין היתר להתפשטות דרומה של הכיסוי המלחי הדוקטילי.</w:t>
      </w:r>
      <w:r>
        <w:rPr>
          <w:rStyle w:val="FootnoteReference"/>
          <w:rFonts w:ascii="Arial" w:cs="Arial" w:eastAsia="Arial" w:hAnsi="Arial"/>
          <w:b w:val="false"/>
          <w:bCs w:val="false"/>
          <w:i w:val="false"/>
          <w:iCs w:val="false"/>
          <w:color w:val="000000"/>
          <w:sz w:val="24"/>
          <w:szCs w:val="24"/>
          <w:rtl/>
        </w:rPr>
        <w:footnoteReference w:id="52"/>
      </w:r>
      <w:r>
        <w:rPr>
          <w:rFonts w:ascii="Arial" w:cs="Arial" w:eastAsia="Arial" w:hAnsi="Arial"/>
          <w:b w:val="false"/>
          <w:bCs w:val="false"/>
          <w:i w:val="false"/>
          <w:iCs w:val="false"/>
          <w:color w:val="000000"/>
          <w:sz w:val="24"/>
          <w:szCs w:val="24"/>
          <w:rtl/>
        </w:rPr>
        <w:t xml:space="preserve"> הגלישה הכבידתית פועלת בשני הכיוונים, ובמשענת השטוחה היא משתרעת על פני כל השטח שנחקר.</w:t>
      </w:r>
      <w:r>
        <w:rPr>
          <w:rStyle w:val="FootnoteReference"/>
          <w:rFonts w:ascii="Arial" w:cs="Arial" w:eastAsia="Arial" w:hAnsi="Arial"/>
          <w:b w:val="false"/>
          <w:bCs w:val="false"/>
          <w:i w:val="false"/>
          <w:iCs w:val="false"/>
          <w:color w:val="000000"/>
          <w:sz w:val="24"/>
          <w:szCs w:val="24"/>
          <w:rtl/>
        </w:rPr>
        <w:footnoteReference w:id="53"/>
      </w:r>
      <w:r>
        <w:rPr>
          <w:rFonts w:ascii="Arial" w:cs="Arial" w:eastAsia="Arial" w:hAnsi="Arial"/>
          <w:b w:val="false"/>
          <w:bCs w:val="false"/>
          <w:i w:val="false"/>
          <w:iCs w:val="false"/>
          <w:color w:val="000000"/>
          <w:sz w:val="24"/>
          <w:szCs w:val="24"/>
          <w:rtl/>
        </w:rPr>
        <w:t xml:space="preserve"> איור 3 מציג את המנסרה, את המשענת ואת אונות המלח שגלשו מעליה במבט אחד.</w:t>
      </w:r>
    </w:p>
    <w:p>
      <w:pPr>
        <w:keepNext/>
        <w:spacing w:after="40" w:before="140"/>
        <w:jc w:val="center"/>
      </w:pPr>
      <w:r>
        <w:drawing>
          <wp:inline distT="0" distB="0" distL="0" distR="0">
            <wp:extent cx="4536000" cy="310762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536000" cy="310762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3: תצוגה בתימטרית תלת-ממדית של הזרוע המערבית של מנסרת ים התיכון ושל אזור המשענת שמצפון לה (Backstop באיור). באיור נראים שלושת המרכיבים שנדונו בפרק זה. הראשון הוא המגע בין המנסרה למשענת, שלאורכו מרוכזים הרי הבוץ. השני הוא אונת מלח כבידתית שגלשה מעל המשענת. השלישי הוא אגני הבקע (cleft basins), שקערוריות עמוקות בסמוך לאותו מגע. סולם הצבעים מציג עומקי מים שבין 2,200 ל-4,000 מטר. מקור: Huguen et al. (2006), איור 4, עמ' 65.</w:t>
      </w:r>
      <w:r>
        <w:rPr>
          <w:rStyle w:val="FootnoteReference"/>
          <w:rFonts w:ascii="Arial" w:cs="Arial" w:eastAsia="Arial" w:hAnsi="Arial"/>
          <w:b w:val="false"/>
          <w:bCs w:val="false"/>
          <w:i/>
          <w:iCs/>
          <w:color w:val="000000"/>
          <w:sz w:val="22"/>
          <w:szCs w:val="22"/>
          <w:rtl/>
        </w:rPr>
        <w:footnoteReference w:id="54"/>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בשלושה גורמים הפועלים יחד. הראשון הוא מצב גיאודינמי של תחילת התנגשות מדרום לכרתים. השני הוא קינמטיקה אזורית שמשתנה מהתכנסות חזיתית להפחתה אלכסונית. השלישי הוא מאפייני הכיסוי הסדימנטרי, ובראשם שכבות המלח.</w:t>
      </w:r>
      <w:r>
        <w:rPr>
          <w:rStyle w:val="FootnoteReference"/>
          <w:rFonts w:ascii="Arial" w:cs="Arial" w:eastAsia="Arial" w:hAnsi="Arial"/>
          <w:b w:val="false"/>
          <w:bCs w:val="false"/>
          <w:i w:val="false"/>
          <w:iCs w:val="false"/>
          <w:color w:val="000000"/>
          <w:sz w:val="24"/>
          <w:szCs w:val="24"/>
          <w:rtl/>
        </w:rPr>
        <w:footnoteReference w:id="55"/>
      </w:r>
      <w:r>
        <w:rPr>
          <w:rFonts w:ascii="Arial" w:cs="Arial" w:eastAsia="Arial" w:hAnsi="Arial"/>
          <w:b w:val="false"/>
          <w:bCs w:val="false"/>
          <w:i w:val="false"/>
          <w:iCs w:val="false"/>
          <w:color w:val="000000"/>
          <w:sz w:val="24"/>
          <w:szCs w:val="24"/>
          <w:rtl/>
        </w:rPr>
        <w:t xml:space="preserve"> הקינמטיקה ותחילת ההתנגשות מסבירות מדוע הזרוע המרכזית צרה ומעוותת בעוד היונית רחבה ושטוחה, ופיזור המלח מסביר את המעבר ההדרגתי בסגנון הקימוט בין הזרועות. תפקידו של המלח בולט במיוחד, משום שעוביו הוא שקובע את רוחב הקמטים ואת סגנונם לאורך חזית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הללו נוגעים לפני השטח ולכיסוי הסדימנטרי, ומתחתם עומד גורם עמוק יותר. פילוח הלוח השוקע לפי ציפתו הוא שמייצר את ההבדל בקצבי ההפחתה, שהקינמטיקה האזורית רק מבטאת.</w:t>
      </w:r>
      <w:r>
        <w:rPr>
          <w:rStyle w:val="FootnoteReference"/>
          <w:rFonts w:ascii="Arial" w:cs="Arial" w:eastAsia="Arial" w:hAnsi="Arial"/>
          <w:b w:val="false"/>
          <w:bCs w:val="false"/>
          <w:i w:val="false"/>
          <w:iCs w:val="false"/>
          <w:color w:val="000000"/>
          <w:sz w:val="24"/>
          <w:szCs w:val="24"/>
          <w:rtl/>
        </w:rPr>
        <w:footnoteReference w:id="56"/>
      </w:r>
      <w:r>
        <w:rPr>
          <w:rFonts w:ascii="Arial" w:cs="Arial" w:eastAsia="Arial" w:hAnsi="Arial"/>
          <w:b w:val="false"/>
          <w:bCs w:val="false"/>
          <w:i w:val="false"/>
          <w:iCs w:val="false"/>
          <w:color w:val="000000"/>
          <w:sz w:val="24"/>
          <w:szCs w:val="24"/>
          <w:rtl/>
        </w:rPr>
        <w:t xml:space="preserve"> הגבול בין שני המקטעים, אזור העתק קפלוניה, הוא צעיר יחסית. מודלים גיאודינמיים מתארכים את היווצרותו ל-6–8 מיליון שנה, ורוב ההפרדה בין חזיתות ההפחתה התרחשה אחרי 5 מיליון שנה.</w:t>
      </w:r>
      <w:r>
        <w:rPr>
          <w:rStyle w:val="FootnoteReference"/>
          <w:rFonts w:ascii="Arial" w:cs="Arial" w:eastAsia="Arial" w:hAnsi="Arial"/>
          <w:b w:val="false"/>
          <w:bCs w:val="false"/>
          <w:i w:val="false"/>
          <w:iCs w:val="false"/>
          <w:color w:val="000000"/>
          <w:sz w:val="24"/>
          <w:szCs w:val="24"/>
          <w:rtl/>
        </w:rPr>
        <w:footnoteReference w:id="57"/>
      </w:r>
      <w:r>
        <w:rPr>
          <w:rFonts w:ascii="Arial" w:cs="Arial" w:eastAsia="Arial" w:hAnsi="Arial"/>
          <w:b w:val="false"/>
          <w:bCs w:val="false"/>
          <w:i w:val="false"/>
          <w:iCs w:val="false"/>
          <w:color w:val="000000"/>
          <w:sz w:val="24"/>
          <w:szCs w:val="24"/>
          <w:rtl/>
        </w:rPr>
        <w:t xml:space="preserve"> זהו פרק זמן החופף להתפתחותה הפוסט-מסינית של המנסרה. הגורם הקינמטי אינו עומד בפני עצמו, אלא הוא עצמו תוצאה של מה שנכנס לתעלת ההפחתה.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שהוצג בפרק 5.1. אספקת משקעים שהצטברה מאז המזוזואיקון, קצב התכנסות גבוה ומישור ניתוק מלחי הם צירוף חריג של תנאים.</w:t>
      </w:r>
      <w:r>
        <w:rPr>
          <w:rStyle w:val="FootnoteReference"/>
          <w:rFonts w:ascii="Arial" w:cs="Arial" w:eastAsia="Arial" w:hAnsi="Arial"/>
          <w:b w:val="false"/>
          <w:bCs w:val="false"/>
          <w:i w:val="false"/>
          <w:iCs w:val="false"/>
          <w:color w:val="000000"/>
          <w:sz w:val="24"/>
          <w:szCs w:val="24"/>
          <w:rtl/>
        </w:rPr>
        <w:footnoteReference w:id="58"/>
      </w:r>
      <w:r>
        <w:rPr>
          <w:rFonts w:ascii="Arial" w:cs="Arial" w:eastAsia="Arial" w:hAnsi="Arial"/>
          <w:b w:val="false"/>
          <w:bCs w:val="false"/>
          <w:i w:val="false"/>
          <w:iCs w:val="false"/>
          <w:color w:val="000000"/>
          <w:sz w:val="24"/>
          <w:szCs w:val="24"/>
          <w:rtl/>
        </w:rPr>
        <w:t xml:space="preserve"> הוא ההסבר לכך שהמנסרה ההלנית נראית אחרת ממנסרות הצטברות אחרות.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ההפחתה של הקשת ההלנית ואת מנסרת ההצטברות שנבנתה בה. הממצא הראשון נוגע למבנה הבתימטרי. השקעים מטפן, פליני וסטראבו אינם שקעי הפחתה במובן הרגיל, אלא שקערוריות בתוך קדם-הקשת שנותרו מאחור כאשר חזית הדפורמציה נדדה דרומה.</w:t>
      </w:r>
      <w:r>
        <w:rPr>
          <w:rStyle w:val="FootnoteReference"/>
          <w:rFonts w:ascii="Arial" w:cs="Arial" w:eastAsia="Arial" w:hAnsi="Arial"/>
          <w:b w:val="false"/>
          <w:bCs w:val="false"/>
          <w:i w:val="false"/>
          <w:iCs w:val="false"/>
          <w:color w:val="000000"/>
          <w:sz w:val="24"/>
          <w:szCs w:val="24"/>
          <w:rtl/>
        </w:rPr>
        <w:footnoteReference w:id="59"/>
      </w:r>
      <w:r>
        <w:rPr>
          <w:rFonts w:ascii="Arial" w:cs="Arial" w:eastAsia="Arial" w:hAnsi="Arial"/>
          <w:b w:val="false"/>
          <w:bCs w:val="false"/>
          <w:i w:val="false"/>
          <w:iCs w:val="false"/>
          <w:color w:val="000000"/>
          <w:sz w:val="24"/>
          <w:szCs w:val="24"/>
          <w:rtl/>
        </w:rPr>
        <w:t xml:space="preserve"> ההבחנה בין שני האלמנטים היא תנאי לקריאה נכונה של מפת העומקים באזור.</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השני נוגע לשונות לאורך הקשת. אין לה סיבה אחת, ויש לה שתי רמות. ברמה הרדודה פועלים הקינמטיקה ופיזור המלח, וברמה העמוקה פועלת ציפת הליתוספרה השוקעת. ליתוספרה יבשתית וציפה בצפון, וליתוספרה אוקיינית וצפופה בדרום, שוקעות בקצבים שונים מאוד.</w:t>
      </w:r>
      <w:r>
        <w:rPr>
          <w:rStyle w:val="FootnoteReference"/>
          <w:rFonts w:ascii="Arial" w:cs="Arial" w:eastAsia="Arial" w:hAnsi="Arial"/>
          <w:b w:val="false"/>
          <w:bCs w:val="false"/>
          <w:i w:val="false"/>
          <w:iCs w:val="false"/>
          <w:color w:val="000000"/>
          <w:sz w:val="24"/>
          <w:szCs w:val="24"/>
          <w:rtl/>
        </w:rPr>
        <w:footnoteReference w:id="60"/>
      </w:r>
      <w:r>
        <w:rPr>
          <w:rFonts w:ascii="Arial" w:cs="Arial" w:eastAsia="Arial" w:hAnsi="Arial"/>
          <w:b w:val="false"/>
          <w:bCs w:val="false"/>
          <w:i w:val="false"/>
          <w:iCs w:val="false"/>
          <w:color w:val="000000"/>
          <w:sz w:val="24"/>
          <w:szCs w:val="24"/>
          <w:rtl/>
        </w:rPr>
        <w:t xml:space="preserve"> צורת פני הקרקעית היא הביטוי העליון של שרשרת סיבתית שראשיתה בעומק.</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השלישי נוגע למלח. שכבות האוורית המסיניות אינן רק שכבה בחתך, אלא הגורם המכני שמאפשר לטריז כולו להתפרס על מרחב רחב במקום להתרכז בחזית צרה. הן גם מניעות את הגלישות הכבידתיות שמעל המשענת.</w:t>
      </w:r>
      <w:r>
        <w:rPr>
          <w:rStyle w:val="FootnoteReference"/>
          <w:rFonts w:ascii="Arial" w:cs="Arial" w:eastAsia="Arial" w:hAnsi="Arial"/>
          <w:b w:val="false"/>
          <w:bCs w:val="false"/>
          <w:i w:val="false"/>
          <w:iCs w:val="false"/>
          <w:color w:val="000000"/>
          <w:sz w:val="24"/>
          <w:szCs w:val="24"/>
          <w:rtl/>
        </w:rPr>
        <w:footnoteReference w:id="61"/>
      </w:r>
      <w:r>
        <w:rPr>
          <w:rFonts w:ascii="Arial" w:cs="Arial" w:eastAsia="Arial" w:hAnsi="Arial"/>
          <w:b w:val="false"/>
          <w:bCs w:val="false"/>
          <w:i w:val="false"/>
          <w:iCs w:val="false"/>
          <w:color w:val="000000"/>
          <w:sz w:val="24"/>
          <w:szCs w:val="24"/>
          <w:rtl/>
        </w:rPr>
        <w:t xml:space="preserve"> שכבה שהושקעה בסוף המיוקן ממשיכה לקבוע כיצד נראית קרקעית הים באגן כולו.</w:t>
      </w:r>
    </w:p>
    <w:p>
      <w:pPr>
        <w:spacing w:line="360" w:lineRule="auto"/>
      </w:pPr>
      <w:r>
        <w:rPr>
          <w:rFonts w:ascii="Arial" w:cs="Arial" w:eastAsia="Arial" w:hAnsi="Arial"/>
          <w:b w:val="false"/>
          <w:bCs w:val="false"/>
          <w:i w:val="false"/>
          <w:iCs w:val="false"/>
          <w:color w:val="000000"/>
          <w:sz w:val="24"/>
          <w:szCs w:val="24"/>
          <w:rtl/>
        </w:rPr>
        <w:t xml:space="preserve"/>
      </w:r>
    </w:p>
    <w:p>
      <w:pPr>
        <w:keepNext/>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northern sector of the eastern Mediterranean Sea. </w:t>
      </w:r>
      <w:r>
        <w:rPr>
          <w:rFonts w:ascii="Arial" w:cs="Arial" w:eastAsia="Arial" w:hAnsi="Arial"/>
          <w:b w:val="false"/>
          <w:bCs w:val="false"/>
          <w:i w:val="true"/>
          <w:iCs w:val="true"/>
          <w:color w:val="000000"/>
          <w:sz w:val="22"/>
          <w:szCs w:val="22"/>
          <w:rtl w:val="0"/>
        </w:rPr>
        <w:t xml:space="preserve">Marine and Petroleum Geology, 91</w:t>
      </w:r>
      <w:r>
        <w:rPr>
          <w:rFonts w:ascii="Arial" w:cs="Arial" w:eastAsia="Arial" w:hAnsi="Arial"/>
          <w:b w:val="false"/>
          <w:bCs w:val="false"/>
          <w:i w:val="false"/>
          <w:iCs w:val="false"/>
          <w:color w:val="000000"/>
          <w:sz w:val="22"/>
          <w:szCs w:val="22"/>
          <w:rtl w:val="0"/>
        </w:rPr>
        <w:t xml:space="preserve">, 297–320. https://doi.org/10.1016/j.marpetgeo.2018.01.016</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w:t>
      </w:r>
      <w:r>
        <w:rPr>
          <w:rFonts w:ascii="Arial" w:cs="Arial" w:eastAsia="Arial" w:hAnsi="Arial"/>
          <w:b w:val="false"/>
          <w:bCs w:val="false"/>
          <w:i w:val="true"/>
          <w:iCs w:val="true"/>
          <w:color w:val="000000"/>
          <w:sz w:val="22"/>
          <w:szCs w:val="22"/>
          <w:rtl w:val="0"/>
        </w:rPr>
        <w:t xml:space="preserve">Marine Geophysical Researches, 27</w:t>
      </w:r>
      <w:r>
        <w:rPr>
          <w:rFonts w:ascii="Arial" w:cs="Arial" w:eastAsia="Arial" w:hAnsi="Arial"/>
          <w:b w:val="false"/>
          <w:bCs w:val="false"/>
          <w:i w:val="false"/>
          <w:iCs w:val="false"/>
          <w:color w:val="000000"/>
          <w:sz w:val="22"/>
          <w:szCs w:val="22"/>
          <w:rtl w:val="0"/>
        </w:rPr>
        <w:t xml:space="preserve">(1),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w:t>
      </w:r>
      <w:r>
        <w:rPr>
          <w:rFonts w:ascii="Arial" w:cs="Arial" w:eastAsia="Arial" w:hAnsi="Arial"/>
          <w:b w:val="false"/>
          <w:bCs w:val="false"/>
          <w:i w:val="true"/>
          <w:iCs w:val="true"/>
          <w:color w:val="000000"/>
          <w:sz w:val="22"/>
          <w:szCs w:val="22"/>
          <w:rtl w:val="0"/>
        </w:rPr>
        <w:t xml:space="preserve">Journal of Geophysical Research: Solid Earth, 108</w:t>
      </w:r>
      <w:r>
        <w:rPr>
          <w:rFonts w:ascii="Arial" w:cs="Arial" w:eastAsia="Arial" w:hAnsi="Arial"/>
          <w:b w:val="false"/>
          <w:bCs w:val="false"/>
          <w:i w:val="false"/>
          <w:iCs w:val="false"/>
          <w:color w:val="000000"/>
          <w:sz w:val="22"/>
          <w:szCs w:val="22"/>
          <w:rtl w:val="0"/>
        </w:rPr>
        <w:t xml:space="preserve">(B8), 2372. https://doi.org/10.1029/2001JB000473</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Royden, L. H., &amp; Papanikolaou, D. J. (2011). Slab segmentation and late Cenozoic disruption of the Hellenic arc. </w:t>
      </w:r>
      <w:r>
        <w:rPr>
          <w:rFonts w:ascii="Arial" w:cs="Arial" w:eastAsia="Arial" w:hAnsi="Arial"/>
          <w:b w:val="false"/>
          <w:bCs w:val="false"/>
          <w:i w:val="true"/>
          <w:iCs w:val="true"/>
          <w:color w:val="000000"/>
          <w:sz w:val="22"/>
          <w:szCs w:val="22"/>
          <w:rtl w:val="0"/>
        </w:rPr>
        <w:t xml:space="preserve">Geochemistry, Geophysics, Geosystems, 12</w:t>
      </w:r>
      <w:r>
        <w:rPr>
          <w:rFonts w:ascii="Arial" w:cs="Arial" w:eastAsia="Arial" w:hAnsi="Arial"/>
          <w:b w:val="false"/>
          <w:bCs w:val="false"/>
          <w:i w:val="false"/>
          <w:iCs w:val="false"/>
          <w:color w:val="000000"/>
          <w:sz w:val="22"/>
          <w:szCs w:val="22"/>
          <w:rtl w:val="0"/>
        </w:rPr>
        <w:t xml:space="preserve">(3), Q03010. https://doi.org/10.1029/2010GC003280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10">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1">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2">
    <w:p>
      <w:pPr>
        <w:pStyle w:val="FootnoteText"/>
        <w:bidi/>
      </w:pPr>
      <w:r>
        <w:rPr>
          <w:rStyle w:val="FootnoteReference"/>
        </w:rPr>
        <w:footnoteRef/>
      </w:r>
      <w:r>
        <w:rPr>
          <w:rFonts w:ascii="Arial" w:hAnsi="Arial" w:cs="Arial" w:eastAsia="Arial"/>
          <w:sz w:val="20"/>
          <w:szCs w:val="20"/>
          <w:rtl/>
        </w:rPr>
        <w:t xml:space="preserve"> Royden, L. H., &amp; Papanikolaou, D. J. (2011). Slab segmentation and late Cenozoic disruption of the Hellenic arc. Geochemistry, Geophysics, Geosystems, 12(3), Q03010. פס' 7 (סעיף 2.1, Active Subduction). גם מאמר זה בפורמט AGU, הממוספר בפסקאות.</w:t>
      </w:r>
    </w:p>
  </w:footnote>
  <w:footnote w:id="1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4">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5">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6">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7">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8">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9">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20">
    <w:p>
      <w:pPr>
        <w:pStyle w:val="FootnoteText"/>
        <w:bidi/>
      </w:pPr>
      <w:r>
        <w:rPr>
          <w:rStyle w:val="FootnoteReference"/>
        </w:rPr>
        <w:footnoteRef/>
      </w:r>
      <w:r>
        <w:rPr>
          <w:rFonts w:ascii="Arial" w:hAnsi="Arial" w:cs="Arial" w:eastAsia="Arial"/>
          <w:sz w:val="20"/>
          <w:szCs w:val="20"/>
          <w:rtl/>
        </w:rPr>
        <w:t xml:space="preserve"> Huguen et al. (2006), עמ' 72 (סעיף The Eastern Mediterranean Ridge).</w:t>
      </w:r>
    </w:p>
  </w:footnote>
  <w:footnote w:id="2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24">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8">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9">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0">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32">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33">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ו-Western Mediterranean Ridge).</w:t>
      </w:r>
    </w:p>
  </w:footnote>
  <w:footnote w:id="34">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35">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36">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8">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9">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40">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4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 (סעיף The Western Mediterranean Ridge).</w:t>
      </w:r>
    </w:p>
  </w:footnote>
  <w:footnote w:id="43">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6">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8">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0">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5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2">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3">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4">
    <w:p>
      <w:pPr>
        <w:pStyle w:val="FootnoteText"/>
        <w:bidi/>
      </w:pPr>
      <w:r>
        <w:rPr>
          <w:rStyle w:val="FootnoteReference"/>
        </w:rPr>
        <w:footnoteRef/>
      </w:r>
      <w:r>
        <w:rPr>
          <w:rFonts w:ascii="Arial" w:hAnsi="Arial" w:cs="Arial" w:eastAsia="Arial"/>
          <w:sz w:val="20"/>
          <w:szCs w:val="20"/>
          <w:rtl/>
        </w:rPr>
        <w:t xml:space="preserve"> Huguen et al. (2006), איור 4, עמ' 65.</w:t>
      </w:r>
    </w:p>
  </w:footnote>
  <w:footnote w:id="5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6">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7">
    <w:p>
      <w:pPr>
        <w:pStyle w:val="FootnoteText"/>
        <w:bidi/>
      </w:pPr>
      <w:r>
        <w:rPr>
          <w:rStyle w:val="FootnoteReference"/>
        </w:rPr>
        <w:footnoteRef/>
      </w:r>
      <w:r>
        <w:rPr>
          <w:rFonts w:ascii="Arial" w:hAnsi="Arial" w:cs="Arial" w:eastAsia="Arial"/>
          <w:sz w:val="20"/>
          <w:szCs w:val="20"/>
          <w:rtl/>
        </w:rPr>
        <w:t xml:space="preserve"> Royden &amp; Papanikolaou (2011), פס' 38 (סעיף 3.2.2, Model Results).</w:t>
      </w:r>
    </w:p>
  </w:footnote>
  <w:footnote w:id="58">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59">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60">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6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 Id="rId100" Type="http://schemas.openxmlformats.org/officeDocument/2006/relationships/image" Target="media/huguen_fi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