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EF189" w14:textId="73B5199B" w:rsidR="0082003F" w:rsidRPr="006707EB" w:rsidRDefault="006707EB" w:rsidP="006707EB">
      <w:pPr>
        <w:jc w:val="center"/>
        <w:rPr>
          <w:b/>
          <w:bCs/>
          <w:sz w:val="40"/>
          <w:szCs w:val="40"/>
          <w:u w:val="single"/>
        </w:rPr>
      </w:pPr>
      <w:r w:rsidRPr="006707EB">
        <w:rPr>
          <w:b/>
          <w:bCs/>
          <w:sz w:val="40"/>
          <w:szCs w:val="40"/>
          <w:u w:val="single"/>
        </w:rPr>
        <w:t>Documentation fonctionnelle</w:t>
      </w:r>
    </w:p>
    <w:p w14:paraId="08567B3A" w14:textId="77777777" w:rsidR="006707EB" w:rsidRDefault="006707EB"/>
    <w:p w14:paraId="4701E437" w14:textId="01B5F638" w:rsidR="006707EB" w:rsidRDefault="006707EB" w:rsidP="006707EB">
      <w:pPr>
        <w:jc w:val="both"/>
      </w:pPr>
      <w:r>
        <w:t>Dans cette documentation fonctionnelle, on retrouve les différentes fonctionnalités du rapport Power BI (navigation, filtre, rôle, …) ainsi que l’intérêt des visuels clés du rapport.</w:t>
      </w:r>
    </w:p>
    <w:p w14:paraId="337A2A0D" w14:textId="77777777" w:rsidR="006707EB" w:rsidRDefault="006707EB" w:rsidP="006707EB">
      <w:pPr>
        <w:jc w:val="both"/>
      </w:pPr>
    </w:p>
    <w:p w14:paraId="11059B07" w14:textId="454F33D4" w:rsidR="006707EB" w:rsidRPr="006707EB" w:rsidRDefault="006707EB" w:rsidP="006707EB">
      <w:pPr>
        <w:jc w:val="both"/>
        <w:rPr>
          <w:sz w:val="32"/>
          <w:szCs w:val="32"/>
          <w:u w:val="single"/>
        </w:rPr>
      </w:pPr>
      <w:r w:rsidRPr="006707EB">
        <w:rPr>
          <w:sz w:val="32"/>
          <w:szCs w:val="32"/>
          <w:u w:val="single"/>
        </w:rPr>
        <w:t>Fonctionnalités :</w:t>
      </w:r>
    </w:p>
    <w:p w14:paraId="6C34DAF8" w14:textId="77777777" w:rsidR="006707EB" w:rsidRDefault="006707EB" w:rsidP="006707EB">
      <w:pPr>
        <w:jc w:val="both"/>
      </w:pPr>
      <w:r>
        <w:t xml:space="preserve">Le rapport est constitué de 3 onglets : </w:t>
      </w:r>
    </w:p>
    <w:p w14:paraId="3264F67D" w14:textId="5757BA74" w:rsidR="006707EB" w:rsidRDefault="006707EB" w:rsidP="006707EB">
      <w:pPr>
        <w:pStyle w:val="Paragraphedeliste"/>
        <w:numPr>
          <w:ilvl w:val="0"/>
          <w:numId w:val="1"/>
        </w:numPr>
        <w:jc w:val="both"/>
      </w:pPr>
      <w:r>
        <w:t>Global, où on retrouve une analyse générale des logements</w:t>
      </w:r>
    </w:p>
    <w:p w14:paraId="0D05D934" w14:textId="35813001" w:rsidR="006707EB" w:rsidRDefault="006707EB" w:rsidP="006707EB">
      <w:pPr>
        <w:pStyle w:val="Paragraphedeliste"/>
        <w:numPr>
          <w:ilvl w:val="0"/>
          <w:numId w:val="1"/>
        </w:numPr>
        <w:jc w:val="both"/>
      </w:pPr>
      <w:r>
        <w:t>Analyse DPE, où l’on se focalise plus sur l’analyse en fonction des DPE</w:t>
      </w:r>
    </w:p>
    <w:p w14:paraId="0EF734B7" w14:textId="749351C5" w:rsidR="006707EB" w:rsidRDefault="006707EB" w:rsidP="006707EB">
      <w:pPr>
        <w:pStyle w:val="Paragraphedeliste"/>
        <w:numPr>
          <w:ilvl w:val="0"/>
          <w:numId w:val="1"/>
        </w:numPr>
        <w:jc w:val="both"/>
      </w:pPr>
      <w:r>
        <w:t>Analyse logis, où l’on se focalise plus sur l’analyse en fonction du type de logement</w:t>
      </w:r>
    </w:p>
    <w:p w14:paraId="195A1318" w14:textId="77777777" w:rsidR="006707EB" w:rsidRDefault="006707EB" w:rsidP="006707EB">
      <w:pPr>
        <w:pStyle w:val="Paragraphedeliste"/>
        <w:jc w:val="both"/>
      </w:pPr>
    </w:p>
    <w:p w14:paraId="5D47FAEC" w14:textId="0209E8A8" w:rsidR="006707EB" w:rsidRDefault="006707EB" w:rsidP="006707EB">
      <w:pPr>
        <w:jc w:val="both"/>
      </w:pPr>
      <w:r>
        <w:t>Chaque onglet à le même rideau de filtre sur la droite qui contient un filtre de temps (date de réception du DPE), un filtre d’étiquette DPE (de A à E), un filtre de type de logement (appartement, maison ou immeuble) et un filtre de surface (surface habitable des logements).</w:t>
      </w:r>
    </w:p>
    <w:p w14:paraId="70837146" w14:textId="77777777" w:rsidR="006707EB" w:rsidRDefault="006707EB" w:rsidP="006707EB">
      <w:pPr>
        <w:jc w:val="both"/>
      </w:pPr>
    </w:p>
    <w:p w14:paraId="1C3BC44C" w14:textId="12AC6F90" w:rsidR="006707EB" w:rsidRDefault="006707EB" w:rsidP="006707EB">
      <w:pPr>
        <w:jc w:val="both"/>
      </w:pPr>
      <w:r>
        <w:t>Il y a 5 rôles qui ont été défini dans le rapport, qui correspondent chacun à un secteur du département.</w:t>
      </w:r>
    </w:p>
    <w:p w14:paraId="34FB5759" w14:textId="15BFD4F6" w:rsidR="006707EB" w:rsidRDefault="006707EB" w:rsidP="006707EB">
      <w:pPr>
        <w:jc w:val="both"/>
      </w:pPr>
      <w:r>
        <w:t>Les rôles sont donc :</w:t>
      </w:r>
    </w:p>
    <w:p w14:paraId="6DCFCFFE" w14:textId="77777777" w:rsidR="006707EB" w:rsidRDefault="006707EB" w:rsidP="006707EB">
      <w:pPr>
        <w:pStyle w:val="Paragraphedeliste"/>
        <w:numPr>
          <w:ilvl w:val="0"/>
          <w:numId w:val="2"/>
        </w:numPr>
        <w:jc w:val="both"/>
      </w:pPr>
      <w:r>
        <w:t>Admin pour tout le département</w:t>
      </w:r>
    </w:p>
    <w:p w14:paraId="586B286D" w14:textId="77777777" w:rsidR="006707EB" w:rsidRDefault="006707EB" w:rsidP="006707EB">
      <w:pPr>
        <w:pStyle w:val="Paragraphedeliste"/>
        <w:numPr>
          <w:ilvl w:val="0"/>
          <w:numId w:val="2"/>
        </w:numPr>
        <w:jc w:val="both"/>
      </w:pPr>
      <w:r>
        <w:t>Marc pour la ville de Grenoble</w:t>
      </w:r>
    </w:p>
    <w:p w14:paraId="21FABFD5" w14:textId="77777777" w:rsidR="006707EB" w:rsidRDefault="006707EB" w:rsidP="006707EB">
      <w:pPr>
        <w:pStyle w:val="Paragraphedeliste"/>
        <w:numPr>
          <w:ilvl w:val="0"/>
          <w:numId w:val="2"/>
        </w:numPr>
        <w:jc w:val="both"/>
      </w:pPr>
      <w:r>
        <w:t>Lina pour la ville de Voiron</w:t>
      </w:r>
    </w:p>
    <w:p w14:paraId="2B9E06E0" w14:textId="77777777" w:rsidR="006707EB" w:rsidRDefault="006707EB" w:rsidP="006707EB">
      <w:pPr>
        <w:pStyle w:val="Paragraphedeliste"/>
        <w:numPr>
          <w:ilvl w:val="0"/>
          <w:numId w:val="2"/>
        </w:numPr>
        <w:jc w:val="both"/>
      </w:pPr>
      <w:r>
        <w:t>Pierre pour la ville de Vienne</w:t>
      </w:r>
    </w:p>
    <w:p w14:paraId="687A9790" w14:textId="77777777" w:rsidR="006707EB" w:rsidRDefault="006707EB" w:rsidP="006707EB">
      <w:pPr>
        <w:pStyle w:val="Paragraphedeliste"/>
        <w:numPr>
          <w:ilvl w:val="0"/>
          <w:numId w:val="2"/>
        </w:numPr>
        <w:jc w:val="both"/>
      </w:pPr>
      <w:r>
        <w:t>Nathalie pour la ville de Bourgoin-Jallieu</w:t>
      </w:r>
    </w:p>
    <w:p w14:paraId="20E4BB1F" w14:textId="77777777" w:rsidR="00556DB9" w:rsidRDefault="00556DB9" w:rsidP="00556DB9">
      <w:pPr>
        <w:jc w:val="both"/>
      </w:pPr>
    </w:p>
    <w:p w14:paraId="362698FF" w14:textId="77777777" w:rsidR="00556DB9" w:rsidRDefault="00556DB9" w:rsidP="00556DB9">
      <w:pPr>
        <w:jc w:val="both"/>
      </w:pPr>
    </w:p>
    <w:p w14:paraId="796C3AB1" w14:textId="77777777" w:rsidR="00556DB9" w:rsidRDefault="00556DB9" w:rsidP="00556DB9">
      <w:pPr>
        <w:jc w:val="both"/>
      </w:pPr>
    </w:p>
    <w:p w14:paraId="56543655" w14:textId="77777777" w:rsidR="00556DB9" w:rsidRDefault="00556DB9" w:rsidP="00556DB9">
      <w:pPr>
        <w:jc w:val="both"/>
      </w:pPr>
    </w:p>
    <w:p w14:paraId="7E582124" w14:textId="77777777" w:rsidR="00556DB9" w:rsidRDefault="00556DB9" w:rsidP="00556DB9">
      <w:pPr>
        <w:jc w:val="both"/>
      </w:pPr>
    </w:p>
    <w:p w14:paraId="0D8FBEB3" w14:textId="77777777" w:rsidR="00556DB9" w:rsidRDefault="00556DB9" w:rsidP="00556DB9">
      <w:pPr>
        <w:jc w:val="both"/>
      </w:pPr>
    </w:p>
    <w:p w14:paraId="603C831B" w14:textId="77777777" w:rsidR="00556DB9" w:rsidRDefault="00556DB9" w:rsidP="00556DB9">
      <w:pPr>
        <w:jc w:val="both"/>
      </w:pPr>
    </w:p>
    <w:p w14:paraId="5F2876E1" w14:textId="69BC81A8" w:rsidR="00556DB9" w:rsidRPr="00556DB9" w:rsidRDefault="00556DB9" w:rsidP="00556DB9">
      <w:pPr>
        <w:jc w:val="both"/>
        <w:rPr>
          <w:sz w:val="32"/>
          <w:szCs w:val="32"/>
          <w:u w:val="single"/>
        </w:rPr>
      </w:pPr>
      <w:r w:rsidRPr="00556DB9">
        <w:rPr>
          <w:sz w:val="32"/>
          <w:szCs w:val="32"/>
          <w:u w:val="single"/>
        </w:rPr>
        <w:lastRenderedPageBreak/>
        <w:t>Intérêt des visuels clés :</w:t>
      </w:r>
    </w:p>
    <w:p w14:paraId="0ECCD4E8" w14:textId="521B1DF2" w:rsidR="00556DB9" w:rsidRDefault="00556DB9" w:rsidP="00556DB9">
      <w:pPr>
        <w:jc w:val="both"/>
      </w:pPr>
      <w:r>
        <w:t>On retrouve sur la page « Global » un diagramme de la répartition des DPE, qui est l’axe principal d’analyse de ce rapport.</w:t>
      </w:r>
    </w:p>
    <w:p w14:paraId="411F8AFE" w14:textId="2A15E8DF" w:rsidR="00556DB9" w:rsidRDefault="00556DB9" w:rsidP="00556DB9">
      <w:pPr>
        <w:jc w:val="both"/>
      </w:pPr>
      <w:r>
        <w:t xml:space="preserve">Il y a aussi plusieurs tops de villes, comme le top 10 des villes avec le plus de DPE réalisés. Ces tops ont pour fonction de comparé géographiquement la répartition et le score des DPE selon les villes au sein du département. </w:t>
      </w:r>
    </w:p>
    <w:p w14:paraId="2390326B" w14:textId="3B9EA04C" w:rsidR="00556DB9" w:rsidRDefault="00556DB9" w:rsidP="00556DB9">
      <w:pPr>
        <w:jc w:val="both"/>
      </w:pPr>
      <w:r>
        <w:t>De plus, dans l’onglet « Analyse DPE »</w:t>
      </w:r>
      <w:r w:rsidR="00962794">
        <w:t>, on peut voir un graphique qui compare 2 villes (Bourgoin-Jallieu et Vienne) en termes de DPE pour approfondir l’analyse générale. Le choix de ces villes s’est fait étant donné qu’elles sont dans les 5 plus grandes villes d’Isère mais aussi du fait qu’elles soient de même taille, ce qui donne plus de sens à la comparaison.</w:t>
      </w:r>
    </w:p>
    <w:p w14:paraId="6EADFF46" w14:textId="662A93F9" w:rsidR="00962794" w:rsidRDefault="00962794" w:rsidP="00556DB9">
      <w:pPr>
        <w:jc w:val="both"/>
      </w:pPr>
      <w:r>
        <w:t>Les autres indicateurs et visuels sont un peu plus secondaires mais néanmoins très utiles à l’analyse et la compréhension du rapport.</w:t>
      </w:r>
    </w:p>
    <w:p w14:paraId="3B9F4F9A" w14:textId="7701235F" w:rsidR="00EC3F05" w:rsidRDefault="00EC3F05" w:rsidP="00556DB9">
      <w:pPr>
        <w:jc w:val="both"/>
      </w:pPr>
      <w:r>
        <w:t>Un thème a été utilisé pour la charte graphique du rapport, au couleur d’Enedis. Il est présent sur le Github.</w:t>
      </w:r>
    </w:p>
    <w:p w14:paraId="36F4F10A" w14:textId="77777777" w:rsidR="006707EB" w:rsidRDefault="006707EB" w:rsidP="006707EB">
      <w:pPr>
        <w:jc w:val="both"/>
      </w:pPr>
    </w:p>
    <w:p w14:paraId="0505FA53" w14:textId="77777777" w:rsidR="006707EB" w:rsidRDefault="006707EB"/>
    <w:p w14:paraId="0D2C90A6" w14:textId="77777777" w:rsidR="006707EB" w:rsidRDefault="006707EB"/>
    <w:sectPr w:rsidR="006707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B4556"/>
    <w:multiLevelType w:val="hybridMultilevel"/>
    <w:tmpl w:val="7B6C3D64"/>
    <w:lvl w:ilvl="0" w:tplc="F8C2D54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6FB5871"/>
    <w:multiLevelType w:val="hybridMultilevel"/>
    <w:tmpl w:val="45B45796"/>
    <w:lvl w:ilvl="0" w:tplc="FF76065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57020549">
    <w:abstractNumId w:val="0"/>
  </w:num>
  <w:num w:numId="2" w16cid:durableId="1800803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7EB"/>
    <w:rsid w:val="00556DB9"/>
    <w:rsid w:val="00580B1B"/>
    <w:rsid w:val="006707EB"/>
    <w:rsid w:val="0081396F"/>
    <w:rsid w:val="0082003F"/>
    <w:rsid w:val="00962794"/>
    <w:rsid w:val="00B6177D"/>
    <w:rsid w:val="00EC3F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65CFB"/>
  <w15:chartTrackingRefBased/>
  <w15:docId w15:val="{A01A87B0-2887-40CE-B8F2-20D23D925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707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707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707E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707E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707E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707E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707E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707E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707E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707E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707E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707E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707E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707E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707E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707E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707E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707EB"/>
    <w:rPr>
      <w:rFonts w:eastAsiaTheme="majorEastAsia" w:cstheme="majorBidi"/>
      <w:color w:val="272727" w:themeColor="text1" w:themeTint="D8"/>
    </w:rPr>
  </w:style>
  <w:style w:type="paragraph" w:styleId="Titre">
    <w:name w:val="Title"/>
    <w:basedOn w:val="Normal"/>
    <w:next w:val="Normal"/>
    <w:link w:val="TitreCar"/>
    <w:uiPriority w:val="10"/>
    <w:qFormat/>
    <w:rsid w:val="006707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707E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707E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707E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707EB"/>
    <w:pPr>
      <w:spacing w:before="160"/>
      <w:jc w:val="center"/>
    </w:pPr>
    <w:rPr>
      <w:i/>
      <w:iCs/>
      <w:color w:val="404040" w:themeColor="text1" w:themeTint="BF"/>
    </w:rPr>
  </w:style>
  <w:style w:type="character" w:customStyle="1" w:styleId="CitationCar">
    <w:name w:val="Citation Car"/>
    <w:basedOn w:val="Policepardfaut"/>
    <w:link w:val="Citation"/>
    <w:uiPriority w:val="29"/>
    <w:rsid w:val="006707EB"/>
    <w:rPr>
      <w:i/>
      <w:iCs/>
      <w:color w:val="404040" w:themeColor="text1" w:themeTint="BF"/>
    </w:rPr>
  </w:style>
  <w:style w:type="paragraph" w:styleId="Paragraphedeliste">
    <w:name w:val="List Paragraph"/>
    <w:basedOn w:val="Normal"/>
    <w:uiPriority w:val="34"/>
    <w:qFormat/>
    <w:rsid w:val="006707EB"/>
    <w:pPr>
      <w:ind w:left="720"/>
      <w:contextualSpacing/>
    </w:pPr>
  </w:style>
  <w:style w:type="character" w:styleId="Accentuationintense">
    <w:name w:val="Intense Emphasis"/>
    <w:basedOn w:val="Policepardfaut"/>
    <w:uiPriority w:val="21"/>
    <w:qFormat/>
    <w:rsid w:val="006707EB"/>
    <w:rPr>
      <w:i/>
      <w:iCs/>
      <w:color w:val="0F4761" w:themeColor="accent1" w:themeShade="BF"/>
    </w:rPr>
  </w:style>
  <w:style w:type="paragraph" w:styleId="Citationintense">
    <w:name w:val="Intense Quote"/>
    <w:basedOn w:val="Normal"/>
    <w:next w:val="Normal"/>
    <w:link w:val="CitationintenseCar"/>
    <w:uiPriority w:val="30"/>
    <w:qFormat/>
    <w:rsid w:val="006707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707EB"/>
    <w:rPr>
      <w:i/>
      <w:iCs/>
      <w:color w:val="0F4761" w:themeColor="accent1" w:themeShade="BF"/>
    </w:rPr>
  </w:style>
  <w:style w:type="character" w:styleId="Rfrenceintense">
    <w:name w:val="Intense Reference"/>
    <w:basedOn w:val="Policepardfaut"/>
    <w:uiPriority w:val="32"/>
    <w:qFormat/>
    <w:rsid w:val="006707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316</Words>
  <Characters>1740</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Groupe Atlantic</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LANE</dc:creator>
  <cp:keywords/>
  <dc:description/>
  <cp:lastModifiedBy>evanlane38@gmail.com</cp:lastModifiedBy>
  <cp:revision>2</cp:revision>
  <dcterms:created xsi:type="dcterms:W3CDTF">2026-01-27T10:29:00Z</dcterms:created>
  <dcterms:modified xsi:type="dcterms:W3CDTF">2026-02-04T08:35:00Z</dcterms:modified>
</cp:coreProperties>
</file>