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b730e5e00f017802f84b29459a2d1f6d08d2888"/>
    <w:p>
      <w:pPr>
        <w:pStyle w:val="Heading1"/>
      </w:pPr>
      <w:r>
        <w:t xml:space="preserve">Process Map — How Banks Cooperate With VIFC</w:t>
      </w:r>
    </w:p>
    <w:bookmarkStart w:id="9" w:name="banking-cooperation-flowchart"/>
    <w:p>
      <w:pPr>
        <w:pStyle w:val="Heading2"/>
      </w:pPr>
      <w:r>
        <w:t xml:space="preserve">Banking Cooperation Flowchart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A([🏦 Bank Decides</w:t>
      </w:r>
      <w:r>
        <w:br/>
      </w:r>
      <w:r>
        <w:rPr>
          <w:rStyle w:val="VerbatimChar"/>
        </w:rPr>
        <w:t xml:space="preserve">to Enter VIFC]) --&gt; B{Foreign or</w:t>
      </w:r>
      <w:r>
        <w:br/>
      </w:r>
      <w:r>
        <w:rPr>
          <w:rStyle w:val="VerbatimChar"/>
        </w:rPr>
        <w:t xml:space="preserve">Domestic Bank?}</w:t>
      </w:r>
      <w:r>
        <w:br/>
      </w:r>
      <w:r>
        <w:br/>
      </w:r>
      <w:r>
        <w:rPr>
          <w:rStyle w:val="VerbatimChar"/>
        </w:rPr>
        <w:t xml:space="preserve">    B --&gt;|Foreign Bank| C[Prepare Foreign Bank</w:t>
      </w:r>
      <w:r>
        <w:br/>
      </w:r>
      <w:r>
        <w:rPr>
          <w:rStyle w:val="VerbatimChar"/>
        </w:rPr>
        <w:t xml:space="preserve">Application Package]</w:t>
      </w:r>
      <w:r>
        <w:br/>
      </w:r>
      <w:r>
        <w:rPr>
          <w:rStyle w:val="VerbatimChar"/>
        </w:rPr>
        <w:t xml:space="preserve">    B --&gt;|Domestic Bank| D[Prepare Domestic Bank</w:t>
      </w:r>
      <w:r>
        <w:br/>
      </w:r>
      <w:r>
        <w:rPr>
          <w:rStyle w:val="VerbatimChar"/>
        </w:rPr>
        <w:t xml:space="preserve">Application Package]</w:t>
      </w:r>
      <w:r>
        <w:br/>
      </w:r>
      <w:r>
        <w:br/>
      </w:r>
      <w:r>
        <w:rPr>
          <w:rStyle w:val="VerbatimChar"/>
        </w:rPr>
        <w:t xml:space="preserve">    C --&gt; E[Documents Required:</w:t>
      </w:r>
      <w:r>
        <w:br/>
      </w:r>
      <w:r>
        <w:rPr>
          <w:rStyle w:val="VerbatimChar"/>
        </w:rPr>
        <w:t xml:space="preserve">• Home country banking license</w:t>
      </w:r>
      <w:r>
        <w:br/>
      </w:r>
      <w:r>
        <w:rPr>
          <w:rStyle w:val="VerbatimChar"/>
        </w:rPr>
        <w:t xml:space="preserve">• Audited financials 3 years</w:t>
      </w:r>
      <w:r>
        <w:br/>
      </w:r>
      <w:r>
        <w:rPr>
          <w:rStyle w:val="VerbatimChar"/>
        </w:rPr>
        <w:t xml:space="preserve">• Fit &amp; proper for directors</w:t>
      </w:r>
      <w:r>
        <w:br/>
      </w:r>
      <w:r>
        <w:rPr>
          <w:rStyle w:val="VerbatimChar"/>
        </w:rPr>
        <w:t xml:space="preserve">• Capital adequacy proof</w:t>
      </w:r>
      <w:r>
        <w:br/>
      </w:r>
      <w:r>
        <w:rPr>
          <w:rStyle w:val="VerbatimChar"/>
        </w:rPr>
        <w:t xml:space="preserve">• Business plan for VIFC]</w:t>
      </w:r>
      <w:r>
        <w:br/>
      </w:r>
      <w:r>
        <w:br/>
      </w:r>
      <w:r>
        <w:rPr>
          <w:rStyle w:val="VerbatimChar"/>
        </w:rPr>
        <w:t xml:space="preserve">    D --&gt; F[Documents Required:</w:t>
      </w:r>
      <w:r>
        <w:br/>
      </w:r>
      <w:r>
        <w:rPr>
          <w:rStyle w:val="VerbatimChar"/>
        </w:rPr>
        <w:t xml:space="preserve">• SBV operating license</w:t>
      </w:r>
      <w:r>
        <w:br/>
      </w:r>
      <w:r>
        <w:rPr>
          <w:rStyle w:val="VerbatimChar"/>
        </w:rPr>
        <w:t xml:space="preserve">• Board resolution</w:t>
      </w:r>
      <w:r>
        <w:br/>
      </w:r>
      <w:r>
        <w:rPr>
          <w:rStyle w:val="VerbatimChar"/>
        </w:rPr>
        <w:t xml:space="preserve">• Capital allocation plan</w:t>
      </w:r>
      <w:r>
        <w:br/>
      </w:r>
      <w:r>
        <w:rPr>
          <w:rStyle w:val="VerbatimChar"/>
        </w:rPr>
        <w:t xml:space="preserve">• Compliance programme]</w:t>
      </w:r>
      <w:r>
        <w:br/>
      </w:r>
      <w:r>
        <w:br/>
      </w:r>
      <w:r>
        <w:rPr>
          <w:rStyle w:val="VerbatimChar"/>
        </w:rPr>
        <w:t xml:space="preserve">    E --&gt; G[Submit to State Bank</w:t>
      </w:r>
      <w:r>
        <w:br/>
      </w:r>
      <w:r>
        <w:rPr>
          <w:rStyle w:val="VerbatimChar"/>
        </w:rPr>
        <w:t xml:space="preserve">of Vietnam — SBV</w:t>
      </w:r>
      <w:r>
        <w:br/>
      </w:r>
      <w:r>
        <w:rPr>
          <w:rStyle w:val="VerbatimChar"/>
        </w:rPr>
        <w:t xml:space="preserve">via VIFC Authority]</w:t>
      </w:r>
      <w:r>
        <w:br/>
      </w:r>
      <w:r>
        <w:rPr>
          <w:rStyle w:val="VerbatimChar"/>
        </w:rPr>
        <w:t xml:space="preserve">    F --&gt; G</w:t>
      </w:r>
      <w:r>
        <w:br/>
      </w:r>
      <w:r>
        <w:br/>
      </w:r>
      <w:r>
        <w:rPr>
          <w:rStyle w:val="VerbatimChar"/>
        </w:rPr>
        <w:t xml:space="preserve">    G --&gt; H{SBV Review</w:t>
      </w:r>
      <w:r>
        <w:br/>
      </w:r>
      <w:r>
        <w:rPr>
          <w:rStyle w:val="VerbatimChar"/>
        </w:rPr>
        <w:t xml:space="preserve">30–60 Days}</w:t>
      </w:r>
      <w:r>
        <w:br/>
      </w:r>
      <w:r>
        <w:rPr>
          <w:rStyle w:val="VerbatimChar"/>
        </w:rPr>
        <w:t xml:space="preserve">    H --&gt;|Rejected| I[Address</w:t>
      </w:r>
      <w:r>
        <w:br/>
      </w:r>
      <w:r>
        <w:rPr>
          <w:rStyle w:val="VerbatimChar"/>
        </w:rPr>
        <w:t xml:space="preserve">Deficiencies]</w:t>
      </w:r>
      <w:r>
        <w:br/>
      </w:r>
      <w:r>
        <w:rPr>
          <w:rStyle w:val="VerbatimChar"/>
        </w:rPr>
        <w:t xml:space="preserve">    I --&gt; G</w:t>
      </w:r>
      <w:r>
        <w:br/>
      </w:r>
      <w:r>
        <w:rPr>
          <w:rStyle w:val="VerbatimChar"/>
        </w:rPr>
        <w:t xml:space="preserve">    H --&gt;|Approved| J[Receive Banking</w:t>
      </w:r>
      <w:r>
        <w:br/>
      </w:r>
      <w:r>
        <w:rPr>
          <w:rStyle w:val="VerbatimChar"/>
        </w:rPr>
        <w:t xml:space="preserve">License for VIFC]</w:t>
      </w:r>
      <w:r>
        <w:br/>
      </w:r>
      <w:r>
        <w:br/>
      </w:r>
      <w:r>
        <w:rPr>
          <w:rStyle w:val="VerbatimChar"/>
        </w:rPr>
        <w:t xml:space="preserve">    J --&gt; K[Register with</w:t>
      </w:r>
      <w:r>
        <w:br/>
      </w:r>
      <w:r>
        <w:rPr>
          <w:rStyle w:val="VerbatimChar"/>
        </w:rPr>
        <w:t xml:space="preserve">VIFC Management Authority]</w:t>
      </w:r>
      <w:r>
        <w:br/>
      </w:r>
      <w:r>
        <w:rPr>
          <w:rStyle w:val="VerbatimChar"/>
        </w:rPr>
        <w:t xml:space="preserve">    K --&gt; L[Apply for Foreign</w:t>
      </w:r>
      <w:r>
        <w:br/>
      </w:r>
      <w:r>
        <w:rPr>
          <w:rStyle w:val="VerbatimChar"/>
        </w:rPr>
        <w:t xml:space="preserve">Exchange License — Decree 329]</w:t>
      </w:r>
      <w:r>
        <w:br/>
      </w:r>
      <w:r>
        <w:rPr>
          <w:rStyle w:val="VerbatimChar"/>
        </w:rPr>
        <w:t xml:space="preserve">    L --&gt; M[Establish AML/KYC</w:t>
      </w:r>
      <w:r>
        <w:br/>
      </w:r>
      <w:r>
        <w:rPr>
          <w:rStyle w:val="VerbatimChar"/>
        </w:rPr>
        <w:t xml:space="preserve">Programme]</w:t>
      </w:r>
      <w:r>
        <w:br/>
      </w:r>
      <w:r>
        <w:rPr>
          <w:rStyle w:val="VerbatimChar"/>
        </w:rPr>
        <w:t xml:space="preserve">    M --&gt; N[Register Reporting</w:t>
      </w:r>
      <w:r>
        <w:br/>
      </w:r>
      <w:r>
        <w:rPr>
          <w:rStyle w:val="VerbatimChar"/>
        </w:rPr>
        <w:t xml:space="preserve">Obligations with SBV]</w:t>
      </w:r>
      <w:r>
        <w:br/>
      </w:r>
      <w:r>
        <w:rPr>
          <w:rStyle w:val="VerbatimChar"/>
        </w:rPr>
        <w:t xml:space="preserve">    N --&gt; O[Open VIFC Branch /</w:t>
      </w:r>
      <w:r>
        <w:br/>
      </w:r>
      <w:r>
        <w:rPr>
          <w:rStyle w:val="VerbatimChar"/>
        </w:rPr>
        <w:t xml:space="preserve">Subsidiary Operations]</w:t>
      </w:r>
      <w:r>
        <w:br/>
      </w:r>
      <w:r>
        <w:rPr>
          <w:rStyle w:val="VerbatimChar"/>
        </w:rPr>
        <w:t xml:space="preserve">    O --&gt; P([✅ Bank Operational</w:t>
      </w:r>
      <w:r>
        <w:br/>
      </w:r>
      <w:r>
        <w:rPr>
          <w:rStyle w:val="VerbatimChar"/>
        </w:rPr>
        <w:t xml:space="preserve">at VIFC])</w:t>
      </w:r>
      <w:r>
        <w:br/>
      </w:r>
      <w:r>
        <w:br/>
      </w:r>
      <w:r>
        <w:rPr>
          <w:rStyle w:val="VerbatimChar"/>
        </w:rPr>
        <w:t xml:space="preserve">    P --&gt; Q[Ongoing:</w:t>
      </w:r>
      <w:r>
        <w:br/>
      </w:r>
      <w:r>
        <w:rPr>
          <w:rStyle w:val="VerbatimChar"/>
        </w:rPr>
        <w:t xml:space="preserve">Quarterly SBV Reports</w:t>
      </w:r>
      <w:r>
        <w:br/>
      </w:r>
      <w:r>
        <w:rPr>
          <w:rStyle w:val="VerbatimChar"/>
        </w:rPr>
        <w:t xml:space="preserve">Annual License Renewal</w:t>
      </w:r>
      <w:r>
        <w:br/>
      </w:r>
      <w:r>
        <w:rPr>
          <w:rStyle w:val="VerbatimChar"/>
        </w:rPr>
        <w:t xml:space="preserve">AML Monitoring]</w:t>
      </w:r>
      <w:r>
        <w:br/>
      </w:r>
      <w:r>
        <w:br/>
      </w:r>
      <w:r>
        <w:rPr>
          <w:rStyle w:val="VerbatimChar"/>
        </w:rPr>
        <w:t xml:space="preserve">    style A fill:#1c2f72,color:#fff</w:t>
      </w:r>
      <w:r>
        <w:br/>
      </w:r>
      <w:r>
        <w:rPr>
          <w:rStyle w:val="VerbatimChar"/>
        </w:rPr>
        <w:t xml:space="preserve">    style P fill:#00aeef,color:#fff</w:t>
      </w:r>
      <w:r>
        <w:br/>
      </w:r>
      <w:r>
        <w:rPr>
          <w:rStyle w:val="VerbatimChar"/>
        </w:rPr>
        <w:t xml:space="preserve">    style H fill:#f0f7ff,color:#1c2f72</w:t>
      </w:r>
      <w:r>
        <w:br/>
      </w:r>
      <w:r>
        <w:rPr>
          <w:rStyle w:val="VerbatimChar"/>
        </w:rPr>
        <w:t xml:space="preserve">    style Q fill:#fff7e6,color:#b45309</w:t>
      </w:r>
    </w:p>
    <w:bookmarkEnd w:id="9"/>
    <w:bookmarkStart w:id="12" w:name="key-requirements-for-banks"/>
    <w:p>
      <w:pPr>
        <w:pStyle w:val="Heading2"/>
      </w:pPr>
      <w:r>
        <w:t xml:space="preserve">Key Requirements for Banks</w:t>
      </w:r>
    </w:p>
    <w:bookmarkStart w:id="10" w:name="foreign-banks"/>
    <w:p>
      <w:pPr>
        <w:pStyle w:val="Heading3"/>
      </w:pPr>
      <w:r>
        <w:t xml:space="preserve">Foreign Banks</w:t>
      </w:r>
    </w:p>
    <w:p>
      <w:pPr>
        <w:pStyle w:val="Compact"/>
        <w:numPr>
          <w:ilvl w:val="0"/>
          <w:numId w:val="1001"/>
        </w:numPr>
      </w:pPr>
      <w:r>
        <w:t xml:space="preserve">Valid banking license from home jurisdiction</w:t>
      </w:r>
    </w:p>
    <w:p>
      <w:pPr>
        <w:pStyle w:val="Compact"/>
        <w:numPr>
          <w:ilvl w:val="0"/>
          <w:numId w:val="1001"/>
        </w:numPr>
      </w:pPr>
      <w:r>
        <w:t xml:space="preserve">Minimum 3 years of profitable operation</w:t>
      </w:r>
    </w:p>
    <w:p>
      <w:pPr>
        <w:pStyle w:val="Compact"/>
        <w:numPr>
          <w:ilvl w:val="0"/>
          <w:numId w:val="1001"/>
        </w:numPr>
      </w:pPr>
      <w:r>
        <w:t xml:space="preserve">Minimum capital as specified under Decree 329</w:t>
      </w:r>
    </w:p>
    <w:p>
      <w:pPr>
        <w:pStyle w:val="Compact"/>
        <w:numPr>
          <w:ilvl w:val="0"/>
          <w:numId w:val="1001"/>
        </w:numPr>
      </w:pPr>
      <w:r>
        <w:t xml:space="preserve">Fit and proper assessment for all directors and key executives</w:t>
      </w:r>
    </w:p>
    <w:p>
      <w:pPr>
        <w:pStyle w:val="Compact"/>
        <w:numPr>
          <w:ilvl w:val="0"/>
          <w:numId w:val="1001"/>
        </w:numPr>
      </w:pPr>
      <w:r>
        <w:t xml:space="preserve">Demonstrated compliance programme (AML/CFT)</w:t>
      </w:r>
    </w:p>
    <w:bookmarkEnd w:id="10"/>
    <w:bookmarkStart w:id="11" w:name="domestic-banks"/>
    <w:p>
      <w:pPr>
        <w:pStyle w:val="Heading3"/>
      </w:pPr>
      <w:r>
        <w:t xml:space="preserve">Domestic Banks</w:t>
      </w:r>
    </w:p>
    <w:p>
      <w:pPr>
        <w:pStyle w:val="Compact"/>
        <w:numPr>
          <w:ilvl w:val="0"/>
          <w:numId w:val="1002"/>
        </w:numPr>
      </w:pPr>
      <w:r>
        <w:t xml:space="preserve">Existing SBV license</w:t>
      </w:r>
    </w:p>
    <w:p>
      <w:pPr>
        <w:pStyle w:val="Compact"/>
        <w:numPr>
          <w:ilvl w:val="0"/>
          <w:numId w:val="1002"/>
        </w:numPr>
      </w:pPr>
      <w:r>
        <w:t xml:space="preserve">Board resolution to establish VIFC presence</w:t>
      </w:r>
    </w:p>
    <w:p>
      <w:pPr>
        <w:pStyle w:val="Compact"/>
        <w:numPr>
          <w:ilvl w:val="0"/>
          <w:numId w:val="1002"/>
        </w:numPr>
      </w:pPr>
      <w:r>
        <w:t xml:space="preserve">Capital ring-fenced for VIFC operations</w:t>
      </w:r>
    </w:p>
    <w:p>
      <w:pPr>
        <w:pStyle w:val="Compact"/>
        <w:numPr>
          <w:ilvl w:val="0"/>
          <w:numId w:val="1002"/>
        </w:numPr>
      </w:pPr>
      <w:r>
        <w:t xml:space="preserve">Designated VIFC compliance officer</w:t>
      </w:r>
    </w:p>
    <w:bookmarkEnd w:id="11"/>
    <w:bookmarkEnd w:id="12"/>
    <w:bookmarkStart w:id="13" w:name="applicable-decrees"/>
    <w:p>
      <w:pPr>
        <w:pStyle w:val="Heading2"/>
      </w:pPr>
      <w:r>
        <w:t xml:space="preserve">Applicable Decrees</w:t>
      </w:r>
    </w:p>
    <w:p>
      <w:pPr>
        <w:pStyle w:val="Compact"/>
        <w:numPr>
          <w:ilvl w:val="0"/>
          <w:numId w:val="1003"/>
        </w:numPr>
      </w:pPr>
      <w:r>
        <w:t xml:space="preserve">[[Decree 329 Banking and Foreign Exchange]] — primary licensing decree</w:t>
      </w:r>
    </w:p>
    <w:p>
      <w:pPr>
        <w:pStyle w:val="Compact"/>
        <w:numPr>
          <w:ilvl w:val="0"/>
          <w:numId w:val="1003"/>
        </w:numPr>
      </w:pPr>
      <w:r>
        <w:t xml:space="preserve">[[Decree 324 Financial Policies of TTTC]] — tax incentives</w:t>
      </w:r>
    </w:p>
    <w:p>
      <w:pPr>
        <w:pStyle w:val="Compact"/>
        <w:numPr>
          <w:ilvl w:val="0"/>
          <w:numId w:val="1003"/>
        </w:numPr>
      </w:pPr>
      <w:r>
        <w:t xml:space="preserve">[[Decree 323 Establishment of TTTC]] — governance framework</w:t>
      </w:r>
    </w:p>
    <w:bookmarkEnd w:id="13"/>
    <w:bookmarkStart w:id="14" w:name="related-topics"/>
    <w:p>
      <w:pPr>
        <w:pStyle w:val="Heading2"/>
      </w:pPr>
      <w:r>
        <w:t xml:space="preserve">Related Topics</w:t>
      </w:r>
    </w:p>
    <w:p>
      <w:pPr>
        <w:pStyle w:val="Compact"/>
        <w:numPr>
          <w:ilvl w:val="0"/>
          <w:numId w:val="1004"/>
        </w:numPr>
      </w:pPr>
      <w:r>
        <w:t xml:space="preserve">[[Foreign Banks In The Vietnam International Financial Centre]]</w:t>
      </w:r>
    </w:p>
    <w:p>
      <w:pPr>
        <w:pStyle w:val="Compact"/>
        <w:numPr>
          <w:ilvl w:val="0"/>
          <w:numId w:val="1004"/>
        </w:numPr>
      </w:pPr>
      <w:r>
        <w:t xml:space="preserve">[[Domestic Banks In The Vietnam International Financial Centre]]</w:t>
      </w:r>
    </w:p>
    <w:p>
      <w:pPr>
        <w:pStyle w:val="Compact"/>
        <w:numPr>
          <w:ilvl w:val="0"/>
          <w:numId w:val="1004"/>
        </w:numPr>
      </w:pPr>
      <w:r>
        <w:t xml:space="preserve">[[Foreign Exchange Rules In The Vietnam International Financial Centre]]</w:t>
      </w:r>
    </w:p>
    <w:p>
      <w:pPr>
        <w:pStyle w:val="Compact"/>
        <w:numPr>
          <w:ilvl w:val="0"/>
          <w:numId w:val="1004"/>
        </w:numPr>
      </w:pPr>
      <w:r>
        <w:t xml:space="preserve">[[Aml And Compliance Summary For Investment Banks In Tttc]]</w:t>
      </w:r>
    </w:p>
    <w:p>
      <w:pPr>
        <w:pStyle w:val="Compact"/>
        <w:numPr>
          <w:ilvl w:val="0"/>
          <w:numId w:val="1004"/>
        </w:numPr>
      </w:pPr>
      <w:r>
        <w:t xml:space="preserve">[[Process Map How Foreign Companies Cooperate With Vifc]]</w:t>
      </w:r>
    </w:p>
    <w:p>
      <w:pPr>
        <w:pStyle w:val="FirstParagraph"/>
      </w:pPr>
      <w:r>
        <w:rPr>
          <w:i/>
          <w:iCs/>
        </w:rPr>
        <w:t xml:space="preserve">Last updated: 2026-06-03</w:t>
      </w:r>
    </w:p>
    <w:bookmarkEnd w:id="14"/>
    <w:bookmarkStart w:id="15" w:name="update-log"/>
    <w:p>
      <w:pPr>
        <w:pStyle w:val="Heading2"/>
      </w:pPr>
      <w:r>
        <w:t xml:space="preserve">Update Log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2026-06-03</w:t>
      </w:r>
      <w:r>
        <w:t xml:space="preserve">: Page created.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2026-06-04T02:07:30Z</dcterms:created>
  <dcterms:modified xsi:type="dcterms:W3CDTF">2026-06-04T02:07:30Z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