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6a1edab86c1d88f933ed267dac8054c7276f93"/>
    <w:p>
      <w:pPr>
        <w:pStyle w:val="Heading1"/>
      </w:pPr>
      <w:r>
        <w:t xml:space="preserve">Process Map — How Fintech Companies Cooperate With VIFC</w:t>
      </w:r>
    </w:p>
    <w:bookmarkStart w:id="9" w:name="fintech-cooperation-flowchart"/>
    <w:p>
      <w:pPr>
        <w:pStyle w:val="Heading2"/>
      </w:pPr>
      <w:r>
        <w:t xml:space="preserve">Fintech Cooperation 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A([💻 Fintech Company</w:t>
      </w:r>
      <w:r>
        <w:br/>
      </w:r>
      <w:r>
        <w:rPr>
          <w:rStyle w:val="VerbatimChar"/>
        </w:rPr>
        <w:t xml:space="preserve">Decides to Enter VIFC]) --&gt; B{Sandbox or</w:t>
      </w:r>
      <w:r>
        <w:br/>
      </w:r>
      <w:r>
        <w:rPr>
          <w:rStyle w:val="VerbatimChar"/>
        </w:rPr>
        <w:t xml:space="preserve">Full License?}</w:t>
      </w:r>
      <w:r>
        <w:br/>
      </w:r>
      <w:r>
        <w:br/>
      </w:r>
      <w:r>
        <w:rPr>
          <w:rStyle w:val="VerbatimChar"/>
        </w:rPr>
        <w:t xml:space="preserve">    B --&gt;|Regulatory Sandbox</w:t>
      </w:r>
      <w:r>
        <w:br/>
      </w:r>
      <w:r>
        <w:rPr>
          <w:rStyle w:val="VerbatimChar"/>
        </w:rPr>
        <w:t xml:space="preserve">First| C[Apply for Controlled</w:t>
      </w:r>
      <w:r>
        <w:br/>
      </w:r>
      <w:r>
        <w:rPr>
          <w:rStyle w:val="VerbatimChar"/>
        </w:rPr>
        <w:t xml:space="preserve">Testing Mechanism</w:t>
      </w:r>
      <w:r>
        <w:br/>
      </w:r>
      <w:r>
        <w:rPr>
          <w:rStyle w:val="VerbatimChar"/>
        </w:rPr>
        <w:t xml:space="preserve">cơ chế thử nghiệm có kiểm soát]</w:t>
      </w:r>
      <w:r>
        <w:br/>
      </w:r>
      <w:r>
        <w:rPr>
          <w:rStyle w:val="VerbatimChar"/>
        </w:rPr>
        <w:t xml:space="preserve">    B --&gt;|Full License</w:t>
      </w:r>
      <w:r>
        <w:br/>
      </w:r>
      <w:r>
        <w:rPr>
          <w:rStyle w:val="VerbatimChar"/>
        </w:rPr>
        <w:t xml:space="preserve">Direct| D[Full Financial</w:t>
      </w:r>
      <w:r>
        <w:br/>
      </w:r>
      <w:r>
        <w:rPr>
          <w:rStyle w:val="VerbatimChar"/>
        </w:rPr>
        <w:t xml:space="preserve">License Path]</w:t>
      </w:r>
      <w:r>
        <w:br/>
      </w:r>
      <w:r>
        <w:br/>
      </w:r>
      <w:r>
        <w:rPr>
          <w:rStyle w:val="VerbatimChar"/>
        </w:rPr>
        <w:t xml:space="preserve">    C --&gt; E[Sandbox Documents:</w:t>
      </w:r>
      <w:r>
        <w:br/>
      </w:r>
      <w:r>
        <w:rPr>
          <w:rStyle w:val="VerbatimChar"/>
        </w:rPr>
        <w:t xml:space="preserve">• Technology description</w:t>
      </w:r>
      <w:r>
        <w:br/>
      </w:r>
      <w:r>
        <w:rPr>
          <w:rStyle w:val="VerbatimChar"/>
        </w:rPr>
        <w:t xml:space="preserve">• Risk assessment</w:t>
      </w:r>
      <w:r>
        <w:br/>
      </w:r>
      <w:r>
        <w:rPr>
          <w:rStyle w:val="VerbatimChar"/>
        </w:rPr>
        <w:t xml:space="preserve">• Consumer protection plan</w:t>
      </w:r>
      <w:r>
        <w:br/>
      </w:r>
      <w:r>
        <w:rPr>
          <w:rStyle w:val="VerbatimChar"/>
        </w:rPr>
        <w:t xml:space="preserve">• Exit strategy</w:t>
      </w:r>
      <w:r>
        <w:br/>
      </w:r>
      <w:r>
        <w:rPr>
          <w:rStyle w:val="VerbatimChar"/>
        </w:rPr>
        <w:t xml:space="preserve">• Capital proof]</w:t>
      </w:r>
      <w:r>
        <w:br/>
      </w:r>
      <w:r>
        <w:br/>
      </w:r>
      <w:r>
        <w:rPr>
          <w:rStyle w:val="VerbatimChar"/>
        </w:rPr>
        <w:t xml:space="preserve">    E --&gt; F[Submit to VIFC</w:t>
      </w:r>
      <w:r>
        <w:br/>
      </w:r>
      <w:r>
        <w:rPr>
          <w:rStyle w:val="VerbatimChar"/>
        </w:rPr>
        <w:t xml:space="preserve">Fintech Regulatory Authority]</w:t>
      </w:r>
      <w:r>
        <w:br/>
      </w:r>
      <w:r>
        <w:rPr>
          <w:rStyle w:val="VerbatimChar"/>
        </w:rPr>
        <w:t xml:space="preserve">    F --&gt; G{Authority Review</w:t>
      </w:r>
      <w:r>
        <w:br/>
      </w:r>
      <w:r>
        <w:rPr>
          <w:rStyle w:val="VerbatimChar"/>
        </w:rPr>
        <w:t xml:space="preserve">30 Days}</w:t>
      </w:r>
      <w:r>
        <w:br/>
      </w:r>
      <w:r>
        <w:rPr>
          <w:rStyle w:val="VerbatimChar"/>
        </w:rPr>
        <w:t xml:space="preserve">    G --&gt;|Rejected| H[Revise Proposal]</w:t>
      </w:r>
      <w:r>
        <w:br/>
      </w:r>
      <w:r>
        <w:rPr>
          <w:rStyle w:val="VerbatimChar"/>
        </w:rPr>
        <w:t xml:space="preserve">    H --&gt; F</w:t>
      </w:r>
      <w:r>
        <w:br/>
      </w:r>
      <w:r>
        <w:rPr>
          <w:rStyle w:val="VerbatimChar"/>
        </w:rPr>
        <w:t xml:space="preserve">    G --&gt;|Approved| I[Enter Sandbox</w:t>
      </w:r>
      <w:r>
        <w:br/>
      </w:r>
      <w:r>
        <w:rPr>
          <w:rStyle w:val="VerbatimChar"/>
        </w:rPr>
        <w:t xml:space="preserve">Max 2 Year Period]</w:t>
      </w:r>
      <w:r>
        <w:br/>
      </w:r>
      <w:r>
        <w:br/>
      </w:r>
      <w:r>
        <w:rPr>
          <w:rStyle w:val="VerbatimChar"/>
        </w:rPr>
        <w:t xml:space="preserve">    I --&gt; J[Operate Under</w:t>
      </w:r>
      <w:r>
        <w:br/>
      </w:r>
      <w:r>
        <w:rPr>
          <w:rStyle w:val="VerbatimChar"/>
        </w:rPr>
        <w:t xml:space="preserve">Controlled Conditions:</w:t>
      </w:r>
      <w:r>
        <w:br/>
      </w:r>
      <w:r>
        <w:rPr>
          <w:rStyle w:val="VerbatimChar"/>
        </w:rPr>
        <w:t xml:space="preserve">• Limited user base</w:t>
      </w:r>
      <w:r>
        <w:br/>
      </w:r>
      <w:r>
        <w:rPr>
          <w:rStyle w:val="VerbatimChar"/>
        </w:rPr>
        <w:t xml:space="preserve">• Transaction caps</w:t>
      </w:r>
      <w:r>
        <w:br/>
      </w:r>
      <w:r>
        <w:rPr>
          <w:rStyle w:val="VerbatimChar"/>
        </w:rPr>
        <w:t xml:space="preserve">• Monthly reporting]</w:t>
      </w:r>
      <w:r>
        <w:br/>
      </w:r>
      <w:r>
        <w:br/>
      </w:r>
      <w:r>
        <w:rPr>
          <w:rStyle w:val="VerbatimChar"/>
        </w:rPr>
        <w:t xml:space="preserve">    J --&gt; K{Sandbox</w:t>
      </w:r>
      <w:r>
        <w:br/>
      </w:r>
      <w:r>
        <w:rPr>
          <w:rStyle w:val="VerbatimChar"/>
        </w:rPr>
        <w:t xml:space="preserve">Results}</w:t>
      </w:r>
      <w:r>
        <w:br/>
      </w:r>
      <w:r>
        <w:rPr>
          <w:rStyle w:val="VerbatimChar"/>
        </w:rPr>
        <w:t xml:space="preserve">    K --&gt;|Successful| L[Apply for</w:t>
      </w:r>
      <w:r>
        <w:br/>
      </w:r>
      <w:r>
        <w:rPr>
          <w:rStyle w:val="VerbatimChar"/>
        </w:rPr>
        <w:t xml:space="preserve">Full Operating License]</w:t>
      </w:r>
      <w:r>
        <w:br/>
      </w:r>
      <w:r>
        <w:rPr>
          <w:rStyle w:val="VerbatimChar"/>
        </w:rPr>
        <w:t xml:space="preserve">    K --&gt;|Issues Found| M[Remediate &amp;</w:t>
      </w:r>
      <w:r>
        <w:br/>
      </w:r>
      <w:r>
        <w:rPr>
          <w:rStyle w:val="VerbatimChar"/>
        </w:rPr>
        <w:t xml:space="preserve">Extend Sandbox]</w:t>
      </w:r>
      <w:r>
        <w:br/>
      </w:r>
      <w:r>
        <w:rPr>
          <w:rStyle w:val="VerbatimChar"/>
        </w:rPr>
        <w:t xml:space="preserve">    M --&gt; J</w:t>
      </w:r>
      <w:r>
        <w:br/>
      </w:r>
      <w:r>
        <w:br/>
      </w:r>
      <w:r>
        <w:rPr>
          <w:rStyle w:val="VerbatimChar"/>
        </w:rPr>
        <w:t xml:space="preserve">    D --&gt; L</w:t>
      </w:r>
      <w:r>
        <w:br/>
      </w:r>
      <w:r>
        <w:rPr>
          <w:rStyle w:val="VerbatimChar"/>
        </w:rPr>
        <w:t xml:space="preserve">    L --&gt; N[Full AML/KYC</w:t>
      </w:r>
      <w:r>
        <w:br/>
      </w:r>
      <w:r>
        <w:rPr>
          <w:rStyle w:val="VerbatimChar"/>
        </w:rPr>
        <w:t xml:space="preserve">Compliance Setup]</w:t>
      </w:r>
      <w:r>
        <w:br/>
      </w:r>
      <w:r>
        <w:rPr>
          <w:rStyle w:val="VerbatimChar"/>
        </w:rPr>
        <w:t xml:space="preserve">    N --&gt; O[Data Protection</w:t>
      </w:r>
      <w:r>
        <w:br/>
      </w:r>
      <w:r>
        <w:rPr>
          <w:rStyle w:val="VerbatimChar"/>
        </w:rPr>
        <w:t xml:space="preserve">Registration]</w:t>
      </w:r>
      <w:r>
        <w:br/>
      </w:r>
      <w:r>
        <w:rPr>
          <w:rStyle w:val="VerbatimChar"/>
        </w:rPr>
        <w:t xml:space="preserve">    O --&gt; P([✅ Fintech Fully</w:t>
      </w:r>
      <w:r>
        <w:br/>
      </w:r>
      <w:r>
        <w:rPr>
          <w:rStyle w:val="VerbatimChar"/>
        </w:rPr>
        <w:t xml:space="preserve">Licensed at VIFC])</w:t>
      </w:r>
      <w:r>
        <w:br/>
      </w:r>
      <w:r>
        <w:br/>
      </w:r>
      <w:r>
        <w:rPr>
          <w:rStyle w:val="VerbatimChar"/>
        </w:rPr>
        <w:t xml:space="preserve">    P --&gt; Q[Ongoing:</w:t>
      </w:r>
      <w:r>
        <w:br/>
      </w:r>
      <w:r>
        <w:rPr>
          <w:rStyle w:val="VerbatimChar"/>
        </w:rPr>
        <w:t xml:space="preserve">Monthly Reports</w:t>
      </w:r>
      <w:r>
        <w:br/>
      </w:r>
      <w:r>
        <w:rPr>
          <w:rStyle w:val="VerbatimChar"/>
        </w:rPr>
        <w:t xml:space="preserve">Annual Audit</w:t>
      </w:r>
      <w:r>
        <w:br/>
      </w:r>
      <w:r>
        <w:rPr>
          <w:rStyle w:val="VerbatimChar"/>
        </w:rPr>
        <w:t xml:space="preserve">License Renewal]</w:t>
      </w:r>
      <w:r>
        <w:br/>
      </w:r>
      <w:r>
        <w:br/>
      </w:r>
      <w:r>
        <w:rPr>
          <w:rStyle w:val="VerbatimChar"/>
        </w:rPr>
        <w:t xml:space="preserve">    style A fill:#1c2f72,color:#fff</w:t>
      </w:r>
      <w:r>
        <w:br/>
      </w:r>
      <w:r>
        <w:rPr>
          <w:rStyle w:val="VerbatimChar"/>
        </w:rPr>
        <w:t xml:space="preserve">    style P fill:#00aeef,color:#fff</w:t>
      </w:r>
      <w:r>
        <w:br/>
      </w:r>
      <w:r>
        <w:rPr>
          <w:rStyle w:val="VerbatimChar"/>
        </w:rPr>
        <w:t xml:space="preserve">    style G fill:#f0f7ff,color:#1c2f72</w:t>
      </w:r>
      <w:r>
        <w:br/>
      </w:r>
      <w:r>
        <w:rPr>
          <w:rStyle w:val="VerbatimChar"/>
        </w:rPr>
        <w:t xml:space="preserve">    style K fill:#f0f7ff,color:#1c2f72</w:t>
      </w:r>
      <w:r>
        <w:br/>
      </w:r>
      <w:r>
        <w:rPr>
          <w:rStyle w:val="VerbatimChar"/>
        </w:rPr>
        <w:t xml:space="preserve">    style Q fill:#fff7e6,color:#b45309</w:t>
      </w:r>
    </w:p>
    <w:bookmarkEnd w:id="9"/>
    <w:bookmarkStart w:id="12" w:name="key-requirements"/>
    <w:p>
      <w:pPr>
        <w:pStyle w:val="Heading2"/>
      </w:pPr>
      <w:r>
        <w:t xml:space="preserve">Key Requirements</w:t>
      </w:r>
    </w:p>
    <w:bookmarkStart w:id="10" w:name="regulatory-sandbox-entry"/>
    <w:p>
      <w:pPr>
        <w:pStyle w:val="Heading3"/>
      </w:pPr>
      <w:r>
        <w:t xml:space="preserve">Regulatory Sandbox Entry</w:t>
      </w:r>
    </w:p>
    <w:p>
      <w:pPr>
        <w:pStyle w:val="Compact"/>
        <w:numPr>
          <w:ilvl w:val="0"/>
          <w:numId w:val="1001"/>
        </w:numPr>
      </w:pPr>
      <w:r>
        <w:t xml:space="preserve">Innovative financial technology with clear use case</w:t>
      </w:r>
    </w:p>
    <w:p>
      <w:pPr>
        <w:pStyle w:val="Compact"/>
        <w:numPr>
          <w:ilvl w:val="0"/>
          <w:numId w:val="1001"/>
        </w:numPr>
      </w:pPr>
      <w:r>
        <w:t xml:space="preserve">Consumer protection and risk mitigation plan</w:t>
      </w:r>
    </w:p>
    <w:p>
      <w:pPr>
        <w:pStyle w:val="Compact"/>
        <w:numPr>
          <w:ilvl w:val="0"/>
          <w:numId w:val="1001"/>
        </w:numPr>
      </w:pPr>
      <w:r>
        <w:t xml:space="preserve">Technical documentation of the solution</w:t>
      </w:r>
    </w:p>
    <w:p>
      <w:pPr>
        <w:pStyle w:val="Compact"/>
        <w:numPr>
          <w:ilvl w:val="0"/>
          <w:numId w:val="1001"/>
        </w:numPr>
      </w:pPr>
      <w:r>
        <w:t xml:space="preserve">Exit/wind-down strategy</w:t>
      </w:r>
    </w:p>
    <w:p>
      <w:pPr>
        <w:pStyle w:val="Compact"/>
        <w:numPr>
          <w:ilvl w:val="0"/>
          <w:numId w:val="1001"/>
        </w:numPr>
      </w:pPr>
      <w:r>
        <w:t xml:space="preserve">Minimum capital as required</w:t>
      </w:r>
    </w:p>
    <w:bookmarkEnd w:id="10"/>
    <w:bookmarkStart w:id="11" w:name="full-license-requirements"/>
    <w:p>
      <w:pPr>
        <w:pStyle w:val="Heading3"/>
      </w:pPr>
      <w:r>
        <w:t xml:space="preserve">Full License Requirements</w:t>
      </w:r>
    </w:p>
    <w:p>
      <w:pPr>
        <w:pStyle w:val="Compact"/>
        <w:numPr>
          <w:ilvl w:val="0"/>
          <w:numId w:val="1002"/>
        </w:numPr>
      </w:pPr>
      <w:r>
        <w:t xml:space="preserve">Completed sandbox (or equivalent overseas track record)</w:t>
      </w:r>
    </w:p>
    <w:p>
      <w:pPr>
        <w:pStyle w:val="Compact"/>
        <w:numPr>
          <w:ilvl w:val="0"/>
          <w:numId w:val="1002"/>
        </w:numPr>
      </w:pPr>
      <w:r>
        <w:t xml:space="preserve">Full AML/KYC compliance programme</w:t>
      </w:r>
    </w:p>
    <w:p>
      <w:pPr>
        <w:pStyle w:val="Compact"/>
        <w:numPr>
          <w:ilvl w:val="0"/>
          <w:numId w:val="1002"/>
        </w:numPr>
      </w:pPr>
      <w:r>
        <w:t xml:space="preserve">Data localisation compliance</w:t>
      </w:r>
    </w:p>
    <w:p>
      <w:pPr>
        <w:pStyle w:val="Compact"/>
        <w:numPr>
          <w:ilvl w:val="0"/>
          <w:numId w:val="1002"/>
        </w:numPr>
      </w:pPr>
      <w:r>
        <w:t xml:space="preserve">Cybersecurity assessment</w:t>
      </w:r>
    </w:p>
    <w:bookmarkEnd w:id="11"/>
    <w:bookmarkEnd w:id="12"/>
    <w:bookmarkStart w:id="13" w:name="applicable-decrees"/>
    <w:p>
      <w:pPr>
        <w:pStyle w:val="Heading2"/>
      </w:pPr>
      <w:r>
        <w:t xml:space="preserve">Applicable Decrees</w:t>
      </w:r>
    </w:p>
    <w:p>
      <w:pPr>
        <w:pStyle w:val="Compact"/>
        <w:numPr>
          <w:ilvl w:val="0"/>
          <w:numId w:val="1003"/>
        </w:numPr>
      </w:pPr>
      <w:r>
        <w:t xml:space="preserve">[[Special Legal Mechanisms In The Vietnam International Financial Centre]] — sandbox framework</w:t>
      </w:r>
    </w:p>
    <w:p>
      <w:pPr>
        <w:pStyle w:val="Compact"/>
        <w:numPr>
          <w:ilvl w:val="0"/>
          <w:numId w:val="1003"/>
        </w:numPr>
      </w:pPr>
      <w:r>
        <w:t xml:space="preserve">[[Decree 329 Banking And Foreign Exchange]] — payment fintech</w:t>
      </w:r>
    </w:p>
    <w:p>
      <w:pPr>
        <w:pStyle w:val="Compact"/>
        <w:numPr>
          <w:ilvl w:val="0"/>
          <w:numId w:val="1003"/>
        </w:numPr>
      </w:pPr>
      <w:r>
        <w:t xml:space="preserve">[[Decree 324 Financial Policies Of Tttc]] — tax incentives</w:t>
      </w:r>
    </w:p>
    <w:bookmarkEnd w:id="13"/>
    <w:bookmarkStart w:id="14" w:name="related-topics"/>
    <w:p>
      <w:pPr>
        <w:pStyle w:val="Heading2"/>
      </w:pPr>
      <w:r>
        <w:t xml:space="preserve">Related Topics</w:t>
      </w:r>
    </w:p>
    <w:p>
      <w:pPr>
        <w:pStyle w:val="Compact"/>
        <w:numPr>
          <w:ilvl w:val="0"/>
          <w:numId w:val="1004"/>
        </w:numPr>
      </w:pPr>
      <w:r>
        <w:t xml:space="preserve">[[Co Che Thu Nghiem Co Kiem Soat In The Context Of Tttc]]</w:t>
      </w:r>
    </w:p>
    <w:p>
      <w:pPr>
        <w:pStyle w:val="Compact"/>
        <w:numPr>
          <w:ilvl w:val="0"/>
          <w:numId w:val="1004"/>
        </w:numPr>
      </w:pPr>
      <w:r>
        <w:t xml:space="preserve">[[Compliance Requirements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[[Process Map How Foreign Companies Cooperate With Vifc]]</w:t>
      </w:r>
    </w:p>
    <w:p>
      <w:pPr>
        <w:pStyle w:val="FirstParagraph"/>
      </w:pPr>
      <w:r>
        <w:rPr>
          <w:i/>
          <w:iCs/>
        </w:rPr>
        <w:t xml:space="preserve">Last updated: 2026-06-03</w:t>
      </w:r>
    </w:p>
    <w:bookmarkEnd w:id="14"/>
    <w:bookmarkStart w:id="15" w:name="update-log"/>
    <w:p>
      <w:pPr>
        <w:pStyle w:val="Heading2"/>
      </w:pPr>
      <w:r>
        <w:t xml:space="preserve">Update 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2026-06-03</w:t>
      </w:r>
      <w:r>
        <w:t xml:space="preserve">: Page created.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2026-06-04T02:07:31Z</dcterms:created>
  <dcterms:modified xsi:type="dcterms:W3CDTF">2026-06-04T02:07:31Z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