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1456517a9d2ee194acdd06ab3fd5ccbec4e796e"/>
    <w:p>
      <w:pPr>
        <w:pStyle w:val="Heading1"/>
      </w:pPr>
      <w:r>
        <w:t xml:space="preserve">Process Map — How Foreign Companies Cooperate With VIFC</w:t>
      </w:r>
    </w:p>
    <w:p>
      <w:pPr>
        <w:pStyle w:val="FirstParagraph"/>
      </w:pPr>
      <w:r>
        <w:t xml:space="preserve">This page maps the full process for any foreign company wishing to establish</w:t>
      </w:r>
      <w:r>
        <w:t xml:space="preserve"> </w:t>
      </w:r>
      <w:r>
        <w:t xml:space="preserve">operations or cooperate with the Vietnam International Financial Centre (VIFC/TTTC).</w:t>
      </w:r>
    </w:p>
    <w:bookmarkStart w:id="9" w:name="cooperation-process-flowchart"/>
    <w:p>
      <w:pPr>
        <w:pStyle w:val="Heading2"/>
      </w:pPr>
      <w:r>
        <w:t xml:space="preserve">Cooperation Process Flowchart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A([🏢 Foreign Company</w:t>
      </w:r>
      <w:r>
        <w:br/>
      </w:r>
      <w:r>
        <w:rPr>
          <w:rStyle w:val="VerbatimChar"/>
        </w:rPr>
        <w:t xml:space="preserve">Decides to Enter VIFC]) --&gt; B[Research VIFC</w:t>
      </w:r>
      <w:r>
        <w:br/>
      </w:r>
      <w:r>
        <w:rPr>
          <w:rStyle w:val="VerbatimChar"/>
        </w:rPr>
        <w:t xml:space="preserve">Legal Framework]</w:t>
      </w:r>
      <w:r>
        <w:br/>
      </w:r>
      <w:r>
        <w:rPr>
          <w:rStyle w:val="VerbatimChar"/>
        </w:rPr>
        <w:t xml:space="preserve">    B --&gt; C{Choose</w:t>
      </w:r>
      <w:r>
        <w:br/>
      </w:r>
      <w:r>
        <w:rPr>
          <w:rStyle w:val="VerbatimChar"/>
        </w:rPr>
        <w:t xml:space="preserve">Organization Type}</w:t>
      </w:r>
      <w:r>
        <w:br/>
      </w:r>
      <w:r>
        <w:br/>
      </w:r>
      <w:r>
        <w:rPr>
          <w:rStyle w:val="VerbatimChar"/>
        </w:rPr>
        <w:t xml:space="preserve">    C --&gt;|Bank| D1[See:</w:t>
      </w:r>
      <w:r>
        <w:br/>
      </w:r>
      <w:r>
        <w:rPr>
          <w:rStyle w:val="VerbatimChar"/>
        </w:rPr>
        <w:t xml:space="preserve">How Foreign Banks Can Work With VIFC]</w:t>
      </w:r>
      <w:r>
        <w:br/>
      </w:r>
      <w:r>
        <w:rPr>
          <w:rStyle w:val="VerbatimChar"/>
        </w:rPr>
        <w:t xml:space="preserve">    C --&gt;|Investment Bank /</w:t>
      </w:r>
      <w:r>
        <w:br/>
      </w:r>
      <w:r>
        <w:rPr>
          <w:rStyle w:val="VerbatimChar"/>
        </w:rPr>
        <w:t xml:space="preserve">Securities Firm| D2[See:</w:t>
      </w:r>
      <w:r>
        <w:br/>
      </w:r>
      <w:r>
        <w:rPr>
          <w:rStyle w:val="VerbatimChar"/>
        </w:rPr>
        <w:t xml:space="preserve">How Investment Banks Can Work With VIFC]</w:t>
      </w:r>
      <w:r>
        <w:br/>
      </w:r>
      <w:r>
        <w:rPr>
          <w:rStyle w:val="VerbatimChar"/>
        </w:rPr>
        <w:t xml:space="preserve">    C --&gt;|Import / Export| D3[See:</w:t>
      </w:r>
      <w:r>
        <w:br/>
      </w:r>
      <w:r>
        <w:rPr>
          <w:rStyle w:val="VerbatimChar"/>
        </w:rPr>
        <w:t xml:space="preserve">How Import and Export Companies</w:t>
      </w:r>
      <w:r>
        <w:br/>
      </w:r>
      <w:r>
        <w:rPr>
          <w:rStyle w:val="VerbatimChar"/>
        </w:rPr>
        <w:t xml:space="preserve">Can Work With VIFC]</w:t>
      </w:r>
      <w:r>
        <w:br/>
      </w:r>
      <w:r>
        <w:rPr>
          <w:rStyle w:val="VerbatimChar"/>
        </w:rPr>
        <w:t xml:space="preserve">    C --&gt;|Fintech| D4[See:</w:t>
      </w:r>
      <w:r>
        <w:br/>
      </w:r>
      <w:r>
        <w:rPr>
          <w:rStyle w:val="VerbatimChar"/>
        </w:rPr>
        <w:t xml:space="preserve">How Fintech Companies Can Work With VIFC]</w:t>
      </w:r>
      <w:r>
        <w:br/>
      </w:r>
      <w:r>
        <w:rPr>
          <w:rStyle w:val="VerbatimChar"/>
        </w:rPr>
        <w:t xml:space="preserve">    C --&gt;|Insurance| D5[See:</w:t>
      </w:r>
      <w:r>
        <w:br/>
      </w:r>
      <w:r>
        <w:rPr>
          <w:rStyle w:val="VerbatimChar"/>
        </w:rPr>
        <w:t xml:space="preserve">How Insurance Companies Can Work With VIFC]</w:t>
      </w:r>
      <w:r>
        <w:br/>
      </w:r>
      <w:r>
        <w:rPr>
          <w:rStyle w:val="VerbatimChar"/>
        </w:rPr>
        <w:t xml:space="preserve">    C --&gt;|Other Company| D6[General Foreign</w:t>
      </w:r>
      <w:r>
        <w:br/>
      </w:r>
      <w:r>
        <w:rPr>
          <w:rStyle w:val="VerbatimChar"/>
        </w:rPr>
        <w:t xml:space="preserve">Company Registration]</w:t>
      </w:r>
      <w:r>
        <w:br/>
      </w:r>
      <w:r>
        <w:br/>
      </w:r>
      <w:r>
        <w:rPr>
          <w:rStyle w:val="VerbatimChar"/>
        </w:rPr>
        <w:t xml:space="preserve">    D6 --&gt; E[Step 1: Prepare Documents</w:t>
      </w:r>
      <w:r>
        <w:br/>
      </w:r>
      <w:r>
        <w:rPr>
          <w:rStyle w:val="VerbatimChar"/>
        </w:rPr>
        <w:t xml:space="preserve">• Charter / Articles of Incorporation</w:t>
      </w:r>
      <w:r>
        <w:br/>
      </w:r>
      <w:r>
        <w:rPr>
          <w:rStyle w:val="VerbatimChar"/>
        </w:rPr>
        <w:t xml:space="preserve">• Proof of foreign legal status</w:t>
      </w:r>
      <w:r>
        <w:br/>
      </w:r>
      <w:r>
        <w:rPr>
          <w:rStyle w:val="VerbatimChar"/>
        </w:rPr>
        <w:t xml:space="preserve">• Business plan</w:t>
      </w:r>
      <w:r>
        <w:br/>
      </w:r>
      <w:r>
        <w:rPr>
          <w:rStyle w:val="VerbatimChar"/>
        </w:rPr>
        <w:t xml:space="preserve">• Capital proof]</w:t>
      </w:r>
      <w:r>
        <w:br/>
      </w:r>
      <w:r>
        <w:br/>
      </w:r>
      <w:r>
        <w:rPr>
          <w:rStyle w:val="VerbatimChar"/>
        </w:rPr>
        <w:t xml:space="preserve">    E --&gt; F[Step 2: Submit Application</w:t>
      </w:r>
      <w:r>
        <w:br/>
      </w:r>
      <w:r>
        <w:rPr>
          <w:rStyle w:val="VerbatimChar"/>
        </w:rPr>
        <w:t xml:space="preserve">to VIFC Management Authority]</w:t>
      </w:r>
      <w:r>
        <w:br/>
      </w:r>
      <w:r>
        <w:br/>
      </w:r>
      <w:r>
        <w:rPr>
          <w:rStyle w:val="VerbatimChar"/>
        </w:rPr>
        <w:t xml:space="preserve">    F --&gt; G{Application</w:t>
      </w:r>
      <w:r>
        <w:br/>
      </w:r>
      <w:r>
        <w:rPr>
          <w:rStyle w:val="VerbatimChar"/>
        </w:rPr>
        <w:t xml:space="preserve">Review}</w:t>
      </w:r>
      <w:r>
        <w:br/>
      </w:r>
      <w:r>
        <w:rPr>
          <w:rStyle w:val="VerbatimChar"/>
        </w:rPr>
        <w:t xml:space="preserve">    G --&gt;|Incomplete| H[Revise &amp; Resubmit</w:t>
      </w:r>
      <w:r>
        <w:br/>
      </w:r>
      <w:r>
        <w:rPr>
          <w:rStyle w:val="VerbatimChar"/>
        </w:rPr>
        <w:t xml:space="preserve">Within 30 Days]</w:t>
      </w:r>
      <w:r>
        <w:br/>
      </w:r>
      <w:r>
        <w:rPr>
          <w:rStyle w:val="VerbatimChar"/>
        </w:rPr>
        <w:t xml:space="preserve">    H --&gt; F</w:t>
      </w:r>
      <w:r>
        <w:br/>
      </w:r>
      <w:r>
        <w:rPr>
          <w:rStyle w:val="VerbatimChar"/>
        </w:rPr>
        <w:t xml:space="preserve">    G --&gt;|Approved| I[Step 3: Receive</w:t>
      </w:r>
      <w:r>
        <w:br/>
      </w:r>
      <w:r>
        <w:rPr>
          <w:rStyle w:val="VerbatimChar"/>
        </w:rPr>
        <w:t xml:space="preserve">Investment Registration Certificate]</w:t>
      </w:r>
      <w:r>
        <w:br/>
      </w:r>
      <w:r>
        <w:br/>
      </w:r>
      <w:r>
        <w:rPr>
          <w:rStyle w:val="VerbatimChar"/>
        </w:rPr>
        <w:t xml:space="preserve">    I --&gt; J[Step 4: Register Tax Code</w:t>
      </w:r>
      <w:r>
        <w:br/>
      </w:r>
      <w:r>
        <w:rPr>
          <w:rStyle w:val="VerbatimChar"/>
        </w:rPr>
        <w:t xml:space="preserve">With Tax Authority]</w:t>
      </w:r>
      <w:r>
        <w:br/>
      </w:r>
      <w:r>
        <w:rPr>
          <w:rStyle w:val="VerbatimChar"/>
        </w:rPr>
        <w:t xml:space="preserve">    J --&gt; K[Step 5: Open Bank Account</w:t>
      </w:r>
      <w:r>
        <w:br/>
      </w:r>
      <w:r>
        <w:rPr>
          <w:rStyle w:val="VerbatimChar"/>
        </w:rPr>
        <w:t xml:space="preserve">in Vietnam]</w:t>
      </w:r>
      <w:r>
        <w:br/>
      </w:r>
      <w:r>
        <w:rPr>
          <w:rStyle w:val="VerbatimChar"/>
        </w:rPr>
        <w:t xml:space="preserve">    K --&gt; L[Step 6: Apply for</w:t>
      </w:r>
      <w:r>
        <w:br/>
      </w:r>
      <w:r>
        <w:rPr>
          <w:rStyle w:val="VerbatimChar"/>
        </w:rPr>
        <w:t xml:space="preserve">Work Permits for Foreign Staff]</w:t>
      </w:r>
      <w:r>
        <w:br/>
      </w:r>
      <w:r>
        <w:rPr>
          <w:rStyle w:val="VerbatimChar"/>
        </w:rPr>
        <w:t xml:space="preserve">    L --&gt; M[Step 7: Register Office /</w:t>
      </w:r>
      <w:r>
        <w:br/>
      </w:r>
      <w:r>
        <w:rPr>
          <w:rStyle w:val="VerbatimChar"/>
        </w:rPr>
        <w:t xml:space="preserve">Land Use at VIFC Zone]</w:t>
      </w:r>
      <w:r>
        <w:br/>
      </w:r>
      <w:r>
        <w:rPr>
          <w:rStyle w:val="VerbatimChar"/>
        </w:rPr>
        <w:t xml:space="preserve">    M --&gt; N[Step 8: Apply for</w:t>
      </w:r>
      <w:r>
        <w:br/>
      </w:r>
      <w:r>
        <w:rPr>
          <w:rStyle w:val="VerbatimChar"/>
        </w:rPr>
        <w:t xml:space="preserve">Tax Incentives Under Decree 324]</w:t>
      </w:r>
      <w:r>
        <w:br/>
      </w:r>
      <w:r>
        <w:rPr>
          <w:rStyle w:val="VerbatimChar"/>
        </w:rPr>
        <w:t xml:space="preserve">    N --&gt; O[Step 9: Complete AML/KYC</w:t>
      </w:r>
      <w:r>
        <w:br/>
      </w:r>
      <w:r>
        <w:rPr>
          <w:rStyle w:val="VerbatimChar"/>
        </w:rPr>
        <w:t xml:space="preserve">Registration — Decree 329]</w:t>
      </w:r>
      <w:r>
        <w:br/>
      </w:r>
      <w:r>
        <w:rPr>
          <w:rStyle w:val="VerbatimChar"/>
        </w:rPr>
        <w:t xml:space="preserve">    O --&gt; P([✅ Fully Operational</w:t>
      </w:r>
      <w:r>
        <w:br/>
      </w:r>
      <w:r>
        <w:rPr>
          <w:rStyle w:val="VerbatimChar"/>
        </w:rPr>
        <w:t xml:space="preserve">at VIFC])</w:t>
      </w:r>
      <w:r>
        <w:br/>
      </w:r>
      <w:r>
        <w:br/>
      </w:r>
      <w:r>
        <w:rPr>
          <w:rStyle w:val="VerbatimChar"/>
        </w:rPr>
        <w:t xml:space="preserve">    P --&gt; Q[Ongoing: Annual Compliance</w:t>
      </w:r>
      <w:r>
        <w:br/>
      </w:r>
      <w:r>
        <w:rPr>
          <w:rStyle w:val="VerbatimChar"/>
        </w:rPr>
        <w:t xml:space="preserve">Reporting &amp; License Renewal]</w:t>
      </w:r>
      <w:r>
        <w:br/>
      </w:r>
      <w:r>
        <w:br/>
      </w:r>
      <w:r>
        <w:rPr>
          <w:rStyle w:val="VerbatimChar"/>
        </w:rPr>
        <w:t xml:space="preserve">    style A fill:#1c2f72,color:#fff</w:t>
      </w:r>
      <w:r>
        <w:br/>
      </w:r>
      <w:r>
        <w:rPr>
          <w:rStyle w:val="VerbatimChar"/>
        </w:rPr>
        <w:t xml:space="preserve">    style P fill:#00aeef,color:#fff</w:t>
      </w:r>
      <w:r>
        <w:br/>
      </w:r>
      <w:r>
        <w:rPr>
          <w:rStyle w:val="VerbatimChar"/>
        </w:rPr>
        <w:t xml:space="preserve">    style G fill:#f0f7ff,color:#1c2f72</w:t>
      </w:r>
      <w:r>
        <w:br/>
      </w:r>
      <w:r>
        <w:rPr>
          <w:rStyle w:val="VerbatimChar"/>
        </w:rPr>
        <w:t xml:space="preserve">    style Q fill:#fff7e6,color:#b45309</w:t>
      </w:r>
    </w:p>
    <w:bookmarkEnd w:id="9"/>
    <w:bookmarkStart w:id="17" w:name="stage-by-stage-description"/>
    <w:p>
      <w:pPr>
        <w:pStyle w:val="Heading2"/>
      </w:pPr>
      <w:r>
        <w:t xml:space="preserve">Stage-by-Stage Description</w:t>
      </w:r>
    </w:p>
    <w:bookmarkStart w:id="10" w:name="stage-1-pre-application"/>
    <w:p>
      <w:pPr>
        <w:pStyle w:val="Heading3"/>
      </w:pPr>
      <w:r>
        <w:t xml:space="preserve">Stage 1 — Pre-Application</w:t>
      </w:r>
    </w:p>
    <w:p>
      <w:pPr>
        <w:pStyle w:val="Compact"/>
        <w:numPr>
          <w:ilvl w:val="0"/>
          <w:numId w:val="1001"/>
        </w:numPr>
      </w:pPr>
      <w:r>
        <w:t xml:space="preserve">Study applicable decrees: [[Decree 323 Establishment of TTTC]], [[Decree 324 Financial Policies of TTTC]]</w:t>
      </w:r>
    </w:p>
    <w:p>
      <w:pPr>
        <w:pStyle w:val="Compact"/>
        <w:numPr>
          <w:ilvl w:val="0"/>
          <w:numId w:val="1001"/>
        </w:numPr>
      </w:pPr>
      <w:r>
        <w:t xml:space="preserve">Identify which VIFC zone applies: Ho Chi Minh City or Da Nang</w:t>
      </w:r>
    </w:p>
    <w:p>
      <w:pPr>
        <w:pStyle w:val="Compact"/>
        <w:numPr>
          <w:ilvl w:val="0"/>
          <w:numId w:val="1001"/>
        </w:numPr>
      </w:pPr>
      <w:r>
        <w:t xml:space="preserve">Engage legal counsel familiar with Vietnamese corporate law</w:t>
      </w:r>
    </w:p>
    <w:bookmarkEnd w:id="10"/>
    <w:bookmarkStart w:id="11" w:name="stage-2-document-preparation"/>
    <w:p>
      <w:pPr>
        <w:pStyle w:val="Heading3"/>
      </w:pPr>
      <w:r>
        <w:t xml:space="preserve">Stage 2 — Document Preparation</w:t>
      </w:r>
    </w:p>
    <w:p>
      <w:pPr>
        <w:pStyle w:val="FirstParagraph"/>
      </w:pPr>
      <w:r>
        <w:t xml:space="preserve">Required documents:</w:t>
      </w:r>
      <w:r>
        <w:t xml:space="preserve"> </w:t>
      </w:r>
      <w:r>
        <w:t xml:space="preserve">- Certified copy of company charter / articles of incorporation</w:t>
      </w:r>
      <w:r>
        <w:t xml:space="preserve"> </w:t>
      </w:r>
      <w:r>
        <w:t xml:space="preserve">- Proof of legal existence in home country (apostilled)</w:t>
      </w:r>
      <w:r>
        <w:t xml:space="preserve"> </w:t>
      </w:r>
      <w:r>
        <w:t xml:space="preserve">- Audited financial statements (last 2 years)</w:t>
      </w:r>
      <w:r>
        <w:t xml:space="preserve"> </w:t>
      </w:r>
      <w:r>
        <w:t xml:space="preserve">- Business plan outlining VIFC activities</w:t>
      </w:r>
      <w:r>
        <w:t xml:space="preserve"> </w:t>
      </w:r>
      <w:r>
        <w:t xml:space="preserve">- Proof of minimum capital requirement</w:t>
      </w:r>
      <w:r>
        <w:t xml:space="preserve"> </w:t>
      </w:r>
      <w:r>
        <w:t xml:space="preserve">- Board resolution authorising VIFC establishment</w:t>
      </w:r>
    </w:p>
    <w:bookmarkEnd w:id="11"/>
    <w:bookmarkStart w:id="12" w:name="stage-3-submission-and-review"/>
    <w:p>
      <w:pPr>
        <w:pStyle w:val="Heading3"/>
      </w:pPr>
      <w:r>
        <w:t xml:space="preserve">Stage 3 — Submission and Review</w:t>
      </w:r>
    </w:p>
    <w:p>
      <w:pPr>
        <w:pStyle w:val="Compact"/>
        <w:numPr>
          <w:ilvl w:val="0"/>
          <w:numId w:val="1002"/>
        </w:numPr>
      </w:pPr>
      <w:r>
        <w:t xml:space="preserve">Submit to VIFC Management Authority</w:t>
      </w:r>
    </w:p>
    <w:p>
      <w:pPr>
        <w:pStyle w:val="Compact"/>
        <w:numPr>
          <w:ilvl w:val="0"/>
          <w:numId w:val="1002"/>
        </w:numPr>
      </w:pPr>
      <w:r>
        <w:t xml:space="preserve">Review period: typically 15–30 working days</w:t>
      </w:r>
    </w:p>
    <w:p>
      <w:pPr>
        <w:pStyle w:val="Compact"/>
        <w:numPr>
          <w:ilvl w:val="0"/>
          <w:numId w:val="1002"/>
        </w:numPr>
      </w:pPr>
      <w:r>
        <w:t xml:space="preserve">Authority may request additional documents once</w:t>
      </w:r>
    </w:p>
    <w:bookmarkEnd w:id="12"/>
    <w:bookmarkStart w:id="13" w:name="stage-4-registration-and-setup"/>
    <w:p>
      <w:pPr>
        <w:pStyle w:val="Heading3"/>
      </w:pPr>
      <w:r>
        <w:t xml:space="preserve">Stage 4 — Registration and Setup</w:t>
      </w:r>
    </w:p>
    <w:p>
      <w:pPr>
        <w:pStyle w:val="Compact"/>
        <w:numPr>
          <w:ilvl w:val="0"/>
          <w:numId w:val="1003"/>
        </w:numPr>
      </w:pPr>
      <w:r>
        <w:t xml:space="preserve">Receive Investment Registration Certificate</w:t>
      </w:r>
    </w:p>
    <w:p>
      <w:pPr>
        <w:pStyle w:val="Compact"/>
        <w:numPr>
          <w:ilvl w:val="0"/>
          <w:numId w:val="1003"/>
        </w:numPr>
      </w:pPr>
      <w:r>
        <w:t xml:space="preserve">Register for tax code</w:t>
      </w:r>
    </w:p>
    <w:p>
      <w:pPr>
        <w:pStyle w:val="Compact"/>
        <w:numPr>
          <w:ilvl w:val="0"/>
          <w:numId w:val="1003"/>
        </w:numPr>
      </w:pPr>
      <w:r>
        <w:t xml:space="preserve">Open corporate bank account in Vietnam</w:t>
      </w:r>
    </w:p>
    <w:p>
      <w:pPr>
        <w:pStyle w:val="Compact"/>
        <w:numPr>
          <w:ilvl w:val="0"/>
          <w:numId w:val="1003"/>
        </w:numPr>
      </w:pPr>
      <w:r>
        <w:t xml:space="preserve">Apply for work permits for foreign staff (Decree 325)</w:t>
      </w:r>
    </w:p>
    <w:p>
      <w:pPr>
        <w:pStyle w:val="Compact"/>
        <w:numPr>
          <w:ilvl w:val="0"/>
          <w:numId w:val="1003"/>
        </w:numPr>
      </w:pPr>
      <w:r>
        <w:t xml:space="preserve">Secure office premises within VIFC zone (Decree 326)</w:t>
      </w:r>
    </w:p>
    <w:bookmarkEnd w:id="13"/>
    <w:bookmarkStart w:id="14" w:name="stage-5-incentive-applications"/>
    <w:p>
      <w:pPr>
        <w:pStyle w:val="Heading3"/>
      </w:pPr>
      <w:r>
        <w:t xml:space="preserve">Stage 5 — Incentive Applications</w:t>
      </w:r>
    </w:p>
    <w:p>
      <w:pPr>
        <w:pStyle w:val="Compact"/>
        <w:numPr>
          <w:ilvl w:val="0"/>
          <w:numId w:val="1004"/>
        </w:numPr>
      </w:pPr>
      <w:r>
        <w:t xml:space="preserve">Apply for corporate income tax incentives (Decree 324)</w:t>
      </w:r>
    </w:p>
    <w:p>
      <w:pPr>
        <w:pStyle w:val="Compact"/>
        <w:numPr>
          <w:ilvl w:val="0"/>
          <w:numId w:val="1004"/>
        </w:numPr>
      </w:pPr>
      <w:r>
        <w:t xml:space="preserve">Apply for personal income tax incentives for key staff</w:t>
      </w:r>
    </w:p>
    <w:p>
      <w:pPr>
        <w:pStyle w:val="Compact"/>
        <w:numPr>
          <w:ilvl w:val="0"/>
          <w:numId w:val="1004"/>
        </w:numPr>
      </w:pPr>
      <w:r>
        <w:t xml:space="preserve">Register for special customs procedures if applicable (Decree 330)</w:t>
      </w:r>
    </w:p>
    <w:bookmarkEnd w:id="14"/>
    <w:bookmarkStart w:id="15" w:name="stage-6-compliance-setup"/>
    <w:p>
      <w:pPr>
        <w:pStyle w:val="Heading3"/>
      </w:pPr>
      <w:r>
        <w:t xml:space="preserve">Stage 6 — Compliance Setup</w:t>
      </w:r>
    </w:p>
    <w:p>
      <w:pPr>
        <w:pStyle w:val="Compact"/>
        <w:numPr>
          <w:ilvl w:val="0"/>
          <w:numId w:val="1005"/>
        </w:numPr>
      </w:pPr>
      <w:r>
        <w:t xml:space="preserve">Complete AML/KYC registration (Decree 329)</w:t>
      </w:r>
    </w:p>
    <w:p>
      <w:pPr>
        <w:pStyle w:val="Compact"/>
        <w:numPr>
          <w:ilvl w:val="0"/>
          <w:numId w:val="1005"/>
        </w:numPr>
      </w:pPr>
      <w:r>
        <w:t xml:space="preserve">Establish internal compliance programme</w:t>
      </w:r>
    </w:p>
    <w:p>
      <w:pPr>
        <w:pStyle w:val="Compact"/>
        <w:numPr>
          <w:ilvl w:val="0"/>
          <w:numId w:val="1005"/>
        </w:numPr>
      </w:pPr>
      <w:r>
        <w:t xml:space="preserve">Register reporting obligations with supervisory authority</w:t>
      </w:r>
    </w:p>
    <w:bookmarkEnd w:id="15"/>
    <w:bookmarkStart w:id="16" w:name="stage-7-ongoing-operations"/>
    <w:p>
      <w:pPr>
        <w:pStyle w:val="Heading3"/>
      </w:pPr>
      <w:r>
        <w:t xml:space="preserve">Stage 7 — Ongoing Operations</w:t>
      </w:r>
    </w:p>
    <w:p>
      <w:pPr>
        <w:pStyle w:val="Compact"/>
        <w:numPr>
          <w:ilvl w:val="0"/>
          <w:numId w:val="1006"/>
        </w:numPr>
      </w:pPr>
      <w:r>
        <w:t xml:space="preserve">Annual compliance reports</w:t>
      </w:r>
    </w:p>
    <w:p>
      <w:pPr>
        <w:pStyle w:val="Compact"/>
        <w:numPr>
          <w:ilvl w:val="0"/>
          <w:numId w:val="1006"/>
        </w:numPr>
      </w:pPr>
      <w:r>
        <w:t xml:space="preserve">License renewal as required</w:t>
      </w:r>
    </w:p>
    <w:p>
      <w:pPr>
        <w:pStyle w:val="Compact"/>
        <w:numPr>
          <w:ilvl w:val="0"/>
          <w:numId w:val="1006"/>
        </w:numPr>
      </w:pPr>
      <w:r>
        <w:t xml:space="preserve">Update registration on material changes</w:t>
      </w:r>
    </w:p>
    <w:bookmarkEnd w:id="16"/>
    <w:bookmarkEnd w:id="17"/>
    <w:bookmarkStart w:id="18" w:name="key-decrees"/>
    <w:p>
      <w:pPr>
        <w:pStyle w:val="Heading2"/>
      </w:pPr>
      <w:r>
        <w:t xml:space="preserve">Key Decrees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Decree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[[Decree 323 Establishment of TTTC]]</w:t>
            </w:r>
          </w:p>
        </w:tc>
        <w:tc>
          <w:tcPr/>
          <w:p>
            <w:pPr>
              <w:pStyle w:val="Compact"/>
            </w:pPr>
            <w:r>
              <w:t xml:space="preserve">VIFC establishment,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[[Decree 324 Financial Policies of TTTC]]</w:t>
            </w:r>
          </w:p>
        </w:tc>
        <w:tc>
          <w:tcPr/>
          <w:p>
            <w:pPr>
              <w:pStyle w:val="Compact"/>
            </w:pPr>
            <w:r>
              <w:t xml:space="preserve">Tax incentives, financial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[[Decree 325 Labor and Social Security in TTTC]]</w:t>
            </w:r>
          </w:p>
        </w:tc>
        <w:tc>
          <w:tcPr/>
          <w:p>
            <w:pPr>
              <w:pStyle w:val="Compact"/>
            </w:pPr>
            <w:r>
              <w:t xml:space="preserve">Labor, work permits, social insurance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[[Decree 326 Land and Environment in TTTC]]</w:t>
            </w:r>
          </w:p>
        </w:tc>
        <w:tc>
          <w:tcPr/>
          <w:p>
            <w:pPr>
              <w:pStyle w:val="Compact"/>
            </w:pPr>
            <w:r>
              <w:t xml:space="preserve">Land use, office premises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[[Decree 327 Immigration Policy]]</w:t>
            </w:r>
          </w:p>
        </w:tc>
        <w:tc>
          <w:tcPr/>
          <w:p>
            <w:pPr>
              <w:pStyle w:val="Compact"/>
            </w:pPr>
            <w:r>
              <w:t xml:space="preserve">Visas, entry for foreign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[[Decree 329 Banking and Foreign Exchange]]</w:t>
            </w:r>
          </w:p>
        </w:tc>
        <w:tc>
          <w:tcPr/>
          <w:p>
            <w:pPr>
              <w:pStyle w:val="Compact"/>
            </w:pPr>
            <w:r>
              <w:t xml:space="preserve">Banking licenses, FX, 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[[Decree 330 Commodities Exchange in TTTC]]</w:t>
            </w:r>
          </w:p>
        </w:tc>
        <w:tc>
          <w:tcPr/>
          <w:p>
            <w:pPr>
              <w:pStyle w:val="Compact"/>
            </w:pPr>
            <w:r>
              <w:t xml:space="preserve">Commodities trading</w:t>
            </w:r>
          </w:p>
        </w:tc>
      </w:tr>
    </w:tbl>
    <w:bookmarkEnd w:id="18"/>
    <w:bookmarkStart w:id="19" w:name="cross-reference-for-ifc-benchmarking"/>
    <w:p>
      <w:pPr>
        <w:pStyle w:val="Heading2"/>
      </w:pPr>
      <w:r>
        <w:t xml:space="preserve">Cross-Reference for IFC Benchmarking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896"/>
        <w:gridCol w:w="2092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VIFC</w:t>
            </w:r>
          </w:p>
        </w:tc>
        <w:tc>
          <w:tcPr/>
          <w:p>
            <w:pPr>
              <w:pStyle w:val="Compact"/>
            </w:pPr>
            <w:r>
              <w:t xml:space="preserve">Singapore MAS</w:t>
            </w:r>
          </w:p>
        </w:tc>
        <w:tc>
          <w:tcPr/>
          <w:p>
            <w:pPr>
              <w:pStyle w:val="Compact"/>
            </w:pPr>
            <w:r>
              <w:t xml:space="preserve">Hong Kong SFC</w:t>
            </w:r>
          </w:p>
        </w:tc>
        <w:tc>
          <w:tcPr/>
          <w:p>
            <w:pPr>
              <w:pStyle w:val="Compact"/>
            </w:pPr>
            <w:r>
              <w:t xml:space="preserve">Dubai DIFC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review period</w:t>
            </w:r>
          </w:p>
        </w:tc>
        <w:tc>
          <w:tcPr/>
          <w:p>
            <w:pPr>
              <w:pStyle w:val="Compact"/>
            </w:pPr>
            <w:r>
              <w:t xml:space="preserve">15–30 days</w:t>
            </w:r>
          </w:p>
        </w:tc>
        <w:tc>
          <w:tcPr/>
          <w:p>
            <w:pPr>
              <w:pStyle w:val="Compact"/>
            </w:pPr>
            <w:r>
              <w:t xml:space="preserve">6–12 months</w:t>
            </w:r>
          </w:p>
        </w:tc>
        <w:tc>
          <w:tcPr/>
          <w:p>
            <w:pPr>
              <w:pStyle w:val="Compact"/>
            </w:pPr>
            <w:r>
              <w:t xml:space="preserve">3–6 months</w:t>
            </w:r>
          </w:p>
        </w:tc>
        <w:tc>
          <w:tcPr/>
          <w:p>
            <w:pPr>
              <w:pStyle w:val="Compact"/>
            </w:pPr>
            <w:r>
              <w:t xml:space="preserve">2–4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capital (general)</w:t>
            </w:r>
          </w:p>
        </w:tc>
        <w:tc>
          <w:tcPr/>
          <w:p>
            <w:pPr>
              <w:pStyle w:val="Compact"/>
            </w:pPr>
            <w:r>
              <w:t xml:space="preserve">Per decree</w:t>
            </w:r>
          </w:p>
        </w:tc>
        <w:tc>
          <w:tcPr/>
          <w:p>
            <w:pPr>
              <w:pStyle w:val="Compact"/>
            </w:pPr>
            <w:r>
              <w:t xml:space="preserve">SGD varies</w:t>
            </w:r>
          </w:p>
        </w:tc>
        <w:tc>
          <w:tcPr/>
          <w:p>
            <w:pPr>
              <w:pStyle w:val="Compact"/>
            </w:pPr>
            <w:r>
              <w:t xml:space="preserve">HKD varies</w:t>
            </w:r>
          </w:p>
        </w:tc>
        <w:tc>
          <w:tcPr/>
          <w:p>
            <w:pPr>
              <w:pStyle w:val="Compact"/>
            </w:pPr>
            <w:r>
              <w:t xml:space="preserve">USD varies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</w:t>
            </w:r>
          </w:p>
        </w:tc>
        <w:tc>
          <w:tcPr/>
          <w:p>
            <w:pPr>
              <w:pStyle w:val="Compact"/>
            </w:pPr>
            <w:r>
              <w:t xml:space="preserve">Per Decree 324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t xml:space="preserve">0% (DIFC)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</w:pPr>
            <w:r>
              <w:t xml:space="preserve">[[Arbitration in the Vietnam International Financial Centre]]</w:t>
            </w:r>
          </w:p>
        </w:tc>
        <w:tc>
          <w:tcPr/>
          <w:p>
            <w:pPr>
              <w:pStyle w:val="Compact"/>
            </w:pPr>
            <w:r>
              <w:t xml:space="preserve">SIAC</w:t>
            </w:r>
          </w:p>
        </w:tc>
        <w:tc>
          <w:tcPr/>
          <w:p>
            <w:pPr>
              <w:pStyle w:val="Compact"/>
            </w:pPr>
            <w:r>
              <w:t xml:space="preserve">HKIAC</w:t>
            </w:r>
          </w:p>
        </w:tc>
        <w:tc>
          <w:tcPr/>
          <w:p>
            <w:pPr>
              <w:pStyle w:val="Compact"/>
            </w:pPr>
            <w:r>
              <w:t xml:space="preserve">DIAC</w:t>
            </w:r>
          </w:p>
        </w:tc>
      </w:tr>
    </w:tbl>
    <w:bookmarkEnd w:id="19"/>
    <w:bookmarkStart w:id="20" w:name="related-topics"/>
    <w:p>
      <w:pPr>
        <w:pStyle w:val="Heading2"/>
      </w:pPr>
      <w:r>
        <w:t xml:space="preserve">Related Topics</w:t>
      </w:r>
    </w:p>
    <w:p>
      <w:pPr>
        <w:pStyle w:val="Compact"/>
        <w:numPr>
          <w:ilvl w:val="0"/>
          <w:numId w:val="1007"/>
        </w:numPr>
      </w:pPr>
      <w:r>
        <w:t xml:space="preserve">[[How Foreign Banks Can Work With VIFC Step By Step Onboarding Guide]]</w:t>
      </w:r>
    </w:p>
    <w:p>
      <w:pPr>
        <w:pStyle w:val="Compact"/>
        <w:numPr>
          <w:ilvl w:val="0"/>
          <w:numId w:val="1007"/>
        </w:numPr>
      </w:pPr>
      <w:r>
        <w:t xml:space="preserve">[[How Investment Banks Can Work With VIFC Step By Step Onboarding Guide]]</w:t>
      </w:r>
    </w:p>
    <w:p>
      <w:pPr>
        <w:pStyle w:val="Compact"/>
        <w:numPr>
          <w:ilvl w:val="0"/>
          <w:numId w:val="1007"/>
        </w:numPr>
      </w:pPr>
      <w:r>
        <w:t xml:space="preserve">[[How Import And Export Companies Can Work With VIFC Step By Step Onboarding Guide]]</w:t>
      </w:r>
    </w:p>
    <w:p>
      <w:pPr>
        <w:pStyle w:val="Compact"/>
        <w:numPr>
          <w:ilvl w:val="0"/>
          <w:numId w:val="1007"/>
        </w:numPr>
      </w:pPr>
      <w:r>
        <w:t xml:space="preserve">[[How Fintech Companies Can Work With VIFC Step By Step Onboarding Guide]]</w:t>
      </w:r>
    </w:p>
    <w:p>
      <w:pPr>
        <w:pStyle w:val="Compact"/>
        <w:numPr>
          <w:ilvl w:val="0"/>
          <w:numId w:val="1007"/>
        </w:numPr>
      </w:pPr>
      <w:r>
        <w:t xml:space="preserve">[[Tax Incentives In The Vietnam International Financial Centre]]</w:t>
      </w:r>
    </w:p>
    <w:p>
      <w:pPr>
        <w:pStyle w:val="Compact"/>
        <w:numPr>
          <w:ilvl w:val="0"/>
          <w:numId w:val="1007"/>
        </w:numPr>
      </w:pPr>
      <w:r>
        <w:t xml:space="preserve">[[Compliance Requirements In The Vietnam International Financial Centre]]</w:t>
      </w:r>
    </w:p>
    <w:p>
      <w:pPr>
        <w:pStyle w:val="Compact"/>
        <w:numPr>
          <w:ilvl w:val="0"/>
          <w:numId w:val="1007"/>
        </w:numPr>
      </w:pPr>
      <w:r>
        <w:t xml:space="preserve">[[Foreign Worker Regulations]]</w:t>
      </w:r>
    </w:p>
    <w:p>
      <w:pPr>
        <w:pStyle w:val="Compact"/>
        <w:numPr>
          <w:ilvl w:val="0"/>
          <w:numId w:val="1007"/>
        </w:numPr>
      </w:pPr>
      <w:r>
        <w:t xml:space="preserve">[[Vifc Onboarding Requirements Ifc Benchmarking And Cross-Reference Guide]]</w:t>
      </w:r>
    </w:p>
    <w:p>
      <w:pPr>
        <w:pStyle w:val="FirstParagraph"/>
      </w:pPr>
      <w:r>
        <w:rPr>
          <w:i/>
          <w:iCs/>
        </w:rPr>
        <w:t xml:space="preserve">Last updated: 2026-06-03</w:t>
      </w:r>
    </w:p>
    <w:bookmarkEnd w:id="20"/>
    <w:bookmarkStart w:id="21" w:name="update-log"/>
    <w:p>
      <w:pPr>
        <w:pStyle w:val="Heading2"/>
      </w:pPr>
      <w:r>
        <w:t xml:space="preserve">Update Log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2026-06-03</w:t>
      </w:r>
      <w:r>
        <w:t xml:space="preserve">: Page created.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2026-06-04T02:07:31Z</dcterms:created>
  <dcterms:modified xsi:type="dcterms:W3CDTF">2026-06-04T02:07:31Z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