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c1dfe65ad82a98625cfdff6b30b8533862565c"/>
    <w:p>
      <w:pPr>
        <w:pStyle w:val="Heading1"/>
      </w:pPr>
      <w:r>
        <w:t xml:space="preserve">Process Map — How Investment Banks Cooperate With VIFC</w:t>
      </w:r>
    </w:p>
    <w:bookmarkStart w:id="9" w:name="investment-banking-cooperation-flowchart"/>
    <w:p>
      <w:pPr>
        <w:pStyle w:val="Heading2"/>
      </w:pPr>
      <w:r>
        <w:t xml:space="preserve">Investment Banking Cooperation Flowchart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A([🏛️ Investment Bank</w:t>
      </w:r>
      <w:r>
        <w:br/>
      </w:r>
      <w:r>
        <w:rPr>
          <w:rStyle w:val="VerbatimChar"/>
        </w:rPr>
        <w:t xml:space="preserve">Decides to Enter VIFC]) --&gt; B[Determine Service Scope:</w:t>
      </w:r>
      <w:r>
        <w:br/>
      </w:r>
      <w:r>
        <w:rPr>
          <w:rStyle w:val="VerbatimChar"/>
        </w:rPr>
        <w:t xml:space="preserve">• ECM / DCM</w:t>
      </w:r>
      <w:r>
        <w:br/>
      </w:r>
      <w:r>
        <w:rPr>
          <w:rStyle w:val="VerbatimChar"/>
        </w:rPr>
        <w:t xml:space="preserve">• M&amp;A Advisory</w:t>
      </w:r>
      <w:r>
        <w:br/>
      </w:r>
      <w:r>
        <w:rPr>
          <w:rStyle w:val="VerbatimChar"/>
        </w:rPr>
        <w:t xml:space="preserve">• Fund Management</w:t>
      </w:r>
      <w:r>
        <w:br/>
      </w:r>
      <w:r>
        <w:rPr>
          <w:rStyle w:val="VerbatimChar"/>
        </w:rPr>
        <w:t xml:space="preserve">• Securities Brokerage]</w:t>
      </w:r>
      <w:r>
        <w:br/>
      </w:r>
      <w:r>
        <w:br/>
      </w:r>
      <w:r>
        <w:rPr>
          <w:rStyle w:val="VerbatimChar"/>
        </w:rPr>
        <w:t xml:space="preserve">    B --&gt; C[Prepare License</w:t>
      </w:r>
      <w:r>
        <w:br/>
      </w:r>
      <w:r>
        <w:rPr>
          <w:rStyle w:val="VerbatimChar"/>
        </w:rPr>
        <w:t xml:space="preserve">Application Package]</w:t>
      </w:r>
      <w:r>
        <w:br/>
      </w:r>
      <w:r>
        <w:br/>
      </w:r>
      <w:r>
        <w:rPr>
          <w:rStyle w:val="VerbatimChar"/>
        </w:rPr>
        <w:t xml:space="preserve">    C --&gt; D[Documents Required:</w:t>
      </w:r>
      <w:r>
        <w:br/>
      </w:r>
      <w:r>
        <w:rPr>
          <w:rStyle w:val="VerbatimChar"/>
        </w:rPr>
        <w:t xml:space="preserve">• Home country IB license</w:t>
      </w:r>
      <w:r>
        <w:br/>
      </w:r>
      <w:r>
        <w:rPr>
          <w:rStyle w:val="VerbatimChar"/>
        </w:rPr>
        <w:t xml:space="preserve">• Audited financials 3 years</w:t>
      </w:r>
      <w:r>
        <w:br/>
      </w:r>
      <w:r>
        <w:rPr>
          <w:rStyle w:val="VerbatimChar"/>
        </w:rPr>
        <w:t xml:space="preserve">• Fit &amp; proper — directors</w:t>
      </w:r>
      <w:r>
        <w:br/>
      </w:r>
      <w:r>
        <w:rPr>
          <w:rStyle w:val="VerbatimChar"/>
        </w:rPr>
        <w:t xml:space="preserve">• Compliance programme</w:t>
      </w:r>
      <w:r>
        <w:br/>
      </w:r>
      <w:r>
        <w:rPr>
          <w:rStyle w:val="VerbatimChar"/>
        </w:rPr>
        <w:t xml:space="preserve">• Capital adequacy proof</w:t>
      </w:r>
      <w:r>
        <w:br/>
      </w:r>
      <w:r>
        <w:rPr>
          <w:rStyle w:val="VerbatimChar"/>
        </w:rPr>
        <w:t xml:space="preserve">• Business plan]</w:t>
      </w:r>
      <w:r>
        <w:br/>
      </w:r>
      <w:r>
        <w:br/>
      </w:r>
      <w:r>
        <w:rPr>
          <w:rStyle w:val="VerbatimChar"/>
        </w:rPr>
        <w:t xml:space="preserve">    D --&gt; E[Submit to State Securities</w:t>
      </w:r>
      <w:r>
        <w:br/>
      </w:r>
      <w:r>
        <w:rPr>
          <w:rStyle w:val="VerbatimChar"/>
        </w:rPr>
        <w:t xml:space="preserve">Commission of Vietnam — SSC</w:t>
      </w:r>
      <w:r>
        <w:br/>
      </w:r>
      <w:r>
        <w:rPr>
          <w:rStyle w:val="VerbatimChar"/>
        </w:rPr>
        <w:t xml:space="preserve">via VIFC Authority]</w:t>
      </w:r>
      <w:r>
        <w:br/>
      </w:r>
      <w:r>
        <w:br/>
      </w:r>
      <w:r>
        <w:rPr>
          <w:rStyle w:val="VerbatimChar"/>
        </w:rPr>
        <w:t xml:space="preserve">    E --&gt; F{SSC Review</w:t>
      </w:r>
      <w:r>
        <w:br/>
      </w:r>
      <w:r>
        <w:rPr>
          <w:rStyle w:val="VerbatimChar"/>
        </w:rPr>
        <w:t xml:space="preserve">30–60 Days}</w:t>
      </w:r>
      <w:r>
        <w:br/>
      </w:r>
      <w:r>
        <w:rPr>
          <w:rStyle w:val="VerbatimChar"/>
        </w:rPr>
        <w:t xml:space="preserve">    F --&gt;|Rejected| G[Address</w:t>
      </w:r>
      <w:r>
        <w:br/>
      </w:r>
      <w:r>
        <w:rPr>
          <w:rStyle w:val="VerbatimChar"/>
        </w:rPr>
        <w:t xml:space="preserve">Deficiencies]</w:t>
      </w:r>
      <w:r>
        <w:br/>
      </w:r>
      <w:r>
        <w:rPr>
          <w:rStyle w:val="VerbatimChar"/>
        </w:rPr>
        <w:t xml:space="preserve">    G --&gt; E</w:t>
      </w:r>
      <w:r>
        <w:br/>
      </w:r>
      <w:r>
        <w:rPr>
          <w:rStyle w:val="VerbatimChar"/>
        </w:rPr>
        <w:t xml:space="preserve">    F --&gt;|Approved| H[Receive Securities</w:t>
      </w:r>
      <w:r>
        <w:br/>
      </w:r>
      <w:r>
        <w:rPr>
          <w:rStyle w:val="VerbatimChar"/>
        </w:rPr>
        <w:t xml:space="preserve">Operating License]</w:t>
      </w:r>
      <w:r>
        <w:br/>
      </w:r>
      <w:r>
        <w:br/>
      </w:r>
      <w:r>
        <w:rPr>
          <w:rStyle w:val="VerbatimChar"/>
        </w:rPr>
        <w:t xml:space="preserve">    H --&gt; I[Register Capital</w:t>
      </w:r>
      <w:r>
        <w:br/>
      </w:r>
      <w:r>
        <w:rPr>
          <w:rStyle w:val="VerbatimChar"/>
        </w:rPr>
        <w:t xml:space="preserve">Markets Activities with SSC]</w:t>
      </w:r>
      <w:r>
        <w:br/>
      </w:r>
      <w:r>
        <w:rPr>
          <w:rStyle w:val="VerbatimChar"/>
        </w:rPr>
        <w:t xml:space="preserve">    I --&gt; J[Apply for Tax</w:t>
      </w:r>
      <w:r>
        <w:br/>
      </w:r>
      <w:r>
        <w:rPr>
          <w:rStyle w:val="VerbatimChar"/>
        </w:rPr>
        <w:t xml:space="preserve">Incentives — Decree 324]</w:t>
      </w:r>
      <w:r>
        <w:br/>
      </w:r>
      <w:r>
        <w:rPr>
          <w:rStyle w:val="VerbatimChar"/>
        </w:rPr>
        <w:t xml:space="preserve">    J --&gt; K[Establish AML/KYC</w:t>
      </w:r>
      <w:r>
        <w:br/>
      </w:r>
      <w:r>
        <w:rPr>
          <w:rStyle w:val="VerbatimChar"/>
        </w:rPr>
        <w:t xml:space="preserve">Programme — Decree 329]</w:t>
      </w:r>
      <w:r>
        <w:br/>
      </w:r>
      <w:r>
        <w:rPr>
          <w:rStyle w:val="VerbatimChar"/>
        </w:rPr>
        <w:t xml:space="preserve">    K --&gt; L[Register Reporting</w:t>
      </w:r>
      <w:r>
        <w:br/>
      </w:r>
      <w:r>
        <w:rPr>
          <w:rStyle w:val="VerbatimChar"/>
        </w:rPr>
        <w:t xml:space="preserve">Obligations]</w:t>
      </w:r>
      <w:r>
        <w:br/>
      </w:r>
      <w:r>
        <w:rPr>
          <w:rStyle w:val="VerbatimChar"/>
        </w:rPr>
        <w:t xml:space="preserve">    L --&gt; M[Hire / Transfer</w:t>
      </w:r>
      <w:r>
        <w:br/>
      </w:r>
      <w:r>
        <w:rPr>
          <w:rStyle w:val="VerbatimChar"/>
        </w:rPr>
        <w:t xml:space="preserve">Key Personnel</w:t>
      </w:r>
      <w:r>
        <w:br/>
      </w:r>
      <w:r>
        <w:rPr>
          <w:rStyle w:val="VerbatimChar"/>
        </w:rPr>
        <w:t xml:space="preserve">Work Permits — Decree 325]</w:t>
      </w:r>
      <w:r>
        <w:br/>
      </w:r>
      <w:r>
        <w:rPr>
          <w:rStyle w:val="VerbatimChar"/>
        </w:rPr>
        <w:t xml:space="preserve">    M --&gt; N([✅ Investment Bank</w:t>
      </w:r>
      <w:r>
        <w:br/>
      </w:r>
      <w:r>
        <w:rPr>
          <w:rStyle w:val="VerbatimChar"/>
        </w:rPr>
        <w:t xml:space="preserve">Operational at VIFC])</w:t>
      </w:r>
      <w:r>
        <w:br/>
      </w:r>
      <w:r>
        <w:br/>
      </w:r>
      <w:r>
        <w:rPr>
          <w:rStyle w:val="VerbatimChar"/>
        </w:rPr>
        <w:t xml:space="preserve">    N --&gt; O[Ongoing:</w:t>
      </w:r>
      <w:r>
        <w:br/>
      </w:r>
      <w:r>
        <w:rPr>
          <w:rStyle w:val="VerbatimChar"/>
        </w:rPr>
        <w:t xml:space="preserve">Quarterly SSC Reports</w:t>
      </w:r>
      <w:r>
        <w:br/>
      </w:r>
      <w:r>
        <w:rPr>
          <w:rStyle w:val="VerbatimChar"/>
        </w:rPr>
        <w:t xml:space="preserve">Annual Audit</w:t>
      </w:r>
      <w:r>
        <w:br/>
      </w:r>
      <w:r>
        <w:rPr>
          <w:rStyle w:val="VerbatimChar"/>
        </w:rPr>
        <w:t xml:space="preserve">Client Asset Reporting]</w:t>
      </w:r>
      <w:r>
        <w:br/>
      </w:r>
      <w:r>
        <w:br/>
      </w:r>
      <w:r>
        <w:rPr>
          <w:rStyle w:val="VerbatimChar"/>
        </w:rPr>
        <w:t xml:space="preserve">    style A fill:#1c2f72,color:#fff</w:t>
      </w:r>
      <w:r>
        <w:br/>
      </w:r>
      <w:r>
        <w:rPr>
          <w:rStyle w:val="VerbatimChar"/>
        </w:rPr>
        <w:t xml:space="preserve">    style N fill:#00aeef,color:#fff</w:t>
      </w:r>
      <w:r>
        <w:br/>
      </w:r>
      <w:r>
        <w:rPr>
          <w:rStyle w:val="VerbatimChar"/>
        </w:rPr>
        <w:t xml:space="preserve">    style F fill:#f0f7ff,color:#1c2f72</w:t>
      </w:r>
      <w:r>
        <w:br/>
      </w:r>
      <w:r>
        <w:rPr>
          <w:rStyle w:val="VerbatimChar"/>
        </w:rPr>
        <w:t xml:space="preserve">    style O fill:#fff7e6,color:#b45309</w:t>
      </w:r>
    </w:p>
    <w:bookmarkEnd w:id="9"/>
    <w:bookmarkStart w:id="10" w:name="key-requirements"/>
    <w:p>
      <w:pPr>
        <w:pStyle w:val="Heading2"/>
      </w:pPr>
      <w:r>
        <w:t xml:space="preserve">Key Requirements</w:t>
      </w:r>
    </w:p>
    <w:p>
      <w:pPr>
        <w:pStyle w:val="Compact"/>
        <w:numPr>
          <w:ilvl w:val="0"/>
          <w:numId w:val="1001"/>
        </w:numPr>
      </w:pPr>
      <w:r>
        <w:t xml:space="preserve">Valid securities / investment banking license from home jurisdiction</w:t>
      </w:r>
    </w:p>
    <w:p>
      <w:pPr>
        <w:pStyle w:val="Compact"/>
        <w:numPr>
          <w:ilvl w:val="0"/>
          <w:numId w:val="1001"/>
        </w:numPr>
      </w:pPr>
      <w:r>
        <w:t xml:space="preserve">Minimum 3 years operating history</w:t>
      </w:r>
    </w:p>
    <w:p>
      <w:pPr>
        <w:pStyle w:val="Compact"/>
        <w:numPr>
          <w:ilvl w:val="0"/>
          <w:numId w:val="1001"/>
        </w:numPr>
      </w:pPr>
      <w:r>
        <w:t xml:space="preserve">Capital adequacy meeting VIFC requirements</w:t>
      </w:r>
    </w:p>
    <w:p>
      <w:pPr>
        <w:pStyle w:val="Compact"/>
        <w:numPr>
          <w:ilvl w:val="0"/>
          <w:numId w:val="1001"/>
        </w:numPr>
      </w:pPr>
      <w:r>
        <w:t xml:space="preserve">Fit and proper assessment for all licensed representatives</w:t>
      </w:r>
    </w:p>
    <w:p>
      <w:pPr>
        <w:pStyle w:val="Compact"/>
        <w:numPr>
          <w:ilvl w:val="0"/>
          <w:numId w:val="1001"/>
        </w:numPr>
      </w:pPr>
      <w:r>
        <w:t xml:space="preserve">Segregated client asset accounts</w:t>
      </w:r>
    </w:p>
    <w:p>
      <w:pPr>
        <w:pStyle w:val="Compact"/>
        <w:numPr>
          <w:ilvl w:val="0"/>
          <w:numId w:val="1001"/>
        </w:numPr>
      </w:pPr>
      <w:r>
        <w:t xml:space="preserve">Compliance officer designated for VIFC operations</w:t>
      </w:r>
    </w:p>
    <w:bookmarkEnd w:id="10"/>
    <w:bookmarkStart w:id="11" w:name="services-permitted-at-vifc"/>
    <w:p>
      <w:pPr>
        <w:pStyle w:val="Heading2"/>
      </w:pPr>
      <w:r>
        <w:t xml:space="preserve">Services Permitted at VIFC</w:t>
      </w:r>
    </w:p>
    <w:p>
      <w:pPr>
        <w:pStyle w:val="Compact"/>
        <w:numPr>
          <w:ilvl w:val="0"/>
          <w:numId w:val="1002"/>
        </w:numPr>
      </w:pPr>
      <w:r>
        <w:t xml:space="preserve">Equity and debt capital markets underwriting</w:t>
      </w:r>
    </w:p>
    <w:p>
      <w:pPr>
        <w:pStyle w:val="Compact"/>
        <w:numPr>
          <w:ilvl w:val="0"/>
          <w:numId w:val="1002"/>
        </w:numPr>
      </w:pPr>
      <w:r>
        <w:t xml:space="preserve">Mergers and acquisitions advisory</w:t>
      </w:r>
    </w:p>
    <w:p>
      <w:pPr>
        <w:pStyle w:val="Compact"/>
        <w:numPr>
          <w:ilvl w:val="0"/>
          <w:numId w:val="1002"/>
        </w:numPr>
      </w:pPr>
      <w:r>
        <w:t xml:space="preserve">Securities brokerage and market making</w:t>
      </w:r>
    </w:p>
    <w:p>
      <w:pPr>
        <w:pStyle w:val="Compact"/>
        <w:numPr>
          <w:ilvl w:val="0"/>
          <w:numId w:val="1002"/>
        </w:numPr>
      </w:pPr>
      <w:r>
        <w:t xml:space="preserve">Fund structuring and management</w:t>
      </w:r>
    </w:p>
    <w:p>
      <w:pPr>
        <w:pStyle w:val="Compact"/>
        <w:numPr>
          <w:ilvl w:val="0"/>
          <w:numId w:val="1002"/>
        </w:numPr>
      </w:pPr>
      <w:r>
        <w:t xml:space="preserve">Derivatives and structured products (subject to approval)</w:t>
      </w:r>
    </w:p>
    <w:bookmarkEnd w:id="11"/>
    <w:bookmarkStart w:id="12" w:name="applicable-decrees"/>
    <w:p>
      <w:pPr>
        <w:pStyle w:val="Heading2"/>
      </w:pPr>
      <w:r>
        <w:t xml:space="preserve">Applicable Decrees</w:t>
      </w:r>
    </w:p>
    <w:p>
      <w:pPr>
        <w:pStyle w:val="Compact"/>
        <w:numPr>
          <w:ilvl w:val="0"/>
          <w:numId w:val="1003"/>
        </w:numPr>
      </w:pPr>
      <w:r>
        <w:t xml:space="preserve">[[Decree 329 Banking And Foreign Exchange]] — securities and FX</w:t>
      </w:r>
    </w:p>
    <w:p>
      <w:pPr>
        <w:pStyle w:val="Compact"/>
        <w:numPr>
          <w:ilvl w:val="0"/>
          <w:numId w:val="1003"/>
        </w:numPr>
      </w:pPr>
      <w:r>
        <w:t xml:space="preserve">[[Decree 324 Financial Policies Of Tttc]] — tax incentives</w:t>
      </w:r>
    </w:p>
    <w:p>
      <w:pPr>
        <w:pStyle w:val="Compact"/>
        <w:numPr>
          <w:ilvl w:val="0"/>
          <w:numId w:val="1003"/>
        </w:numPr>
      </w:pPr>
      <w:r>
        <w:t xml:space="preserve">[[Decree 323 Establishment Of Tttc]] — governance</w:t>
      </w:r>
    </w:p>
    <w:p>
      <w:pPr>
        <w:pStyle w:val="Compact"/>
        <w:numPr>
          <w:ilvl w:val="0"/>
          <w:numId w:val="1003"/>
        </w:numPr>
      </w:pPr>
      <w:r>
        <w:t xml:space="preserve">[[Decree 325 Labor And Social Security In Tttc]] — key personnel</w:t>
      </w:r>
    </w:p>
    <w:bookmarkEnd w:id="12"/>
    <w:bookmarkStart w:id="13" w:name="related-topics"/>
    <w:p>
      <w:pPr>
        <w:pStyle w:val="Heading2"/>
      </w:pPr>
      <w:r>
        <w:t xml:space="preserve">Related Topics</w:t>
      </w:r>
    </w:p>
    <w:p>
      <w:pPr>
        <w:pStyle w:val="Compact"/>
        <w:numPr>
          <w:ilvl w:val="0"/>
          <w:numId w:val="1004"/>
        </w:numPr>
      </w:pPr>
      <w:r>
        <w:t xml:space="preserve">[[Investment Banking Opportunities In The Vietnam International Financial Centre]]</w:t>
      </w:r>
    </w:p>
    <w:p>
      <w:pPr>
        <w:pStyle w:val="Compact"/>
        <w:numPr>
          <w:ilvl w:val="0"/>
          <w:numId w:val="1004"/>
        </w:numPr>
      </w:pPr>
      <w:r>
        <w:t xml:space="preserve">[[Equity Capital Markets In The Vietnam International Financial Centre]]</w:t>
      </w:r>
    </w:p>
    <w:p>
      <w:pPr>
        <w:pStyle w:val="Compact"/>
        <w:numPr>
          <w:ilvl w:val="0"/>
          <w:numId w:val="1004"/>
        </w:numPr>
      </w:pPr>
      <w:r>
        <w:t xml:space="preserve">[[Debt Capital Markets In The Vietnam International Financial Centre]]</w:t>
      </w:r>
    </w:p>
    <w:p>
      <w:pPr>
        <w:pStyle w:val="Compact"/>
        <w:numPr>
          <w:ilvl w:val="0"/>
          <w:numId w:val="1004"/>
        </w:numPr>
      </w:pPr>
      <w:r>
        <w:t xml:space="preserve">[[Securities Activities In The Vietnam International Financial Centre]]</w:t>
      </w:r>
    </w:p>
    <w:p>
      <w:pPr>
        <w:pStyle w:val="Compact"/>
        <w:numPr>
          <w:ilvl w:val="0"/>
          <w:numId w:val="1004"/>
        </w:numPr>
      </w:pPr>
      <w:r>
        <w:t xml:space="preserve">[[Process Map How Foreign Companies Cooperate With Vifc]]</w:t>
      </w:r>
    </w:p>
    <w:p>
      <w:pPr>
        <w:pStyle w:val="FirstParagraph"/>
      </w:pPr>
      <w:r>
        <w:rPr>
          <w:i/>
          <w:iCs/>
        </w:rPr>
        <w:t xml:space="preserve">Last updated: 2026-06-03</w:t>
      </w:r>
    </w:p>
    <w:bookmarkEnd w:id="13"/>
    <w:bookmarkStart w:id="14" w:name="update-log"/>
    <w:p>
      <w:pPr>
        <w:pStyle w:val="Heading2"/>
      </w:pPr>
      <w:r>
        <w:t xml:space="preserve">Update Log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2026-06-03</w:t>
      </w:r>
      <w:r>
        <w:t xml:space="preserve">: Page created.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2026-06-04T02:07:31Z</dcterms:created>
  <dcterms:modified xsi:type="dcterms:W3CDTF">2026-06-04T02:07:31Z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