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3f858b0687652855657b36b74e3c148a785c96"/>
    <w:p>
      <w:pPr>
        <w:pStyle w:val="Heading1"/>
      </w:pPr>
      <w:r>
        <w:t xml:space="preserve">VIFC Cooperation Process — IFC Benchmarking Map</w:t>
      </w:r>
    </w:p>
    <w:p>
      <w:pPr>
        <w:pStyle w:val="FirstParagraph"/>
      </w:pPr>
      <w:r>
        <w:t xml:space="preserve">This page maps VIFC’s cooperation process against other major international financial centres</w:t>
      </w:r>
      <w:r>
        <w:t xml:space="preserve"> </w:t>
      </w:r>
      <w:r>
        <w:t xml:space="preserve">for cross-reference and regulatory improvement purposes.</w:t>
      </w:r>
    </w:p>
    <w:bookmarkStart w:id="9" w:name="high-level-process-comparison"/>
    <w:p>
      <w:pPr>
        <w:pStyle w:val="Heading2"/>
      </w:pPr>
      <w:r>
        <w:t xml:space="preserve">High-Level Process Comparison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VIFC ["🇻🇳 VIFC (Vietnam)"]</w:t>
      </w:r>
      <w:r>
        <w:br/>
      </w:r>
      <w:r>
        <w:rPr>
          <w:rStyle w:val="VerbatimChar"/>
        </w:rPr>
        <w:t xml:space="preserve">        V1[Application</w:t>
      </w:r>
      <w:r>
        <w:br/>
      </w:r>
      <w:r>
        <w:rPr>
          <w:rStyle w:val="VerbatimChar"/>
        </w:rPr>
        <w:t xml:space="preserve">Submission] --&gt; V2[Authority Review</w:t>
      </w:r>
      <w:r>
        <w:br/>
      </w:r>
      <w:r>
        <w:rPr>
          <w:rStyle w:val="VerbatimChar"/>
        </w:rPr>
        <w:t xml:space="preserve">15–60 Days]</w:t>
      </w:r>
      <w:r>
        <w:br/>
      </w:r>
      <w:r>
        <w:rPr>
          <w:rStyle w:val="VerbatimChar"/>
        </w:rPr>
        <w:t xml:space="preserve">        V2 --&gt; V3[License</w:t>
      </w:r>
      <w:r>
        <w:br/>
      </w:r>
      <w:r>
        <w:rPr>
          <w:rStyle w:val="VerbatimChar"/>
        </w:rPr>
        <w:t xml:space="preserve">Issued]</w:t>
      </w:r>
      <w:r>
        <w:br/>
      </w:r>
      <w:r>
        <w:rPr>
          <w:rStyle w:val="VerbatimChar"/>
        </w:rPr>
        <w:t xml:space="preserve">        V3 --&gt; V4[Tax Incentive</w:t>
      </w:r>
      <w:r>
        <w:br/>
      </w:r>
      <w:r>
        <w:rPr>
          <w:rStyle w:val="VerbatimChar"/>
        </w:rPr>
        <w:t xml:space="preserve">Application]</w:t>
      </w:r>
      <w:r>
        <w:br/>
      </w:r>
      <w:r>
        <w:rPr>
          <w:rStyle w:val="VerbatimChar"/>
        </w:rPr>
        <w:t xml:space="preserve">        V4 --&gt; V5[AML/KYC</w:t>
      </w:r>
      <w:r>
        <w:br/>
      </w:r>
      <w:r>
        <w:rPr>
          <w:rStyle w:val="VerbatimChar"/>
        </w:rPr>
        <w:t xml:space="preserve">Setup]</w:t>
      </w:r>
      <w:r>
        <w:br/>
      </w:r>
      <w:r>
        <w:rPr>
          <w:rStyle w:val="VerbatimChar"/>
        </w:rPr>
        <w:t xml:space="preserve">        V5 --&gt; V6[Operational]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SGP ["🇸🇬 MAS (Singapore)"]</w:t>
      </w:r>
      <w:r>
        <w:br/>
      </w:r>
      <w:r>
        <w:rPr>
          <w:rStyle w:val="VerbatimChar"/>
        </w:rPr>
        <w:t xml:space="preserve">        S1[Application</w:t>
      </w:r>
      <w:r>
        <w:br/>
      </w:r>
      <w:r>
        <w:rPr>
          <w:rStyle w:val="VerbatimChar"/>
        </w:rPr>
        <w:t xml:space="preserve">Submission] --&gt; S2[MAS Review</w:t>
      </w:r>
      <w:r>
        <w:br/>
      </w:r>
      <w:r>
        <w:rPr>
          <w:rStyle w:val="VerbatimChar"/>
        </w:rPr>
        <w:t xml:space="preserve">6–12 Months]</w:t>
      </w:r>
      <w:r>
        <w:br/>
      </w:r>
      <w:r>
        <w:rPr>
          <w:rStyle w:val="VerbatimChar"/>
        </w:rPr>
        <w:t xml:space="preserve">        S2 --&gt; S3[License</w:t>
      </w:r>
      <w:r>
        <w:br/>
      </w:r>
      <w:r>
        <w:rPr>
          <w:rStyle w:val="VerbatimChar"/>
        </w:rPr>
        <w:t xml:space="preserve">Issued]</w:t>
      </w:r>
      <w:r>
        <w:br/>
      </w:r>
      <w:r>
        <w:rPr>
          <w:rStyle w:val="VerbatimChar"/>
        </w:rPr>
        <w:t xml:space="preserve">        S3 --&gt; S4[MAS Ongoing</w:t>
      </w:r>
      <w:r>
        <w:br/>
      </w:r>
      <w:r>
        <w:rPr>
          <w:rStyle w:val="VerbatimChar"/>
        </w:rPr>
        <w:t xml:space="preserve">Supervision]</w:t>
      </w:r>
      <w:r>
        <w:br/>
      </w:r>
      <w:r>
        <w:rPr>
          <w:rStyle w:val="VerbatimChar"/>
        </w:rPr>
        <w:t xml:space="preserve">        S4 --&gt; S5[Operational]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HKG ["🇭🇰 SFC (Hong Kong)"]</w:t>
      </w:r>
      <w:r>
        <w:br/>
      </w:r>
      <w:r>
        <w:rPr>
          <w:rStyle w:val="VerbatimChar"/>
        </w:rPr>
        <w:t xml:space="preserve">        H1[Application</w:t>
      </w:r>
      <w:r>
        <w:br/>
      </w:r>
      <w:r>
        <w:rPr>
          <w:rStyle w:val="VerbatimChar"/>
        </w:rPr>
        <w:t xml:space="preserve">Submission] --&gt; H2[SFC Review</w:t>
      </w:r>
      <w:r>
        <w:br/>
      </w:r>
      <w:r>
        <w:rPr>
          <w:rStyle w:val="VerbatimChar"/>
        </w:rPr>
        <w:t xml:space="preserve">3–6 Months]</w:t>
      </w:r>
      <w:r>
        <w:br/>
      </w:r>
      <w:r>
        <w:rPr>
          <w:rStyle w:val="VerbatimChar"/>
        </w:rPr>
        <w:t xml:space="preserve">        H2 --&gt; H3[License</w:t>
      </w:r>
      <w:r>
        <w:br/>
      </w:r>
      <w:r>
        <w:rPr>
          <w:rStyle w:val="VerbatimChar"/>
        </w:rPr>
        <w:t xml:space="preserve">Issued]</w:t>
      </w:r>
      <w:r>
        <w:br/>
      </w:r>
      <w:r>
        <w:rPr>
          <w:rStyle w:val="VerbatimChar"/>
        </w:rPr>
        <w:t xml:space="preserve">        H3 --&gt; H4[Ongoing</w:t>
      </w:r>
      <w:r>
        <w:br/>
      </w:r>
      <w:r>
        <w:rPr>
          <w:rStyle w:val="VerbatimChar"/>
        </w:rPr>
        <w:t xml:space="preserve">Reporting]</w:t>
      </w:r>
      <w:r>
        <w:br/>
      </w:r>
      <w:r>
        <w:rPr>
          <w:rStyle w:val="VerbatimChar"/>
        </w:rPr>
        <w:t xml:space="preserve">        H4 --&gt; H5[Operational]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DIFC ["🇦🇪 DFSA (Dubai)"]</w:t>
      </w:r>
      <w:r>
        <w:br/>
      </w:r>
      <w:r>
        <w:rPr>
          <w:rStyle w:val="VerbatimChar"/>
        </w:rPr>
        <w:t xml:space="preserve">        D1[Application</w:t>
      </w:r>
      <w:r>
        <w:br/>
      </w:r>
      <w:r>
        <w:rPr>
          <w:rStyle w:val="VerbatimChar"/>
        </w:rPr>
        <w:t xml:space="preserve">Submission] --&gt; D2[DFSA Review</w:t>
      </w:r>
      <w:r>
        <w:br/>
      </w:r>
      <w:r>
        <w:rPr>
          <w:rStyle w:val="VerbatimChar"/>
        </w:rPr>
        <w:t xml:space="preserve">2–4 Months]</w:t>
      </w:r>
      <w:r>
        <w:br/>
      </w:r>
      <w:r>
        <w:rPr>
          <w:rStyle w:val="VerbatimChar"/>
        </w:rPr>
        <w:t xml:space="preserve">        D2 --&gt; D3[License</w:t>
      </w:r>
      <w:r>
        <w:br/>
      </w:r>
      <w:r>
        <w:rPr>
          <w:rStyle w:val="VerbatimChar"/>
        </w:rPr>
        <w:t xml:space="preserve">Issued]</w:t>
      </w:r>
      <w:r>
        <w:br/>
      </w:r>
      <w:r>
        <w:rPr>
          <w:rStyle w:val="VerbatimChar"/>
        </w:rPr>
        <w:t xml:space="preserve">        D3 --&gt; D4[Ongoing</w:t>
      </w:r>
      <w:r>
        <w:br/>
      </w:r>
      <w:r>
        <w:rPr>
          <w:rStyle w:val="VerbatimChar"/>
        </w:rPr>
        <w:t xml:space="preserve">Supervision]</w:t>
      </w:r>
      <w:r>
        <w:br/>
      </w:r>
      <w:r>
        <w:rPr>
          <w:rStyle w:val="VerbatimChar"/>
        </w:rPr>
        <w:t xml:space="preserve">        D4 --&gt; D5[Operational]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VIFC fill:#e8f4fd,stroke:#1c2f72</w:t>
      </w:r>
      <w:r>
        <w:br/>
      </w:r>
      <w:r>
        <w:rPr>
          <w:rStyle w:val="VerbatimChar"/>
        </w:rPr>
        <w:t xml:space="preserve">    style SGP fill:#f0fff4,stroke:#276749</w:t>
      </w:r>
      <w:r>
        <w:br/>
      </w:r>
      <w:r>
        <w:rPr>
          <w:rStyle w:val="VerbatimChar"/>
        </w:rPr>
        <w:t xml:space="preserve">    style HKG fill:#fff5f5,stroke:#c53030</w:t>
      </w:r>
      <w:r>
        <w:br/>
      </w:r>
      <w:r>
        <w:rPr>
          <w:rStyle w:val="VerbatimChar"/>
        </w:rPr>
        <w:t xml:space="preserve">    style DIFC fill:#fffff0,stroke:#b7791f</w:t>
      </w:r>
    </w:p>
    <w:bookmarkEnd w:id="9"/>
    <w:bookmarkStart w:id="10" w:name="detailed-benchmarking-table"/>
    <w:p>
      <w:pPr>
        <w:pStyle w:val="Heading2"/>
      </w:pPr>
      <w:r>
        <w:t xml:space="preserve">Detailed Benchmarking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100"/>
        <w:gridCol w:w="1980"/>
        <w:gridCol w:w="19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VIFC 🇻🇳</w:t>
            </w:r>
          </w:p>
        </w:tc>
        <w:tc>
          <w:tcPr/>
          <w:p>
            <w:pPr>
              <w:pStyle w:val="Compact"/>
            </w:pPr>
            <w:r>
              <w:t xml:space="preserve">Singapore MAS 🇸🇬</w:t>
            </w:r>
          </w:p>
        </w:tc>
        <w:tc>
          <w:tcPr/>
          <w:p>
            <w:pPr>
              <w:pStyle w:val="Compact"/>
            </w:pPr>
            <w:r>
              <w:t xml:space="preserve">Hong Kong SFC 🇭🇰</w:t>
            </w:r>
          </w:p>
        </w:tc>
        <w:tc>
          <w:tcPr/>
          <w:p>
            <w:pPr>
              <w:pStyle w:val="Compact"/>
            </w:pPr>
            <w:r>
              <w:t xml:space="preserve">Dubai DIFC 🇦🇪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Period</w:t>
            </w:r>
          </w:p>
        </w:tc>
        <w:tc>
          <w:tcPr/>
          <w:p>
            <w:pPr>
              <w:pStyle w:val="Compact"/>
            </w:pPr>
            <w:r>
              <w:t xml:space="preserve">15–60 days</w:t>
            </w:r>
          </w:p>
        </w:tc>
        <w:tc>
          <w:tcPr/>
          <w:p>
            <w:pPr>
              <w:pStyle w:val="Compact"/>
            </w:pPr>
            <w:r>
              <w:t xml:space="preserve">6–12 months</w:t>
            </w:r>
          </w:p>
        </w:tc>
        <w:tc>
          <w:tcPr/>
          <w:p>
            <w:pPr>
              <w:pStyle w:val="Compact"/>
            </w:pPr>
            <w:r>
              <w:t xml:space="preserve">3–6 months</w:t>
            </w:r>
          </w:p>
        </w:tc>
        <w:tc>
          <w:tcPr/>
          <w:p>
            <w:pPr>
              <w:pStyle w:val="Compact"/>
            </w:pPr>
            <w:r>
              <w:t xml:space="preserve">2–4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Tax Rate</w:t>
            </w:r>
          </w:p>
        </w:tc>
        <w:tc>
          <w:tcPr/>
          <w:p>
            <w:pPr>
              <w:pStyle w:val="Compact"/>
            </w:pPr>
            <w:r>
              <w:t xml:space="preserve">Incentivised (Decree 324)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0% (DIFC zone)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Min. Capital (Bank)</w:t>
            </w:r>
          </w:p>
        </w:tc>
        <w:tc>
          <w:tcPr/>
          <w:p>
            <w:pPr>
              <w:pStyle w:val="Compact"/>
            </w:pPr>
            <w:r>
              <w:t xml:space="preserve">Per Decree 329</w:t>
            </w:r>
          </w:p>
        </w:tc>
        <w:tc>
          <w:tcPr/>
          <w:p>
            <w:pPr>
              <w:pStyle w:val="Compact"/>
            </w:pPr>
            <w:r>
              <w:t xml:space="preserve">SGD 1.5B+</w:t>
            </w:r>
          </w:p>
        </w:tc>
        <w:tc>
          <w:tcPr/>
          <w:p>
            <w:pPr>
              <w:pStyle w:val="Compact"/>
            </w:pPr>
            <w:r>
              <w:t xml:space="preserve">HKD 300M+</w:t>
            </w:r>
          </w:p>
        </w:tc>
        <w:tc>
          <w:tcPr/>
          <w:p>
            <w:pPr>
              <w:pStyle w:val="Compact"/>
            </w:pPr>
            <w:r>
              <w:t xml:space="preserve">USD 10M+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Foreign Ownership</w:t>
            </w:r>
          </w:p>
        </w:tc>
        <w:tc>
          <w:tcPr/>
          <w:p>
            <w:pPr>
              <w:pStyle w:val="Compact"/>
            </w:pPr>
            <w:r>
              <w:t xml:space="preserve">Per decree</w:t>
            </w:r>
          </w:p>
        </w:tc>
        <w:tc>
          <w:tcPr/>
          <w:p>
            <w:pPr>
              <w:pStyle w:val="Compact"/>
            </w:pPr>
            <w:r>
              <w:t xml:space="preserve">100% allowed</w:t>
            </w:r>
          </w:p>
        </w:tc>
        <w:tc>
          <w:tcPr/>
          <w:p>
            <w:pPr>
              <w:pStyle w:val="Compact"/>
            </w:pPr>
            <w:r>
              <w:t xml:space="preserve">100% allowed</w:t>
            </w:r>
          </w:p>
        </w:tc>
        <w:tc>
          <w:tcPr/>
          <w:p>
            <w:pPr>
              <w:pStyle w:val="Compact"/>
            </w:pPr>
            <w:r>
              <w:t xml:space="preserve">100%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</w:pPr>
            <w:r>
              <w:t xml:space="preserve">Vietnamese courts / arbitration</w:t>
            </w:r>
          </w:p>
        </w:tc>
        <w:tc>
          <w:tcPr/>
          <w:p>
            <w:pPr>
              <w:pStyle w:val="Compact"/>
            </w:pPr>
            <w:r>
              <w:t xml:space="preserve">SIAC</w:t>
            </w:r>
          </w:p>
        </w:tc>
        <w:tc>
          <w:tcPr/>
          <w:p>
            <w:pPr>
              <w:pStyle w:val="Compact"/>
            </w:pPr>
            <w:r>
              <w:t xml:space="preserve">HKIAC</w:t>
            </w:r>
          </w:p>
        </w:tc>
        <w:tc>
          <w:tcPr/>
          <w:p>
            <w:pPr>
              <w:pStyle w:val="Compact"/>
            </w:pPr>
            <w:r>
              <w:t xml:space="preserve">DIAC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Sandbox</w:t>
            </w:r>
          </w:p>
        </w:tc>
        <w:tc>
          <w:tcPr/>
          <w:p>
            <w:pPr>
              <w:pStyle w:val="Compact"/>
            </w:pPr>
            <w:r>
              <w:t xml:space="preserve">Available (Decree mechanism)</w:t>
            </w:r>
          </w:p>
        </w:tc>
        <w:tc>
          <w:tcPr/>
          <w:p>
            <w:pPr>
              <w:pStyle w:val="Compact"/>
            </w:pPr>
            <w:r>
              <w:t xml:space="preserve">MAS Fintech Sandbox</w:t>
            </w:r>
          </w:p>
        </w:tc>
        <w:tc>
          <w:tcPr/>
          <w:p>
            <w:pPr>
              <w:pStyle w:val="Compact"/>
            </w:pPr>
            <w:r>
              <w:t xml:space="preserve">HKMA Sandbox</w:t>
            </w:r>
          </w:p>
        </w:tc>
        <w:tc>
          <w:tcPr/>
          <w:p>
            <w:pPr>
              <w:pStyle w:val="Compact"/>
            </w:pPr>
            <w:r>
              <w:t xml:space="preserve">DFSA Innovation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Vietnamese / English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English / Chinese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AML Standard</w:t>
            </w:r>
          </w:p>
        </w:tc>
        <w:tc>
          <w:tcPr/>
          <w:p>
            <w:pPr>
              <w:pStyle w:val="Compact"/>
            </w:pPr>
            <w:r>
              <w:t xml:space="preserve">FATF-aligned</w:t>
            </w:r>
          </w:p>
        </w:tc>
        <w:tc>
          <w:tcPr/>
          <w:p>
            <w:pPr>
              <w:pStyle w:val="Compact"/>
            </w:pPr>
            <w:r>
              <w:t xml:space="preserve">FATF</w:t>
            </w:r>
          </w:p>
        </w:tc>
        <w:tc>
          <w:tcPr/>
          <w:p>
            <w:pPr>
              <w:pStyle w:val="Compact"/>
            </w:pPr>
            <w:r>
              <w:t xml:space="preserve">FATF</w:t>
            </w:r>
          </w:p>
        </w:tc>
        <w:tc>
          <w:tcPr/>
          <w:p>
            <w:pPr>
              <w:pStyle w:val="Compact"/>
            </w:pPr>
            <w:r>
              <w:t xml:space="preserve">FATF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Passporting</w:t>
            </w:r>
          </w:p>
        </w:tc>
        <w:tc>
          <w:tcPr/>
          <w:p>
            <w:pPr>
              <w:pStyle w:val="Compact"/>
            </w:pPr>
            <w:r>
              <w:t xml:space="preserve">ASEAN frameworks</w:t>
            </w:r>
          </w:p>
        </w:tc>
        <w:tc>
          <w:tcPr/>
          <w:p>
            <w:pPr>
              <w:pStyle w:val="Compact"/>
            </w:pPr>
            <w:r>
              <w:t xml:space="preserve">ASEAN / global</w:t>
            </w:r>
          </w:p>
        </w:tc>
        <w:tc>
          <w:tcPr/>
          <w:p>
            <w:pPr>
              <w:pStyle w:val="Compact"/>
            </w:pPr>
            <w:r>
              <w:t xml:space="preserve">ASEAN / global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</w:tbl>
    <w:bookmarkEnd w:id="10"/>
    <w:bookmarkStart w:id="11" w:name="areas-for-vifc-regulatory-improvement"/>
    <w:p>
      <w:pPr>
        <w:pStyle w:val="Heading2"/>
      </w:pPr>
      <w:r>
        <w:t xml:space="preserve">Areas for VIFC Regulatory Improvement</w:t>
      </w:r>
    </w:p>
    <w:p>
      <w:pPr>
        <w:pStyle w:val="FirstParagraph"/>
      </w:pPr>
      <w:r>
        <w:rPr>
          <w:i/>
          <w:iCs/>
        </w:rPr>
        <w:t xml:space="preserve">(To be completed by VIFC team based on benchmarking findings)</w:t>
      </w:r>
    </w:p>
    <w:p>
      <w:pPr>
        <w:pStyle w:val="Compact"/>
        <w:numPr>
          <w:ilvl w:val="0"/>
          <w:numId w:val="1001"/>
        </w:numPr>
      </w:pPr>
      <w:r>
        <w:t xml:space="preserve">Review application timeline vs regional peers</w:t>
      </w:r>
    </w:p>
    <w:p>
      <w:pPr>
        <w:pStyle w:val="Compact"/>
        <w:numPr>
          <w:ilvl w:val="0"/>
          <w:numId w:val="1002"/>
        </w:numPr>
      </w:pPr>
      <w:r>
        <w:t xml:space="preserve">Assess capital requirements competitiveness</w:t>
      </w:r>
    </w:p>
    <w:p>
      <w:pPr>
        <w:pStyle w:val="Compact"/>
        <w:numPr>
          <w:ilvl w:val="0"/>
          <w:numId w:val="1003"/>
        </w:numPr>
      </w:pPr>
      <w:r>
        <w:t xml:space="preserve">Evaluate dispute resolution framework vs SIAC/HKIAC</w:t>
      </w:r>
    </w:p>
    <w:p>
      <w:pPr>
        <w:pStyle w:val="Compact"/>
        <w:numPr>
          <w:ilvl w:val="0"/>
          <w:numId w:val="1004"/>
        </w:numPr>
      </w:pPr>
      <w:r>
        <w:t xml:space="preserve">Consider English-language regulatory documentation</w:t>
      </w:r>
    </w:p>
    <w:p>
      <w:pPr>
        <w:pStyle w:val="Compact"/>
        <w:numPr>
          <w:ilvl w:val="0"/>
          <w:numId w:val="1005"/>
        </w:numPr>
      </w:pPr>
      <w:r>
        <w:t xml:space="preserve">Review sandbox duration and scope vs MAS/HKMA</w:t>
      </w:r>
    </w:p>
    <w:bookmarkEnd w:id="11"/>
    <w:bookmarkStart w:id="12" w:name="related-topics"/>
    <w:p>
      <w:pPr>
        <w:pStyle w:val="Heading2"/>
      </w:pPr>
      <w:r>
        <w:t xml:space="preserve">Related Topics</w:t>
      </w:r>
    </w:p>
    <w:p>
      <w:pPr>
        <w:pStyle w:val="Compact"/>
        <w:numPr>
          <w:ilvl w:val="0"/>
          <w:numId w:val="1006"/>
        </w:numPr>
      </w:pPr>
      <w:r>
        <w:t xml:space="preserve">[[Process Map How Foreign Companies Cooperate With Vifc]]</w:t>
      </w:r>
    </w:p>
    <w:p>
      <w:pPr>
        <w:pStyle w:val="Compact"/>
        <w:numPr>
          <w:ilvl w:val="0"/>
          <w:numId w:val="1006"/>
        </w:numPr>
      </w:pPr>
      <w:r>
        <w:t xml:space="preserve">[[Process Map How Banks Cooperate With Vifc]]</w:t>
      </w:r>
    </w:p>
    <w:p>
      <w:pPr>
        <w:pStyle w:val="Compact"/>
        <w:numPr>
          <w:ilvl w:val="0"/>
          <w:numId w:val="1006"/>
        </w:numPr>
      </w:pPr>
      <w:r>
        <w:t xml:space="preserve">[[Dispute Resolution In The Vietnam International Financial Centre]]</w:t>
      </w:r>
    </w:p>
    <w:p>
      <w:pPr>
        <w:pStyle w:val="Compact"/>
        <w:numPr>
          <w:ilvl w:val="0"/>
          <w:numId w:val="1006"/>
        </w:numPr>
      </w:pPr>
      <w:r>
        <w:t xml:space="preserve">[[Special Legal Mechanisms In The Vietnam International Financial Centre]]</w:t>
      </w:r>
    </w:p>
    <w:p>
      <w:pPr>
        <w:pStyle w:val="Compact"/>
        <w:numPr>
          <w:ilvl w:val="0"/>
          <w:numId w:val="1006"/>
        </w:numPr>
      </w:pPr>
      <w:r>
        <w:t xml:space="preserve">[[Legal Framework Of Tttc]]</w:t>
      </w:r>
    </w:p>
    <w:p>
      <w:pPr>
        <w:pStyle w:val="FirstParagraph"/>
      </w:pPr>
      <w:r>
        <w:rPr>
          <w:i/>
          <w:iCs/>
        </w:rPr>
        <w:t xml:space="preserve">Last updated: 2026-06-03</w:t>
      </w:r>
    </w:p>
    <w:bookmarkEnd w:id="12"/>
    <w:bookmarkStart w:id="13" w:name="update-log"/>
    <w:p>
      <w:pPr>
        <w:pStyle w:val="Heading2"/>
      </w:pPr>
      <w:r>
        <w:t xml:space="preserve">Update Log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2026-06-03</w:t>
      </w:r>
      <w:r>
        <w:t xml:space="preserve">: Page created.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2026-06-04T02:07:32Z</dcterms:created>
  <dcterms:modified xsi:type="dcterms:W3CDTF">2026-06-04T02:07:32Z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