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4B6A" w14:textId="5B25DBD5" w:rsidR="00BA0F9A" w:rsidRDefault="00BA0F9A" w:rsidP="00BA0F9A">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About Yardi Matrix</w:t>
      </w:r>
    </w:p>
    <w:p w14:paraId="32F90251" w14:textId="26786512" w:rsidR="00BA0F9A" w:rsidRDefault="00BA0F9A" w:rsidP="00BA0F9A">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Yardi® Matrix offers the industry’s most comprehensive market intelligence tool for investment professionals, equity investors, lenders and property managers who underwrite and manage investments</w:t>
      </w:r>
      <w:r w:rsidR="009D7EC5">
        <w:rPr>
          <w:rFonts w:ascii="inherit" w:hAnsi="inherit" w:cs="Arial"/>
          <w:color w:val="1A1A1A"/>
        </w:rPr>
        <w:t xml:space="preserve"> </w:t>
      </w:r>
      <w:r w:rsidR="009D7EC5" w:rsidRPr="009D7EC5">
        <w:rPr>
          <w:rFonts w:ascii="inherit" w:hAnsi="inherit" w:cs="Arial"/>
          <w:color w:val="1A1A1A"/>
        </w:rPr>
        <w:t xml:space="preserve">in </w:t>
      </w:r>
      <w:r w:rsidR="009D7EC5" w:rsidRPr="009D7EC5">
        <w:rPr>
          <w:rFonts w:ascii="inherit" w:hAnsi="inherit" w:cs="Arial"/>
          <w:b/>
          <w:bCs/>
          <w:color w:val="1A1A1A"/>
        </w:rPr>
        <w:t>multifamily</w:t>
      </w:r>
      <w:r>
        <w:rPr>
          <w:rFonts w:ascii="inherit" w:hAnsi="inherit" w:cs="Arial"/>
          <w:color w:val="1A1A1A"/>
        </w:rPr>
        <w:t>, </w:t>
      </w:r>
      <w:r w:rsidR="009D7EC5" w:rsidRPr="009D7EC5">
        <w:rPr>
          <w:rFonts w:ascii="inherit" w:hAnsi="inherit" w:cs="Arial"/>
          <w:color w:val="1A1A1A"/>
        </w:rPr>
        <w:t xml:space="preserve">student housing, industrial, office and </w:t>
      </w:r>
      <w:proofErr w:type="spellStart"/>
      <w:r w:rsidR="009D7EC5" w:rsidRPr="009D7EC5">
        <w:rPr>
          <w:rFonts w:ascii="inherit" w:hAnsi="inherit" w:cs="Arial"/>
          <w:color w:val="1A1A1A"/>
        </w:rPr>
        <w:t>self storage</w:t>
      </w:r>
      <w:proofErr w:type="spellEnd"/>
      <w:r>
        <w:rPr>
          <w:rFonts w:ascii="inherit" w:hAnsi="inherit" w:cs="Arial"/>
          <w:color w:val="1A1A1A"/>
        </w:rPr>
        <w:t> property types. We provide nationwide market and institutional research reports that leverage property-level details of multifamily properties. Yardi Matrix also uses data in the Yardi property management system stack to create aggregated and anonymized operating expense, revenue, and operational metric data that improves underwriting analysis and competitive benchmarking.</w:t>
      </w:r>
    </w:p>
    <w:p w14:paraId="15DAAAFB" w14:textId="7203B253"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The Yardi Matrix apartment information service is a high-performance system with the sole function of supporting the commercial apartment industry’s dominant participants. The company's services monitor the 50+ unit apartment universe from the property level to the submarket/market level in a form unique within the commercial apartment information industry.</w:t>
      </w:r>
    </w:p>
    <w:p w14:paraId="12DD20CD" w14:textId="05C01EF1"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sidRPr="00BA0F9A">
        <w:rPr>
          <w:rFonts w:ascii="inherit" w:hAnsi="inherit" w:cs="Arial"/>
          <w:color w:val="1A1A1A"/>
        </w:rPr>
        <w:t xml:space="preserve">The Yardi Matrix product is the apartment information industry’s only </w:t>
      </w:r>
      <w:proofErr w:type="gramStart"/>
      <w:r w:rsidRPr="00BA0F9A">
        <w:rPr>
          <w:rFonts w:ascii="inherit" w:hAnsi="inherit" w:cs="Arial"/>
          <w:color w:val="1A1A1A"/>
        </w:rPr>
        <w:t>fully-bundled</w:t>
      </w:r>
      <w:proofErr w:type="gramEnd"/>
      <w:r w:rsidRPr="00BA0F9A">
        <w:rPr>
          <w:rFonts w:ascii="inherit" w:hAnsi="inherit" w:cs="Arial"/>
          <w:color w:val="1A1A1A"/>
        </w:rPr>
        <w:t xml:space="preserve"> product, providing a full spectrum of reporting on a market's: Apartment inventory status; sale activity; new development, and; rental market conditions. New development, and investor activity are illustrated at the submarket, or market, levels, continuously updated on-the-fly.</w:t>
      </w:r>
    </w:p>
    <w:p w14:paraId="35FF1521" w14:textId="10767DD3" w:rsidR="00D46297" w:rsidRPr="00D46297" w:rsidRDefault="00D46297" w:rsidP="00D46297">
      <w:pPr>
        <w:shd w:val="clear" w:color="auto" w:fill="FFFFFF"/>
        <w:spacing w:after="0" w:line="288" w:lineRule="atLeast"/>
        <w:jc w:val="center"/>
        <w:textAlignment w:val="baseline"/>
        <w:outlineLvl w:val="0"/>
        <w:rPr>
          <w:rFonts w:ascii="Arial" w:eastAsia="Times New Roman" w:hAnsi="Arial" w:cs="Arial"/>
          <w:color w:val="545454"/>
          <w:spacing w:val="-7"/>
          <w:kern w:val="36"/>
          <w:sz w:val="65"/>
          <w:szCs w:val="65"/>
        </w:rPr>
      </w:pPr>
      <w:r w:rsidRPr="00D46297">
        <w:rPr>
          <w:rFonts w:ascii="Arial" w:eastAsia="Times New Roman" w:hAnsi="Arial" w:cs="Arial"/>
          <w:color w:val="545454"/>
          <w:spacing w:val="-7"/>
          <w:kern w:val="36"/>
          <w:sz w:val="65"/>
          <w:szCs w:val="65"/>
          <w:bdr w:val="none" w:sz="0" w:space="0" w:color="auto" w:frame="1"/>
        </w:rPr>
        <w:t>Apartment Terminology</w:t>
      </w:r>
    </w:p>
    <w:p w14:paraId="15DA723A"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Actual Rent</w:t>
      </w:r>
      <w:r w:rsidRPr="00D46297">
        <w:rPr>
          <w:rFonts w:ascii="inherit" w:eastAsia="Times New Roman" w:hAnsi="inherit" w:cs="Arial"/>
          <w:color w:val="1A1A1A"/>
          <w:sz w:val="24"/>
          <w:szCs w:val="24"/>
        </w:rPr>
        <w:t> - Actual Rent is the monthly rate charged residents to occupy an apartment. The amount illustrated is as-is, without additional qualification.</w:t>
      </w:r>
    </w:p>
    <w:p w14:paraId="785CC95F"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Market Standard Rent</w:t>
      </w:r>
      <w:r w:rsidRPr="00D46297">
        <w:rPr>
          <w:rFonts w:ascii="inherit" w:eastAsia="Times New Roman" w:hAnsi="inherit" w:cs="Arial"/>
          <w:color w:val="1A1A1A"/>
          <w:sz w:val="24"/>
          <w:szCs w:val="24"/>
        </w:rPr>
        <w:t> - The Market Standard Rent is an apples-to-apples, converted rent. Conversion reflects the effect of differences in certain outside-the-norm functional attributes, holding reasonably quantifiable value. Inclusion of a functional attribute results in deduction from, or addition to, Actual Rents to arrive at the Market Standard Rent.</w:t>
      </w:r>
    </w:p>
    <w:p w14:paraId="1AA64B75"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Alcove One Bedroom Apartment</w:t>
      </w:r>
      <w:r w:rsidRPr="00D46297">
        <w:rPr>
          <w:rFonts w:ascii="inherit" w:eastAsia="Times New Roman" w:hAnsi="inherit" w:cs="Arial"/>
          <w:color w:val="1A1A1A"/>
          <w:sz w:val="24"/>
          <w:szCs w:val="24"/>
        </w:rPr>
        <w:t xml:space="preserve"> - The alcove one bedroom (also, bachelor one bedroom/mini one bedroom) apartment is a hybrid floorplan, a compromise between a studio apartment and a </w:t>
      </w:r>
      <w:proofErr w:type="gramStart"/>
      <w:r w:rsidRPr="00D46297">
        <w:rPr>
          <w:rFonts w:ascii="inherit" w:eastAsia="Times New Roman" w:hAnsi="inherit" w:cs="Arial"/>
          <w:color w:val="1A1A1A"/>
          <w:sz w:val="24"/>
          <w:szCs w:val="24"/>
        </w:rPr>
        <w:t>one bedroom</w:t>
      </w:r>
      <w:proofErr w:type="gramEnd"/>
      <w:r w:rsidRPr="00D46297">
        <w:rPr>
          <w:rFonts w:ascii="inherit" w:eastAsia="Times New Roman" w:hAnsi="inherit" w:cs="Arial"/>
          <w:color w:val="1A1A1A"/>
          <w:sz w:val="24"/>
          <w:szCs w:val="24"/>
        </w:rPr>
        <w:t xml:space="preserve"> apartment. The alcove one bedroom apartment is distinguished from a studio apartment by incorporation of a defined sleeping </w:t>
      </w:r>
      <w:proofErr w:type="gramStart"/>
      <w:r w:rsidRPr="00D46297">
        <w:rPr>
          <w:rFonts w:ascii="inherit" w:eastAsia="Times New Roman" w:hAnsi="inherit" w:cs="Arial"/>
          <w:color w:val="1A1A1A"/>
          <w:sz w:val="24"/>
          <w:szCs w:val="24"/>
        </w:rPr>
        <w:t>area, and</w:t>
      </w:r>
      <w:proofErr w:type="gramEnd"/>
      <w:r w:rsidRPr="00D46297">
        <w:rPr>
          <w:rFonts w:ascii="inherit" w:eastAsia="Times New Roman" w:hAnsi="inherit" w:cs="Arial"/>
          <w:color w:val="1A1A1A"/>
          <w:sz w:val="24"/>
          <w:szCs w:val="24"/>
        </w:rPr>
        <w:t xml:space="preserve"> is distinguished from a one bedroom apartment in that the sleeping area is not separated by a wall and doorway from the living area. </w:t>
      </w:r>
      <w:proofErr w:type="gramStart"/>
      <w:r w:rsidRPr="00D46297">
        <w:rPr>
          <w:rFonts w:ascii="inherit" w:eastAsia="Times New Roman" w:hAnsi="inherit" w:cs="Arial"/>
          <w:color w:val="1A1A1A"/>
          <w:sz w:val="24"/>
          <w:szCs w:val="24"/>
        </w:rPr>
        <w:t>Typically</w:t>
      </w:r>
      <w:proofErr w:type="gramEnd"/>
      <w:r w:rsidRPr="00D46297">
        <w:rPr>
          <w:rFonts w:ascii="inherit" w:eastAsia="Times New Roman" w:hAnsi="inherit" w:cs="Arial"/>
          <w:color w:val="1A1A1A"/>
          <w:sz w:val="24"/>
          <w:szCs w:val="24"/>
        </w:rPr>
        <w:t xml:space="preserve"> the alcove one bedroom apartment is smaller in size than a small one bedroom apartment.</w:t>
      </w:r>
    </w:p>
    <w:p w14:paraId="78A98A69"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Competitive Cluster</w:t>
      </w:r>
      <w:r w:rsidRPr="00D46297">
        <w:rPr>
          <w:rFonts w:ascii="inherit" w:eastAsia="Times New Roman" w:hAnsi="inherit" w:cs="Arial"/>
          <w:color w:val="1A1A1A"/>
          <w:sz w:val="24"/>
          <w:szCs w:val="24"/>
        </w:rPr>
        <w:t> - A Competitive Cluster is a grouping of properties most like a subject property; determined to be most likely to exert competitive impact on a subject property contained within a defined geographic area surrounding the subject property. A typical Competitive Cluster includes properties contained within a three-mile radius of the subject property.</w:t>
      </w:r>
    </w:p>
    <w:p w14:paraId="1B2FE638"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Context®</w:t>
      </w:r>
      <w:r w:rsidRPr="00D46297">
        <w:rPr>
          <w:rFonts w:ascii="inherit" w:eastAsia="Times New Roman" w:hAnsi="inherit" w:cs="Arial"/>
          <w:color w:val="1A1A1A"/>
          <w:sz w:val="24"/>
          <w:szCs w:val="24"/>
        </w:rPr>
        <w:t> - Yardi Matrix’s Patented (Patent numbers 7,974,930 and 8,060,450) Context® function is based on a statistical scoring model, placing relative values on real estate improvements, and locations. A series of variables, rated according to inclusion, and degree of desirability, are considered, then weighted according to relative importance. The result provides a graded index which then is placed in perspective within a curved scale defining the individual property's position in relation to total market inventory.</w:t>
      </w:r>
    </w:p>
    <w:p w14:paraId="179FA06D"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lastRenderedPageBreak/>
        <w:t>Efficiency Apartment Unit</w:t>
      </w:r>
      <w:r w:rsidRPr="00D46297">
        <w:rPr>
          <w:rFonts w:ascii="inherit" w:eastAsia="Times New Roman" w:hAnsi="inherit" w:cs="Arial"/>
          <w:color w:val="1A1A1A"/>
          <w:sz w:val="24"/>
          <w:szCs w:val="24"/>
        </w:rPr>
        <w:t xml:space="preserve"> - An efficiency floorplan includes a combined sleeping/living area, and separate bath. The efficiency apartment is similar in format to a studio floorplan, but smaller in size, and rather than including a full kitchen, an element </w:t>
      </w:r>
      <w:proofErr w:type="gramStart"/>
      <w:r w:rsidRPr="00D46297">
        <w:rPr>
          <w:rFonts w:ascii="inherit" w:eastAsia="Times New Roman" w:hAnsi="inherit" w:cs="Arial"/>
          <w:color w:val="1A1A1A"/>
          <w:sz w:val="24"/>
          <w:szCs w:val="24"/>
        </w:rPr>
        <w:t>present</w:t>
      </w:r>
      <w:proofErr w:type="gramEnd"/>
      <w:r w:rsidRPr="00D46297">
        <w:rPr>
          <w:rFonts w:ascii="inherit" w:eastAsia="Times New Roman" w:hAnsi="inherit" w:cs="Arial"/>
          <w:color w:val="1A1A1A"/>
          <w:sz w:val="24"/>
          <w:szCs w:val="24"/>
        </w:rPr>
        <w:t xml:space="preserve"> in a studio floorplan, the efficiency apartment incorporates limited kitchen facilities, generally incorporating an under-the-counter refrigerator, hotplate, and microwave oven, grouped adjacent to bath facilities.</w:t>
      </w:r>
    </w:p>
    <w:p w14:paraId="61DA4445"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Loft One Bedroom Apartment</w:t>
      </w:r>
      <w:r w:rsidRPr="00D46297">
        <w:rPr>
          <w:rFonts w:ascii="inherit" w:eastAsia="Times New Roman" w:hAnsi="inherit" w:cs="Arial"/>
          <w:color w:val="1A1A1A"/>
          <w:sz w:val="24"/>
          <w:szCs w:val="24"/>
        </w:rPr>
        <w:t xml:space="preserve"> - A loft one bedroom apartment "footprint" typically appears as a </w:t>
      </w:r>
      <w:proofErr w:type="gramStart"/>
      <w:r w:rsidRPr="00D46297">
        <w:rPr>
          <w:rFonts w:ascii="inherit" w:eastAsia="Times New Roman" w:hAnsi="inherit" w:cs="Arial"/>
          <w:color w:val="1A1A1A"/>
          <w:sz w:val="24"/>
          <w:szCs w:val="24"/>
        </w:rPr>
        <w:t>one bedroom</w:t>
      </w:r>
      <w:proofErr w:type="gramEnd"/>
      <w:r w:rsidRPr="00D46297">
        <w:rPr>
          <w:rFonts w:ascii="inherit" w:eastAsia="Times New Roman" w:hAnsi="inherit" w:cs="Arial"/>
          <w:color w:val="1A1A1A"/>
          <w:sz w:val="24"/>
          <w:szCs w:val="24"/>
        </w:rPr>
        <w:t xml:space="preserve"> apartment, but the unit also incorporates a galleria (the loft) above the bedroom, overlooking the living area.</w:t>
      </w:r>
    </w:p>
    <w:p w14:paraId="0D7A00A2"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Loft Studio Apartment</w:t>
      </w:r>
      <w:r w:rsidRPr="00D46297">
        <w:rPr>
          <w:rFonts w:ascii="inherit" w:eastAsia="Times New Roman" w:hAnsi="inherit" w:cs="Arial"/>
          <w:color w:val="1A1A1A"/>
          <w:sz w:val="24"/>
          <w:szCs w:val="24"/>
        </w:rPr>
        <w:t xml:space="preserve"> - The loft studio apartment, consistent with a traditional studio unit format, provides a single living space - without a defined bedroom area. The loft studio floorplan is distinguished from a conventional studio unit by large space - more likely to be comparable in size with a </w:t>
      </w:r>
      <w:proofErr w:type="gramStart"/>
      <w:r w:rsidRPr="00D46297">
        <w:rPr>
          <w:rFonts w:ascii="inherit" w:eastAsia="Times New Roman" w:hAnsi="inherit" w:cs="Arial"/>
          <w:color w:val="1A1A1A"/>
          <w:sz w:val="24"/>
          <w:szCs w:val="24"/>
        </w:rPr>
        <w:t>two bedroom</w:t>
      </w:r>
      <w:proofErr w:type="gramEnd"/>
      <w:r w:rsidRPr="00D46297">
        <w:rPr>
          <w:rFonts w:ascii="inherit" w:eastAsia="Times New Roman" w:hAnsi="inherit" w:cs="Arial"/>
          <w:color w:val="1A1A1A"/>
          <w:sz w:val="24"/>
          <w:szCs w:val="24"/>
        </w:rPr>
        <w:t xml:space="preserve"> apartment - and typically incorporating above-standard ceiling height.</w:t>
      </w:r>
    </w:p>
    <w:p w14:paraId="1C76FA1B"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Competitive Market</w:t>
      </w:r>
      <w:r w:rsidRPr="00D46297">
        <w:rPr>
          <w:rFonts w:ascii="inherit" w:eastAsia="Times New Roman" w:hAnsi="inherit" w:cs="Arial"/>
          <w:color w:val="1A1A1A"/>
          <w:sz w:val="24"/>
          <w:szCs w:val="24"/>
        </w:rPr>
        <w:t> - A competitive market can be defined as any one of a metropolitan area's submarkets, or an area within a one, to a five, mile radius.</w:t>
      </w:r>
    </w:p>
    <w:p w14:paraId="1B659A94"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Standard Apartment Unit</w:t>
      </w:r>
      <w:r w:rsidRPr="00D46297">
        <w:rPr>
          <w:rFonts w:ascii="inherit" w:eastAsia="Times New Roman" w:hAnsi="inherit" w:cs="Arial"/>
          <w:color w:val="1A1A1A"/>
          <w:sz w:val="24"/>
          <w:szCs w:val="24"/>
        </w:rPr>
        <w:t xml:space="preserve"> - Six apartment unit types compose </w:t>
      </w:r>
      <w:proofErr w:type="gramStart"/>
      <w:r w:rsidRPr="00D46297">
        <w:rPr>
          <w:rFonts w:ascii="inherit" w:eastAsia="Times New Roman" w:hAnsi="inherit" w:cs="Arial"/>
          <w:color w:val="1A1A1A"/>
          <w:sz w:val="24"/>
          <w:szCs w:val="24"/>
        </w:rPr>
        <w:t>the majority of</w:t>
      </w:r>
      <w:proofErr w:type="gramEnd"/>
      <w:r w:rsidRPr="00D46297">
        <w:rPr>
          <w:rFonts w:ascii="inherit" w:eastAsia="Times New Roman" w:hAnsi="inherit" w:cs="Arial"/>
          <w:color w:val="1A1A1A"/>
          <w:sz w:val="24"/>
          <w:szCs w:val="24"/>
        </w:rPr>
        <w:t xml:space="preserve"> total metropolitan area apartment units. These standard units </w:t>
      </w:r>
      <w:proofErr w:type="gramStart"/>
      <w:r w:rsidRPr="00D46297">
        <w:rPr>
          <w:rFonts w:ascii="inherit" w:eastAsia="Times New Roman" w:hAnsi="inherit" w:cs="Arial"/>
          <w:color w:val="1A1A1A"/>
          <w:sz w:val="24"/>
          <w:szCs w:val="24"/>
        </w:rPr>
        <w:t>include:</w:t>
      </w:r>
      <w:proofErr w:type="gramEnd"/>
      <w:r w:rsidRPr="00D46297">
        <w:rPr>
          <w:rFonts w:ascii="inherit" w:eastAsia="Times New Roman" w:hAnsi="inherit" w:cs="Arial"/>
          <w:color w:val="1A1A1A"/>
          <w:sz w:val="24"/>
          <w:szCs w:val="24"/>
        </w:rPr>
        <w:t xml:space="preserve"> efficiency, studio, one bedroom, two bedroom/one bath, two bedroom/two bath, and three bedroom/two bath floorplans.</w:t>
      </w:r>
    </w:p>
    <w:p w14:paraId="23E7DF28"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Non-Standard Unit</w:t>
      </w:r>
      <w:r w:rsidRPr="00D46297">
        <w:rPr>
          <w:rFonts w:ascii="inherit" w:eastAsia="Times New Roman" w:hAnsi="inherit" w:cs="Arial"/>
          <w:color w:val="1A1A1A"/>
          <w:sz w:val="24"/>
          <w:szCs w:val="24"/>
        </w:rPr>
        <w:t> - Any apartment not defined as one of six standard types. Non-standard units incorporate a broad array of types, but collectively compose a limited (less than 10.0% of total inventory) share of metropolitan area apartments.</w:t>
      </w:r>
    </w:p>
    <w:p w14:paraId="1168CEA3"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Power Index</w:t>
      </w:r>
      <w:r w:rsidRPr="00D46297">
        <w:rPr>
          <w:rFonts w:ascii="inherit" w:eastAsia="Times New Roman" w:hAnsi="inherit" w:cs="Arial"/>
          <w:color w:val="1A1A1A"/>
          <w:sz w:val="24"/>
          <w:szCs w:val="24"/>
        </w:rPr>
        <w:t> - The Power Index compares one submarket's relative rental rate strength with other submarkets. The Power Index is calculated by selecting a floorplan, then dividing that floorplan's average submarket rent by the metropolitan area average rent in the same floorplan.</w:t>
      </w:r>
    </w:p>
    <w:p w14:paraId="7CCBF32A" w14:textId="77777777" w:rsidR="00D46297" w:rsidRPr="00D46297" w:rsidRDefault="00D46297" w:rsidP="00D46297">
      <w:pPr>
        <w:shd w:val="clear" w:color="auto" w:fill="FFFFFF"/>
        <w:spacing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Property Type</w:t>
      </w:r>
      <w:r w:rsidRPr="00D46297">
        <w:rPr>
          <w:rFonts w:ascii="inherit" w:eastAsia="Times New Roman" w:hAnsi="inherit" w:cs="Arial"/>
          <w:color w:val="1A1A1A"/>
          <w:sz w:val="24"/>
          <w:szCs w:val="24"/>
        </w:rPr>
        <w:t> - Yardi Matrix defines “Property Type” by improvements rating, based on the Yardi Matrix Context® rating system. Property types are further defined by assumed position against the rental market as:</w:t>
      </w:r>
    </w:p>
    <w:tbl>
      <w:tblPr>
        <w:tblW w:w="7500" w:type="dxa"/>
        <w:tblCellMar>
          <w:top w:w="60" w:type="dxa"/>
          <w:left w:w="60" w:type="dxa"/>
          <w:bottom w:w="60" w:type="dxa"/>
          <w:right w:w="60" w:type="dxa"/>
        </w:tblCellMar>
        <w:tblLook w:val="04A0" w:firstRow="1" w:lastRow="0" w:firstColumn="1" w:lastColumn="0" w:noHBand="0" w:noVBand="1"/>
      </w:tblPr>
      <w:tblGrid>
        <w:gridCol w:w="2400"/>
        <w:gridCol w:w="2700"/>
        <w:gridCol w:w="2400"/>
      </w:tblGrid>
      <w:tr w:rsidR="00D46297" w:rsidRPr="00D46297" w14:paraId="1078CBC1" w14:textId="77777777" w:rsidTr="00D46297">
        <w:trPr>
          <w:tblHeader/>
        </w:trPr>
        <w:tc>
          <w:tcPr>
            <w:tcW w:w="2400" w:type="dxa"/>
            <w:tcBorders>
              <w:bottom w:val="single" w:sz="6" w:space="0" w:color="C7C7C7"/>
            </w:tcBorders>
            <w:shd w:val="clear" w:color="auto" w:fill="auto"/>
            <w:vAlign w:val="bottom"/>
            <w:hideMark/>
          </w:tcPr>
          <w:p w14:paraId="373C9C0D"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inherit" w:eastAsia="Times New Roman" w:hAnsi="inherit" w:cs="Times New Roman"/>
                <w:b/>
                <w:bCs/>
                <w:sz w:val="24"/>
                <w:szCs w:val="24"/>
                <w:bdr w:val="none" w:sz="0" w:space="0" w:color="auto" w:frame="1"/>
              </w:rPr>
              <w:t>Household Type</w:t>
            </w:r>
          </w:p>
        </w:tc>
        <w:tc>
          <w:tcPr>
            <w:tcW w:w="0" w:type="auto"/>
            <w:tcBorders>
              <w:bottom w:val="single" w:sz="6" w:space="0" w:color="C7C7C7"/>
            </w:tcBorders>
            <w:shd w:val="clear" w:color="auto" w:fill="auto"/>
            <w:vAlign w:val="bottom"/>
            <w:hideMark/>
          </w:tcPr>
          <w:p w14:paraId="2B3B7A10"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inherit" w:eastAsia="Times New Roman" w:hAnsi="inherit" w:cs="Times New Roman"/>
                <w:b/>
                <w:bCs/>
                <w:sz w:val="24"/>
                <w:szCs w:val="24"/>
                <w:bdr w:val="none" w:sz="0" w:space="0" w:color="auto" w:frame="1"/>
              </w:rPr>
              <w:t>Definition</w:t>
            </w:r>
          </w:p>
        </w:tc>
        <w:tc>
          <w:tcPr>
            <w:tcW w:w="2400" w:type="dxa"/>
            <w:tcBorders>
              <w:bottom w:val="single" w:sz="6" w:space="0" w:color="C7C7C7"/>
            </w:tcBorders>
            <w:shd w:val="clear" w:color="auto" w:fill="auto"/>
            <w:vAlign w:val="bottom"/>
            <w:hideMark/>
          </w:tcPr>
          <w:p w14:paraId="23C67B66"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inherit" w:eastAsia="Times New Roman" w:hAnsi="inherit" w:cs="Times New Roman"/>
                <w:b/>
                <w:bCs/>
                <w:sz w:val="24"/>
                <w:szCs w:val="24"/>
                <w:bdr w:val="none" w:sz="0" w:space="0" w:color="auto" w:frame="1"/>
              </w:rPr>
              <w:t>Included</w:t>
            </w:r>
            <w:r w:rsidRPr="00D46297">
              <w:rPr>
                <w:rFonts w:ascii="inherit" w:eastAsia="Times New Roman" w:hAnsi="inherit" w:cs="Times New Roman"/>
                <w:b/>
                <w:bCs/>
                <w:sz w:val="24"/>
                <w:szCs w:val="24"/>
                <w:bdr w:val="none" w:sz="0" w:space="0" w:color="auto" w:frame="1"/>
              </w:rPr>
              <w:br/>
              <w:t>Improvement Ratings</w:t>
            </w:r>
          </w:p>
        </w:tc>
      </w:tr>
      <w:tr w:rsidR="00D46297" w:rsidRPr="00D46297" w14:paraId="3705D166" w14:textId="77777777" w:rsidTr="00D46297">
        <w:tc>
          <w:tcPr>
            <w:tcW w:w="0" w:type="auto"/>
            <w:shd w:val="clear" w:color="auto" w:fill="auto"/>
            <w:hideMark/>
          </w:tcPr>
          <w:p w14:paraId="052D5A79"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Discretionary</w:t>
            </w:r>
          </w:p>
        </w:tc>
        <w:tc>
          <w:tcPr>
            <w:tcW w:w="0" w:type="auto"/>
            <w:shd w:val="clear" w:color="auto" w:fill="auto"/>
            <w:vAlign w:val="center"/>
            <w:hideMark/>
          </w:tcPr>
          <w:p w14:paraId="37F47FA4"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"Lifestyle renters"; renters with wealth and income sufficient to own, but who choose to rent. </w:t>
            </w:r>
          </w:p>
        </w:tc>
        <w:tc>
          <w:tcPr>
            <w:tcW w:w="0" w:type="auto"/>
            <w:shd w:val="clear" w:color="auto" w:fill="auto"/>
            <w:hideMark/>
          </w:tcPr>
          <w:p w14:paraId="39D18C72"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A+/A </w:t>
            </w:r>
          </w:p>
        </w:tc>
      </w:tr>
      <w:tr w:rsidR="00D46297" w:rsidRPr="00D46297" w14:paraId="20FE41E5" w14:textId="77777777" w:rsidTr="00D46297">
        <w:tc>
          <w:tcPr>
            <w:tcW w:w="0" w:type="auto"/>
            <w:shd w:val="clear" w:color="auto" w:fill="auto"/>
            <w:hideMark/>
          </w:tcPr>
          <w:p w14:paraId="753F03AD"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High Mid-Range</w:t>
            </w:r>
          </w:p>
        </w:tc>
        <w:tc>
          <w:tcPr>
            <w:tcW w:w="0" w:type="auto"/>
            <w:shd w:val="clear" w:color="auto" w:fill="auto"/>
            <w:vAlign w:val="center"/>
            <w:hideMark/>
          </w:tcPr>
          <w:p w14:paraId="0D7D0AF2"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Double-Income-No-Kids (DINK) households; young professionals with limited wealth, but high income.</w:t>
            </w:r>
          </w:p>
        </w:tc>
        <w:tc>
          <w:tcPr>
            <w:tcW w:w="0" w:type="auto"/>
            <w:shd w:val="clear" w:color="auto" w:fill="auto"/>
            <w:hideMark/>
          </w:tcPr>
          <w:p w14:paraId="1119AC93"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A-/B+</w:t>
            </w:r>
          </w:p>
        </w:tc>
      </w:tr>
      <w:tr w:rsidR="00D46297" w:rsidRPr="00D46297" w14:paraId="0AEF4EA3" w14:textId="77777777" w:rsidTr="00D46297">
        <w:tc>
          <w:tcPr>
            <w:tcW w:w="0" w:type="auto"/>
            <w:shd w:val="clear" w:color="auto" w:fill="auto"/>
            <w:hideMark/>
          </w:tcPr>
          <w:p w14:paraId="5532B466"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Low Mid-Range</w:t>
            </w:r>
          </w:p>
        </w:tc>
        <w:tc>
          <w:tcPr>
            <w:tcW w:w="0" w:type="auto"/>
            <w:shd w:val="clear" w:color="auto" w:fill="auto"/>
            <w:vAlign w:val="center"/>
            <w:hideMark/>
          </w:tcPr>
          <w:p w14:paraId="153F8E77"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"Gray Collar" households: Teachers; technical workers; Policemen, firemen...</w:t>
            </w:r>
          </w:p>
        </w:tc>
        <w:tc>
          <w:tcPr>
            <w:tcW w:w="0" w:type="auto"/>
            <w:shd w:val="clear" w:color="auto" w:fill="auto"/>
            <w:hideMark/>
          </w:tcPr>
          <w:p w14:paraId="424923CD"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B/B-</w:t>
            </w:r>
          </w:p>
        </w:tc>
      </w:tr>
      <w:tr w:rsidR="00D46297" w:rsidRPr="00D46297" w14:paraId="7CCA1448" w14:textId="77777777" w:rsidTr="00D46297">
        <w:tc>
          <w:tcPr>
            <w:tcW w:w="0" w:type="auto"/>
            <w:shd w:val="clear" w:color="auto" w:fill="auto"/>
            <w:hideMark/>
          </w:tcPr>
          <w:p w14:paraId="19A86A8E" w14:textId="77777777" w:rsidR="00D46297" w:rsidRPr="00D46297" w:rsidRDefault="00D46297" w:rsidP="00D46297">
            <w:pPr>
              <w:spacing w:after="0" w:line="240" w:lineRule="auto"/>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Workforce</w:t>
            </w:r>
          </w:p>
        </w:tc>
        <w:tc>
          <w:tcPr>
            <w:tcW w:w="0" w:type="auto"/>
            <w:shd w:val="clear" w:color="auto" w:fill="auto"/>
            <w:vAlign w:val="center"/>
            <w:hideMark/>
          </w:tcPr>
          <w:p w14:paraId="6D0C8AEC" w14:textId="77777777" w:rsidR="00D46297" w:rsidRPr="00D46297" w:rsidRDefault="00D46297" w:rsidP="00D46297">
            <w:pPr>
              <w:spacing w:after="0" w:line="240" w:lineRule="auto"/>
              <w:rPr>
                <w:rFonts w:ascii="Times New Roman" w:eastAsia="Times New Roman" w:hAnsi="Times New Roman" w:cs="Times New Roman"/>
                <w:sz w:val="24"/>
                <w:szCs w:val="24"/>
              </w:rPr>
            </w:pPr>
            <w:proofErr w:type="gramStart"/>
            <w:r w:rsidRPr="00D46297">
              <w:rPr>
                <w:rFonts w:ascii="Times New Roman" w:eastAsia="Times New Roman" w:hAnsi="Times New Roman" w:cs="Times New Roman"/>
                <w:sz w:val="24"/>
                <w:szCs w:val="24"/>
              </w:rPr>
              <w:t>Typically</w:t>
            </w:r>
            <w:proofErr w:type="gramEnd"/>
            <w:r w:rsidRPr="00D46297">
              <w:rPr>
                <w:rFonts w:ascii="Times New Roman" w:eastAsia="Times New Roman" w:hAnsi="Times New Roman" w:cs="Times New Roman"/>
                <w:sz w:val="24"/>
                <w:szCs w:val="24"/>
              </w:rPr>
              <w:t xml:space="preserve"> blue-collar household </w:t>
            </w:r>
          </w:p>
        </w:tc>
        <w:tc>
          <w:tcPr>
            <w:tcW w:w="0" w:type="auto"/>
            <w:shd w:val="clear" w:color="auto" w:fill="auto"/>
            <w:hideMark/>
          </w:tcPr>
          <w:p w14:paraId="153A6890" w14:textId="77777777" w:rsidR="00D46297" w:rsidRPr="00D46297" w:rsidRDefault="00D46297" w:rsidP="00D46297">
            <w:pPr>
              <w:spacing w:after="0" w:line="240" w:lineRule="auto"/>
              <w:jc w:val="center"/>
              <w:rPr>
                <w:rFonts w:ascii="Times New Roman" w:eastAsia="Times New Roman" w:hAnsi="Times New Roman" w:cs="Times New Roman"/>
                <w:sz w:val="24"/>
                <w:szCs w:val="24"/>
              </w:rPr>
            </w:pPr>
            <w:r w:rsidRPr="00D46297">
              <w:rPr>
                <w:rFonts w:ascii="Times New Roman" w:eastAsia="Times New Roman" w:hAnsi="Times New Roman" w:cs="Times New Roman"/>
                <w:sz w:val="24"/>
                <w:szCs w:val="24"/>
              </w:rPr>
              <w:t>C+/C/C-/D</w:t>
            </w:r>
          </w:p>
        </w:tc>
      </w:tr>
    </w:tbl>
    <w:p w14:paraId="6F79024B"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Affordable Properties</w:t>
      </w:r>
      <w:r w:rsidRPr="00D46297">
        <w:rPr>
          <w:rFonts w:ascii="inherit" w:eastAsia="Times New Roman" w:hAnsi="inherit" w:cs="Arial"/>
          <w:color w:val="1A1A1A"/>
          <w:sz w:val="24"/>
          <w:szCs w:val="24"/>
        </w:rPr>
        <w:t xml:space="preserve"> - Affordable properties have two conditions in common: Some form of government subsidy attached to property tax advantages, or favorable financing, </w:t>
      </w:r>
      <w:proofErr w:type="gramStart"/>
      <w:r w:rsidRPr="00D46297">
        <w:rPr>
          <w:rFonts w:ascii="inherit" w:eastAsia="Times New Roman" w:hAnsi="inherit" w:cs="Arial"/>
          <w:color w:val="1A1A1A"/>
          <w:sz w:val="24"/>
          <w:szCs w:val="24"/>
        </w:rPr>
        <w:t>and;</w:t>
      </w:r>
      <w:proofErr w:type="gramEnd"/>
      <w:r w:rsidRPr="00D46297">
        <w:rPr>
          <w:rFonts w:ascii="inherit" w:eastAsia="Times New Roman" w:hAnsi="inherit" w:cs="Arial"/>
          <w:color w:val="1A1A1A"/>
          <w:sz w:val="24"/>
          <w:szCs w:val="24"/>
        </w:rPr>
        <w:t xml:space="preserve"> households must meet certain income </w:t>
      </w:r>
      <w:r w:rsidRPr="00D46297">
        <w:rPr>
          <w:rFonts w:ascii="inherit" w:eastAsia="Times New Roman" w:hAnsi="inherit" w:cs="Arial"/>
          <w:color w:val="1A1A1A"/>
          <w:sz w:val="24"/>
          <w:szCs w:val="24"/>
        </w:rPr>
        <w:lastRenderedPageBreak/>
        <w:t>standards below the area median household income. The term Affordable, as it applies to apartment communities, imposes the restriction that households of low-income status (below the median metropolitan area household income) must occupy all, or a part, of a property. The household income determining a resident's eligibility for meeting low-income definitions varies by household size, and from property-to-property. Property-to-property variances reflect guideline variances imposed from program-to-program, or within the same program based on timing of when affordable tax incentives were authorized.</w:t>
      </w:r>
    </w:p>
    <w:p w14:paraId="1059E611" w14:textId="77777777" w:rsidR="00D46297" w:rsidRPr="00D46297" w:rsidRDefault="00D46297" w:rsidP="00D46297">
      <w:pPr>
        <w:shd w:val="clear" w:color="auto" w:fill="FFFFFF"/>
        <w:spacing w:after="150" w:line="360" w:lineRule="atLeast"/>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An Affordable property can be either of two types:</w:t>
      </w:r>
    </w:p>
    <w:p w14:paraId="63DBE687"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Rent-Capped</w:t>
      </w:r>
      <w:r w:rsidRPr="00D46297">
        <w:rPr>
          <w:rFonts w:ascii="inherit" w:eastAsia="Times New Roman" w:hAnsi="inherit" w:cs="Arial"/>
          <w:color w:val="1A1A1A"/>
          <w:sz w:val="24"/>
          <w:szCs w:val="24"/>
        </w:rPr>
        <w:t xml:space="preserve"> - A rent-capped community imposes a rental rate ceiling - by unit type - that can be charged any household occupying an apartment in the </w:t>
      </w:r>
      <w:proofErr w:type="gramStart"/>
      <w:r w:rsidRPr="00D46297">
        <w:rPr>
          <w:rFonts w:ascii="inherit" w:eastAsia="Times New Roman" w:hAnsi="inherit" w:cs="Arial"/>
          <w:color w:val="1A1A1A"/>
          <w:sz w:val="24"/>
          <w:szCs w:val="24"/>
        </w:rPr>
        <w:t>community, but</w:t>
      </w:r>
      <w:proofErr w:type="gramEnd"/>
      <w:r w:rsidRPr="00D46297">
        <w:rPr>
          <w:rFonts w:ascii="inherit" w:eastAsia="Times New Roman" w:hAnsi="inherit" w:cs="Arial"/>
          <w:color w:val="1A1A1A"/>
          <w:sz w:val="24"/>
          <w:szCs w:val="24"/>
        </w:rPr>
        <w:t xml:space="preserve"> must also comply with a guideline delineating maximum household income qualified to meet the low-income definition. This type of Affordable property can be operated as market-rate, competing for residents, depending on area of the city. In submarkets offering rental rates well below the metropolitan area average, the rental rate restriction may not impose any restrictive consequence on rents the property can change. That is, due to prevailing market conditions, the property may not be able to charge as much rent as is allowable under Affordable guidelines applicable to the property. Properties designated as Partially Affordable must include a certain percentage of households who meet low-income standards </w:t>
      </w:r>
      <w:proofErr w:type="gramStart"/>
      <w:r w:rsidRPr="00D46297">
        <w:rPr>
          <w:rFonts w:ascii="inherit" w:eastAsia="Times New Roman" w:hAnsi="inherit" w:cs="Arial"/>
          <w:color w:val="1A1A1A"/>
          <w:sz w:val="24"/>
          <w:szCs w:val="24"/>
        </w:rPr>
        <w:t>in order to</w:t>
      </w:r>
      <w:proofErr w:type="gramEnd"/>
      <w:r w:rsidRPr="00D46297">
        <w:rPr>
          <w:rFonts w:ascii="inherit" w:eastAsia="Times New Roman" w:hAnsi="inherit" w:cs="Arial"/>
          <w:color w:val="1A1A1A"/>
          <w:sz w:val="24"/>
          <w:szCs w:val="24"/>
        </w:rPr>
        <w:t xml:space="preserve"> maintain benefits associated with their position. Partially Subsidized properties are typically rent-restricted, rather than subsidized.</w:t>
      </w:r>
    </w:p>
    <w:p w14:paraId="0627A668"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Subsidized Households</w:t>
      </w:r>
      <w:r w:rsidRPr="00D46297">
        <w:rPr>
          <w:rFonts w:ascii="inherit" w:eastAsia="Times New Roman" w:hAnsi="inherit" w:cs="Arial"/>
          <w:color w:val="1A1A1A"/>
          <w:sz w:val="24"/>
          <w:szCs w:val="24"/>
        </w:rPr>
        <w:t> - Properties defined as Affordable, but providing a household rent subsidy, will not have a defined rental rate. That is, there may be a stated street rental rate, but governmental subsidies vary from household-to-household, resulting in the position that a property does not offer market rate units. As a result, rent-subsidized properties are not included in rent survey reporting.</w:t>
      </w:r>
    </w:p>
    <w:p w14:paraId="3A27A3B2" w14:textId="77777777" w:rsidR="00D46297" w:rsidRPr="00D46297" w:rsidRDefault="00D46297" w:rsidP="00D46297">
      <w:pPr>
        <w:shd w:val="clear" w:color="auto" w:fill="FFFFFF"/>
        <w:spacing w:after="150" w:line="360" w:lineRule="atLeast"/>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For Yardi Matrix reporting purposes, an Affordable community is treated as a market rate, or competitive, community if the Affordable imposition applies only to household income, and not to a subsidy. A Partially Subsidized community is treated as market rate, regardless of the affordable restriction format.</w:t>
      </w:r>
    </w:p>
    <w:p w14:paraId="1DBFBB2F"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Studio Apartment</w:t>
      </w:r>
      <w:r w:rsidRPr="00D46297">
        <w:rPr>
          <w:rFonts w:ascii="inherit" w:eastAsia="Times New Roman" w:hAnsi="inherit" w:cs="Arial"/>
          <w:color w:val="1A1A1A"/>
          <w:sz w:val="24"/>
          <w:szCs w:val="24"/>
        </w:rPr>
        <w:t> - A Studio apartment is a small (generally 350 to 425 square feet) apartment in which the living area and bedroom are combined within a single space. The Studio apartment is similar in format to the efficiency apartment, but provides a defined kitchen, rather than the efficiency unit's more limited facility, and is generally larger in size than the efficiency floorplan.</w:t>
      </w:r>
    </w:p>
    <w:p w14:paraId="5F7CB38B"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Submarket</w:t>
      </w:r>
      <w:r w:rsidRPr="00D46297">
        <w:rPr>
          <w:rFonts w:ascii="inherit" w:eastAsia="Times New Roman" w:hAnsi="inherit" w:cs="Arial"/>
          <w:color w:val="1A1A1A"/>
          <w:sz w:val="24"/>
          <w:szCs w:val="24"/>
        </w:rPr>
        <w:t> - A Submarket is a discrete geographic area, defined by the assemblage of census tracts. Census tract combinations are selected for reasonable population demographic similarity.</w:t>
      </w:r>
    </w:p>
    <w:p w14:paraId="4E00C18C"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Townhouse Apartment Unit</w:t>
      </w:r>
      <w:r w:rsidRPr="00D46297">
        <w:rPr>
          <w:rFonts w:ascii="inherit" w:eastAsia="Times New Roman" w:hAnsi="inherit" w:cs="Arial"/>
          <w:color w:val="1A1A1A"/>
          <w:sz w:val="24"/>
          <w:szCs w:val="24"/>
        </w:rPr>
        <w:t> - A townhouse apartment floorplan is a two (or more) story apartment in which floors above the resident's main floor are also occupied by the resident.</w:t>
      </w:r>
    </w:p>
    <w:p w14:paraId="0E0E00D6"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Transit Oriented Development (TOD)</w:t>
      </w:r>
      <w:r w:rsidRPr="00D46297">
        <w:rPr>
          <w:rFonts w:ascii="inherit" w:eastAsia="Times New Roman" w:hAnsi="inherit" w:cs="Arial"/>
          <w:color w:val="1A1A1A"/>
          <w:sz w:val="24"/>
          <w:szCs w:val="24"/>
        </w:rPr>
        <w:t> – A development included within an approximate one-quarter mile (1,250 foot) radius surrounding a public transit rail station.</w:t>
      </w:r>
    </w:p>
    <w:p w14:paraId="4A42D793"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Green Building</w:t>
      </w:r>
      <w:r w:rsidRPr="00D46297">
        <w:rPr>
          <w:rFonts w:ascii="inherit" w:eastAsia="Times New Roman" w:hAnsi="inherit" w:cs="Arial"/>
          <w:color w:val="1A1A1A"/>
          <w:sz w:val="24"/>
          <w:szCs w:val="24"/>
        </w:rPr>
        <w:t> – A property designated as “LEED Certified”, holding particular status as “environmentally friendly”. The term “sustainable” is often applied interchangeably with the green building designation. Sustainable design refers to such characteristics as a lowering of demands on the environment as a result of certain building characteristics: Low energy usage; reduced water usage; carbon neutral (</w:t>
      </w:r>
      <w:proofErr w:type="gramStart"/>
      <w:r w:rsidRPr="00D46297">
        <w:rPr>
          <w:rFonts w:ascii="inherit" w:eastAsia="Times New Roman" w:hAnsi="inherit" w:cs="Arial"/>
          <w:color w:val="1A1A1A"/>
          <w:sz w:val="24"/>
          <w:szCs w:val="24"/>
        </w:rPr>
        <w:t>i.e.</w:t>
      </w:r>
      <w:proofErr w:type="gramEnd"/>
      <w:r w:rsidRPr="00D46297">
        <w:rPr>
          <w:rFonts w:ascii="inherit" w:eastAsia="Times New Roman" w:hAnsi="inherit" w:cs="Arial"/>
          <w:color w:val="1A1A1A"/>
          <w:sz w:val="24"/>
          <w:szCs w:val="24"/>
        </w:rPr>
        <w:t xml:space="preserve"> no carbon dioxide emissions result from property operations – either directly, or indirectly).</w:t>
      </w:r>
    </w:p>
    <w:p w14:paraId="01550756" w14:textId="77777777" w:rsidR="00D46297" w:rsidRPr="00D46297" w:rsidRDefault="00D46297" w:rsidP="00D46297">
      <w:pPr>
        <w:shd w:val="clear" w:color="auto" w:fill="FFFFFF"/>
        <w:spacing w:after="150" w:line="360" w:lineRule="atLeast"/>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 xml:space="preserve">Several factors are defined under the United States Green Building Council’s Leadership </w:t>
      </w:r>
      <w:proofErr w:type="gramStart"/>
      <w:r w:rsidRPr="00D46297">
        <w:rPr>
          <w:rFonts w:ascii="inherit" w:eastAsia="Times New Roman" w:hAnsi="inherit" w:cs="Arial"/>
          <w:color w:val="1A1A1A"/>
          <w:sz w:val="24"/>
          <w:szCs w:val="24"/>
        </w:rPr>
        <w:t>In</w:t>
      </w:r>
      <w:proofErr w:type="gramEnd"/>
      <w:r w:rsidRPr="00D46297">
        <w:rPr>
          <w:rFonts w:ascii="inherit" w:eastAsia="Times New Roman" w:hAnsi="inherit" w:cs="Arial"/>
          <w:color w:val="1A1A1A"/>
          <w:sz w:val="24"/>
          <w:szCs w:val="24"/>
        </w:rPr>
        <w:t xml:space="preserve"> Energy and Environmental Design (LEED) program which awards ratings (silver, gold, and platinum) under its format, but no </w:t>
      </w:r>
      <w:r w:rsidRPr="00D46297">
        <w:rPr>
          <w:rFonts w:ascii="inherit" w:eastAsia="Times New Roman" w:hAnsi="inherit" w:cs="Arial"/>
          <w:color w:val="1A1A1A"/>
          <w:sz w:val="24"/>
          <w:szCs w:val="24"/>
        </w:rPr>
        <w:lastRenderedPageBreak/>
        <w:t xml:space="preserve">clear definition of “Green” has been established to inform which characteristics must be included in a property to qualify for the definition. </w:t>
      </w:r>
      <w:proofErr w:type="gramStart"/>
      <w:r w:rsidRPr="00D46297">
        <w:rPr>
          <w:rFonts w:ascii="inherit" w:eastAsia="Times New Roman" w:hAnsi="inherit" w:cs="Arial"/>
          <w:color w:val="1A1A1A"/>
          <w:sz w:val="24"/>
          <w:szCs w:val="24"/>
        </w:rPr>
        <w:t>Instead</w:t>
      </w:r>
      <w:proofErr w:type="gramEnd"/>
      <w:r w:rsidRPr="00D46297">
        <w:rPr>
          <w:rFonts w:ascii="inherit" w:eastAsia="Times New Roman" w:hAnsi="inherit" w:cs="Arial"/>
          <w:color w:val="1A1A1A"/>
          <w:sz w:val="24"/>
          <w:szCs w:val="24"/>
        </w:rPr>
        <w:t xml:space="preserve"> there is a relatively substantial list of possible elements which can contribute to a development receiving “Green” designation:</w:t>
      </w:r>
    </w:p>
    <w:p w14:paraId="3607150E"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Conversion of a prior Brownfields site.</w:t>
      </w:r>
    </w:p>
    <w:p w14:paraId="48BF975F"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Building site positioning to take advantage of energy efficiencies.</w:t>
      </w:r>
    </w:p>
    <w:p w14:paraId="791F0248"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Materials selection – Sensitivity to indoor air quality conditions; avoidance of use of volatile, organic compounds.</w:t>
      </w:r>
    </w:p>
    <w:p w14:paraId="35A77E24"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Use of renewable energy sources – Solar electric; wind generated electric; geothermal, or solar thermal, heating.</w:t>
      </w:r>
    </w:p>
    <w:p w14:paraId="759EF9D3"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Carbon neutral – the property’s operations will not result in carbon dioxide emissions released into the atmosphere, either incurred directly by the building, or indirectly by suppliers of energy to the building.</w:t>
      </w:r>
    </w:p>
    <w:p w14:paraId="6EE3102E"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Energy efficiency – Materials providing isolative qualities in roofing, walls, windows, or energy absorption in extreme climates; reflective coatings in warm climates.</w:t>
      </w:r>
    </w:p>
    <w:p w14:paraId="17F0B0B8"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Sharing of parking structures with other uses (</w:t>
      </w:r>
      <w:proofErr w:type="gramStart"/>
      <w:r w:rsidRPr="00D46297">
        <w:rPr>
          <w:rFonts w:ascii="inherit" w:eastAsia="Times New Roman" w:hAnsi="inherit" w:cs="Arial"/>
          <w:color w:val="1A1A1A"/>
          <w:sz w:val="24"/>
          <w:szCs w:val="24"/>
        </w:rPr>
        <w:t>i.e.</w:t>
      </w:r>
      <w:proofErr w:type="gramEnd"/>
      <w:r w:rsidRPr="00D46297">
        <w:rPr>
          <w:rFonts w:ascii="inherit" w:eastAsia="Times New Roman" w:hAnsi="inherit" w:cs="Arial"/>
          <w:color w:val="1A1A1A"/>
          <w:sz w:val="24"/>
          <w:szCs w:val="24"/>
        </w:rPr>
        <w:t xml:space="preserve"> as in a mixed-use development).</w:t>
      </w:r>
    </w:p>
    <w:p w14:paraId="07B84E00"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 xml:space="preserve">Low energy usage – High SEER rated air </w:t>
      </w:r>
      <w:proofErr w:type="gramStart"/>
      <w:r w:rsidRPr="00D46297">
        <w:rPr>
          <w:rFonts w:ascii="inherit" w:eastAsia="Times New Roman" w:hAnsi="inherit" w:cs="Arial"/>
          <w:color w:val="1A1A1A"/>
          <w:sz w:val="24"/>
          <w:szCs w:val="24"/>
        </w:rPr>
        <w:t>conditioning;</w:t>
      </w:r>
      <w:proofErr w:type="gramEnd"/>
      <w:r w:rsidRPr="00D46297">
        <w:rPr>
          <w:rFonts w:ascii="inherit" w:eastAsia="Times New Roman" w:hAnsi="inherit" w:cs="Arial"/>
          <w:color w:val="1A1A1A"/>
          <w:sz w:val="24"/>
          <w:szCs w:val="24"/>
        </w:rPr>
        <w:t xml:space="preserve"> energy efficient lighting, and appliances.</w:t>
      </w:r>
    </w:p>
    <w:p w14:paraId="44951098"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 xml:space="preserve">Building Design – Making use of daylight to illuminate </w:t>
      </w:r>
      <w:proofErr w:type="gramStart"/>
      <w:r w:rsidRPr="00D46297">
        <w:rPr>
          <w:rFonts w:ascii="inherit" w:eastAsia="Times New Roman" w:hAnsi="inherit" w:cs="Arial"/>
          <w:color w:val="1A1A1A"/>
          <w:sz w:val="24"/>
          <w:szCs w:val="24"/>
        </w:rPr>
        <w:t>interiors;</w:t>
      </w:r>
      <w:proofErr w:type="gramEnd"/>
      <w:r w:rsidRPr="00D46297">
        <w:rPr>
          <w:rFonts w:ascii="inherit" w:eastAsia="Times New Roman" w:hAnsi="inherit" w:cs="Arial"/>
          <w:color w:val="1A1A1A"/>
          <w:sz w:val="24"/>
          <w:szCs w:val="24"/>
        </w:rPr>
        <w:t xml:space="preserve"> use of natural ventilation.</w:t>
      </w:r>
    </w:p>
    <w:p w14:paraId="25AA72B5"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Water Use Reduction – Rainwater retention systems; drought-tolerant plantings; low water usage showerheads and toilets.</w:t>
      </w:r>
    </w:p>
    <w:p w14:paraId="16FF5B47" w14:textId="77777777" w:rsidR="00D46297" w:rsidRPr="00D46297" w:rsidRDefault="00D46297" w:rsidP="00D46297">
      <w:pPr>
        <w:numPr>
          <w:ilvl w:val="0"/>
          <w:numId w:val="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D46297">
        <w:rPr>
          <w:rFonts w:ascii="inherit" w:eastAsia="Times New Roman" w:hAnsi="inherit" w:cs="Arial"/>
          <w:color w:val="1A1A1A"/>
          <w:sz w:val="24"/>
          <w:szCs w:val="24"/>
        </w:rPr>
        <w:t>Public Transportation Proximity – Public transit-served locations allowing residents to travel by public transportation to and from their occupation or entertainment venues without need for automobile travel.</w:t>
      </w:r>
    </w:p>
    <w:p w14:paraId="66C10D5A" w14:textId="77777777" w:rsidR="00D46297" w:rsidRPr="00D46297" w:rsidRDefault="00D46297" w:rsidP="00D46297">
      <w:pPr>
        <w:shd w:val="clear" w:color="auto" w:fill="FFFFFF"/>
        <w:spacing w:after="0"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Student Housing</w:t>
      </w:r>
      <w:r w:rsidRPr="00D46297">
        <w:rPr>
          <w:rFonts w:ascii="inherit" w:eastAsia="Times New Roman" w:hAnsi="inherit" w:cs="Arial"/>
          <w:color w:val="1A1A1A"/>
          <w:sz w:val="24"/>
          <w:szCs w:val="24"/>
        </w:rPr>
        <w:t> – Student Housing is furnished, rented by the bed, (as opposed to conventional rental – by the apartment) and positioned to appeal specifically to student residents, although rental may not necessarily be limited to students. Student Housing is most often located immediately adjacent, or closely proximate, to a college or university campus.</w:t>
      </w:r>
    </w:p>
    <w:p w14:paraId="172A2711" w14:textId="77777777" w:rsidR="00D46297" w:rsidRPr="00D46297" w:rsidRDefault="00D46297" w:rsidP="00D46297">
      <w:pPr>
        <w:shd w:val="clear" w:color="auto" w:fill="FFFFFF"/>
        <w:spacing w:line="360" w:lineRule="atLeast"/>
        <w:textAlignment w:val="baseline"/>
        <w:rPr>
          <w:rFonts w:ascii="inherit" w:eastAsia="Times New Roman" w:hAnsi="inherit" w:cs="Arial"/>
          <w:color w:val="1A1A1A"/>
          <w:sz w:val="24"/>
          <w:szCs w:val="24"/>
        </w:rPr>
      </w:pPr>
      <w:r w:rsidRPr="00D46297">
        <w:rPr>
          <w:rFonts w:ascii="inherit" w:eastAsia="Times New Roman" w:hAnsi="inherit" w:cs="Arial"/>
          <w:b/>
          <w:bCs/>
          <w:color w:val="1A1A1A"/>
          <w:sz w:val="24"/>
          <w:szCs w:val="24"/>
          <w:bdr w:val="none" w:sz="0" w:space="0" w:color="auto" w:frame="1"/>
        </w:rPr>
        <w:t>Military Housing</w:t>
      </w:r>
      <w:r w:rsidRPr="00D46297">
        <w:rPr>
          <w:rFonts w:ascii="inherit" w:eastAsia="Times New Roman" w:hAnsi="inherit" w:cs="Arial"/>
          <w:color w:val="1A1A1A"/>
          <w:sz w:val="24"/>
          <w:szCs w:val="24"/>
        </w:rPr>
        <w:t xml:space="preserve"> – Military Housing, located typically on military bases, is privately developed. Rental is restricted to military </w:t>
      </w:r>
      <w:proofErr w:type="gramStart"/>
      <w:r w:rsidRPr="00D46297">
        <w:rPr>
          <w:rFonts w:ascii="inherit" w:eastAsia="Times New Roman" w:hAnsi="inherit" w:cs="Arial"/>
          <w:color w:val="1A1A1A"/>
          <w:sz w:val="24"/>
          <w:szCs w:val="24"/>
        </w:rPr>
        <w:t>personnel, but</w:t>
      </w:r>
      <w:proofErr w:type="gramEnd"/>
      <w:r w:rsidRPr="00D46297">
        <w:rPr>
          <w:rFonts w:ascii="inherit" w:eastAsia="Times New Roman" w:hAnsi="inherit" w:cs="Arial"/>
          <w:color w:val="1A1A1A"/>
          <w:sz w:val="24"/>
          <w:szCs w:val="24"/>
        </w:rPr>
        <w:t xml:space="preserve"> operated as a private enterprise.</w:t>
      </w:r>
    </w:p>
    <w:p w14:paraId="0C5449B5" w14:textId="75B85DF8" w:rsidR="008406CB" w:rsidRDefault="008406CB"/>
    <w:p w14:paraId="29DDE68A" w14:textId="77777777" w:rsidR="00D46297" w:rsidRDefault="00D46297" w:rsidP="00D46297">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Yardi Matrix Apartment Data Reliability</w:t>
      </w:r>
    </w:p>
    <w:p w14:paraId="40E1F2D5"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We understand our role</w:t>
      </w:r>
      <w:r>
        <w:rPr>
          <w:rFonts w:ascii="inherit" w:hAnsi="inherit" w:cs="Arial"/>
          <w:color w:val="1A1A1A"/>
        </w:rPr>
        <w:t xml:space="preserve"> is to provide the highest possible standard of data quality. We also recognize that research of any </w:t>
      </w:r>
      <w:proofErr w:type="gramStart"/>
      <w:r>
        <w:rPr>
          <w:rFonts w:ascii="inherit" w:hAnsi="inherit" w:cs="Arial"/>
          <w:color w:val="1A1A1A"/>
        </w:rPr>
        <w:t>type</w:t>
      </w:r>
      <w:proofErr w:type="gramEnd"/>
      <w:r>
        <w:rPr>
          <w:rFonts w:ascii="inherit" w:hAnsi="inherit" w:cs="Arial"/>
          <w:color w:val="1A1A1A"/>
        </w:rPr>
        <w:t xml:space="preserve"> primary research compiled by Yardi Matrix’s research department, or reference to secondary research studies – is subject to sampling and non-sampling error.</w:t>
      </w:r>
    </w:p>
    <w:p w14:paraId="372D9FC9"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Addressing that condition, our information is updated throughout every business day, then uploaded every evening into the base you access. While our service operates to a statistical 95% confidence level, we also recognize that some things change, dictating that inevitable data errors require monitoring. Internal procedures directly addressing data quality include:</w:t>
      </w:r>
    </w:p>
    <w:p w14:paraId="6C57A3A8"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lastRenderedPageBreak/>
        <w:t>A full-time quality assurance group monitors ongoing data input accuracy.</w:t>
      </w:r>
    </w:p>
    <w:p w14:paraId="792E425D"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A dedicated link connects our subscribers to our Customer Service Group</w:t>
      </w:r>
      <w:r>
        <w:rPr>
          <w:rFonts w:ascii="inherit" w:hAnsi="inherit" w:cs="Arial"/>
          <w:color w:val="1A1A1A"/>
        </w:rPr>
        <w:t> which serves as your liaison with our research group, dealing with any questions or needs related to error correction. Error notifications are addressed immediately; our standard for response to correction needs is within 72 hours.</w:t>
      </w:r>
    </w:p>
    <w:p w14:paraId="7EB4DDFF"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Scheduled mailings are sent to both management companies and owners</w:t>
      </w:r>
      <w:r>
        <w:rPr>
          <w:rFonts w:ascii="inherit" w:hAnsi="inherit" w:cs="Arial"/>
          <w:color w:val="1A1A1A"/>
        </w:rPr>
        <w:t> to confirm owner/management address and contact correctness.</w:t>
      </w:r>
    </w:p>
    <w:p w14:paraId="7BB57559"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Data points directly affecting information subject to frequent change –</w:t>
      </w:r>
      <w:r>
        <w:rPr>
          <w:rFonts w:ascii="inherit" w:hAnsi="inherit" w:cs="Arial"/>
          <w:color w:val="1A1A1A"/>
        </w:rPr>
        <w:t xml:space="preserve"> ownership; management; the development conduit, </w:t>
      </w:r>
      <w:proofErr w:type="gramStart"/>
      <w:r>
        <w:rPr>
          <w:rFonts w:ascii="inherit" w:hAnsi="inherit" w:cs="Arial"/>
          <w:color w:val="1A1A1A"/>
        </w:rPr>
        <w:t>and;</w:t>
      </w:r>
      <w:proofErr w:type="gramEnd"/>
      <w:r>
        <w:rPr>
          <w:rFonts w:ascii="inherit" w:hAnsi="inherit" w:cs="Arial"/>
          <w:color w:val="1A1A1A"/>
        </w:rPr>
        <w:t xml:space="preserve"> sales – </w:t>
      </w:r>
      <w:r>
        <w:rPr>
          <w:rStyle w:val="Strong"/>
          <w:rFonts w:ascii="inherit" w:eastAsiaTheme="majorEastAsia" w:hAnsi="inherit" w:cs="Arial"/>
          <w:color w:val="1A1A1A"/>
          <w:bdr w:val="none" w:sz="0" w:space="0" w:color="auto" w:frame="1"/>
        </w:rPr>
        <w:t>are updated daily.</w:t>
      </w:r>
    </w:p>
    <w:p w14:paraId="7B63BEF4"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Yardi Matrix full-market surveys, conducted three times annually, reflect accuracy to a 95% confidence level; monthly stratified surveys are conducted at a 90%confidence level.</w:t>
      </w:r>
    </w:p>
    <w:p w14:paraId="3CA19EF0"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Primary research studies survey the full 50+ unit apartment universe, subject to certain restrictive parameters described under each research category included in “How We Report”, “How We Define” and “How We Rate” with various associated activities required to maintain data to a currently representative condition.</w:t>
      </w:r>
    </w:p>
    <w:p w14:paraId="1F5B2040"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Vacancy information, when available, is purchased from outside sources, and for-the-most-part, is compiled through random, and/or stratified random, sample surveys.</w:t>
      </w:r>
    </w:p>
    <w:p w14:paraId="05F10089"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Surveys completed by Yardi Matrix – regularly scheduled, or ongoing – include:</w:t>
      </w:r>
    </w:p>
    <w:p w14:paraId="09AE2D9D" w14:textId="77777777" w:rsidR="00D46297" w:rsidRDefault="00D46297" w:rsidP="00D46297">
      <w:pPr>
        <w:pStyle w:val="Heading3"/>
        <w:shd w:val="clear" w:color="auto" w:fill="FFFFFF"/>
        <w:spacing w:before="168" w:after="120" w:line="288" w:lineRule="atLeast"/>
        <w:textAlignment w:val="baseline"/>
        <w:rPr>
          <w:rFonts w:ascii="Arial" w:hAnsi="Arial" w:cs="Arial"/>
          <w:color w:val="2B76A9"/>
          <w:sz w:val="30"/>
          <w:szCs w:val="30"/>
        </w:rPr>
      </w:pPr>
      <w:r>
        <w:rPr>
          <w:rFonts w:ascii="Arial" w:hAnsi="Arial" w:cs="Arial"/>
          <w:b/>
          <w:bCs/>
          <w:color w:val="2B76A9"/>
          <w:sz w:val="30"/>
          <w:szCs w:val="30"/>
        </w:rPr>
        <w:t>Investor &amp; Developer Market Conditions</w:t>
      </w:r>
    </w:p>
    <w:p w14:paraId="7A188918"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Change in conditions resulting from investor and development activity is monitored constantly, reported </w:t>
      </w:r>
      <w:proofErr w:type="gramStart"/>
      <w:r>
        <w:rPr>
          <w:rFonts w:ascii="inherit" w:hAnsi="inherit" w:cs="Arial"/>
          <w:color w:val="1A1A1A"/>
        </w:rPr>
        <w:t>daily;</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888"/>
        <w:gridCol w:w="781"/>
      </w:tblGrid>
      <w:tr w:rsidR="00D46297" w14:paraId="5A72C8D8" w14:textId="77777777" w:rsidTr="00D46297">
        <w:tc>
          <w:tcPr>
            <w:tcW w:w="0" w:type="auto"/>
            <w:shd w:val="clear" w:color="auto" w:fill="auto"/>
            <w:vAlign w:val="center"/>
            <w:hideMark/>
          </w:tcPr>
          <w:p w14:paraId="1A504C3E" w14:textId="77777777" w:rsidR="00D46297" w:rsidRDefault="00D46297">
            <w:pPr>
              <w:rPr>
                <w:rFonts w:ascii="Times New Roman" w:hAnsi="Times New Roman" w:cs="Times New Roman"/>
              </w:rPr>
            </w:pPr>
            <w:r>
              <w:t>Sales Activity</w:t>
            </w:r>
          </w:p>
        </w:tc>
        <w:tc>
          <w:tcPr>
            <w:tcW w:w="0" w:type="auto"/>
            <w:shd w:val="clear" w:color="auto" w:fill="auto"/>
            <w:vAlign w:val="center"/>
            <w:hideMark/>
          </w:tcPr>
          <w:p w14:paraId="15899701" w14:textId="77777777" w:rsidR="00D46297" w:rsidRDefault="00D46297">
            <w:r>
              <w:t>Ongoing</w:t>
            </w:r>
          </w:p>
        </w:tc>
      </w:tr>
      <w:tr w:rsidR="00D46297" w14:paraId="497F61F0" w14:textId="77777777" w:rsidTr="00D46297">
        <w:tc>
          <w:tcPr>
            <w:tcW w:w="0" w:type="auto"/>
            <w:shd w:val="clear" w:color="auto" w:fill="auto"/>
            <w:vAlign w:val="center"/>
            <w:hideMark/>
          </w:tcPr>
          <w:p w14:paraId="008FEB40" w14:textId="77777777" w:rsidR="00D46297" w:rsidRDefault="00D46297">
            <w:r>
              <w:t>Supply Development</w:t>
            </w:r>
          </w:p>
        </w:tc>
        <w:tc>
          <w:tcPr>
            <w:tcW w:w="0" w:type="auto"/>
            <w:shd w:val="clear" w:color="auto" w:fill="auto"/>
            <w:vAlign w:val="center"/>
            <w:hideMark/>
          </w:tcPr>
          <w:p w14:paraId="2C40B57E" w14:textId="77777777" w:rsidR="00D46297" w:rsidRDefault="00D46297">
            <w:r>
              <w:t>Ongoing</w:t>
            </w:r>
          </w:p>
        </w:tc>
      </w:tr>
      <w:tr w:rsidR="00D46297" w14:paraId="7983D8C3" w14:textId="77777777" w:rsidTr="00D46297">
        <w:tc>
          <w:tcPr>
            <w:tcW w:w="0" w:type="auto"/>
            <w:shd w:val="clear" w:color="auto" w:fill="auto"/>
            <w:vAlign w:val="center"/>
            <w:hideMark/>
          </w:tcPr>
          <w:p w14:paraId="36DD1E40" w14:textId="77777777" w:rsidR="00D46297" w:rsidRDefault="00D46297">
            <w:r>
              <w:t>Supply Description</w:t>
            </w:r>
          </w:p>
        </w:tc>
        <w:tc>
          <w:tcPr>
            <w:tcW w:w="0" w:type="auto"/>
            <w:shd w:val="clear" w:color="auto" w:fill="auto"/>
            <w:vAlign w:val="center"/>
            <w:hideMark/>
          </w:tcPr>
          <w:p w14:paraId="5BDE482D" w14:textId="77777777" w:rsidR="00D46297" w:rsidRDefault="00D46297">
            <w:r>
              <w:t>Ongoing</w:t>
            </w:r>
          </w:p>
        </w:tc>
      </w:tr>
    </w:tbl>
    <w:p w14:paraId="21318EDA" w14:textId="66556FE3"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Rental market conditions – rental rate change and rental concessions participation – are surveyed at two levels:</w:t>
      </w:r>
    </w:p>
    <w:tbl>
      <w:tblPr>
        <w:tblW w:w="0" w:type="auto"/>
        <w:tblCellMar>
          <w:left w:w="0" w:type="dxa"/>
          <w:right w:w="0" w:type="dxa"/>
        </w:tblCellMar>
        <w:tblLook w:val="04A0" w:firstRow="1" w:lastRow="0" w:firstColumn="1" w:lastColumn="0" w:noHBand="0" w:noVBand="1"/>
      </w:tblPr>
      <w:tblGrid>
        <w:gridCol w:w="2898"/>
        <w:gridCol w:w="240"/>
        <w:gridCol w:w="2370"/>
        <w:gridCol w:w="240"/>
        <w:gridCol w:w="1864"/>
      </w:tblGrid>
      <w:tr w:rsidR="00D46297" w14:paraId="51EF10C2" w14:textId="77777777" w:rsidTr="00D46297">
        <w:trPr>
          <w:trHeight w:val="216"/>
        </w:trPr>
        <w:tc>
          <w:tcPr>
            <w:tcW w:w="2898" w:type="dxa"/>
            <w:shd w:val="clear" w:color="auto" w:fill="auto"/>
            <w:hideMark/>
          </w:tcPr>
          <w:p w14:paraId="0541FECA" w14:textId="77777777" w:rsidR="00D46297" w:rsidRDefault="00D46297">
            <w:pPr>
              <w:rPr>
                <w:rFonts w:ascii="Times New Roman" w:hAnsi="Times New Roman" w:cs="Times New Roman"/>
              </w:rPr>
            </w:pPr>
            <w:r>
              <w:t> </w:t>
            </w:r>
          </w:p>
        </w:tc>
        <w:tc>
          <w:tcPr>
            <w:tcW w:w="240" w:type="dxa"/>
            <w:shd w:val="clear" w:color="auto" w:fill="auto"/>
            <w:hideMark/>
          </w:tcPr>
          <w:p w14:paraId="4FD84AB2" w14:textId="77777777" w:rsidR="00D46297" w:rsidRDefault="00D46297">
            <w:r>
              <w:t> </w:t>
            </w:r>
          </w:p>
        </w:tc>
        <w:tc>
          <w:tcPr>
            <w:tcW w:w="2370" w:type="dxa"/>
            <w:shd w:val="clear" w:color="auto" w:fill="auto"/>
            <w:hideMark/>
          </w:tcPr>
          <w:p w14:paraId="37B67B29" w14:textId="77777777" w:rsidR="00D46297" w:rsidRDefault="00D46297">
            <w:r>
              <w:t> </w:t>
            </w:r>
          </w:p>
        </w:tc>
        <w:tc>
          <w:tcPr>
            <w:tcW w:w="240" w:type="dxa"/>
            <w:shd w:val="clear" w:color="auto" w:fill="auto"/>
            <w:hideMark/>
          </w:tcPr>
          <w:p w14:paraId="6E9FAE55" w14:textId="77777777" w:rsidR="00D46297" w:rsidRDefault="00D46297">
            <w:r>
              <w:t> </w:t>
            </w:r>
          </w:p>
        </w:tc>
        <w:tc>
          <w:tcPr>
            <w:tcW w:w="1864" w:type="dxa"/>
            <w:shd w:val="clear" w:color="auto" w:fill="auto"/>
            <w:hideMark/>
          </w:tcPr>
          <w:p w14:paraId="7EEFD5EE" w14:textId="77777777" w:rsidR="00D46297" w:rsidRDefault="00D46297">
            <w:r>
              <w:t>Confidence</w:t>
            </w:r>
          </w:p>
        </w:tc>
      </w:tr>
      <w:tr w:rsidR="00D46297" w14:paraId="55270325" w14:textId="77777777" w:rsidTr="00D46297">
        <w:trPr>
          <w:trHeight w:val="126"/>
        </w:trPr>
        <w:tc>
          <w:tcPr>
            <w:tcW w:w="2898" w:type="dxa"/>
            <w:tcBorders>
              <w:top w:val="nil"/>
              <w:left w:val="nil"/>
              <w:bottom w:val="single" w:sz="8" w:space="0" w:color="000000"/>
              <w:right w:val="nil"/>
            </w:tcBorders>
            <w:shd w:val="clear" w:color="auto" w:fill="auto"/>
            <w:tcMar>
              <w:top w:w="0" w:type="dxa"/>
              <w:left w:w="108" w:type="dxa"/>
              <w:bottom w:w="0" w:type="dxa"/>
              <w:right w:w="108" w:type="dxa"/>
            </w:tcMar>
            <w:hideMark/>
          </w:tcPr>
          <w:p w14:paraId="5B62C1B6"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Survey</w:t>
            </w:r>
          </w:p>
        </w:tc>
        <w:tc>
          <w:tcPr>
            <w:tcW w:w="240" w:type="dxa"/>
            <w:shd w:val="clear" w:color="auto" w:fill="auto"/>
            <w:hideMark/>
          </w:tcPr>
          <w:p w14:paraId="76AE37C8"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370" w:type="dxa"/>
            <w:tcBorders>
              <w:top w:val="nil"/>
              <w:left w:val="nil"/>
              <w:bottom w:val="single" w:sz="8" w:space="0" w:color="000000"/>
              <w:right w:val="nil"/>
            </w:tcBorders>
            <w:shd w:val="clear" w:color="auto" w:fill="auto"/>
            <w:tcMar>
              <w:top w:w="0" w:type="dxa"/>
              <w:left w:w="108" w:type="dxa"/>
              <w:bottom w:w="0" w:type="dxa"/>
              <w:right w:w="108" w:type="dxa"/>
            </w:tcMar>
            <w:hideMark/>
          </w:tcPr>
          <w:p w14:paraId="149EFD9A"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Frequency</w:t>
            </w:r>
          </w:p>
        </w:tc>
        <w:tc>
          <w:tcPr>
            <w:tcW w:w="240" w:type="dxa"/>
            <w:shd w:val="clear" w:color="auto" w:fill="auto"/>
            <w:hideMark/>
          </w:tcPr>
          <w:p w14:paraId="3273BFD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864" w:type="dxa"/>
            <w:tcBorders>
              <w:top w:val="nil"/>
              <w:left w:val="nil"/>
              <w:bottom w:val="single" w:sz="8" w:space="0" w:color="000000"/>
              <w:right w:val="nil"/>
            </w:tcBorders>
            <w:shd w:val="clear" w:color="auto" w:fill="auto"/>
            <w:tcMar>
              <w:top w:w="0" w:type="dxa"/>
              <w:left w:w="108" w:type="dxa"/>
              <w:bottom w:w="0" w:type="dxa"/>
              <w:right w:w="108" w:type="dxa"/>
            </w:tcMar>
            <w:hideMark/>
          </w:tcPr>
          <w:p w14:paraId="1D941644"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Level</w:t>
            </w:r>
          </w:p>
        </w:tc>
      </w:tr>
      <w:tr w:rsidR="00D46297" w14:paraId="16AEAFEE" w14:textId="77777777" w:rsidTr="00D46297">
        <w:tc>
          <w:tcPr>
            <w:tcW w:w="2898" w:type="dxa"/>
            <w:shd w:val="clear" w:color="auto" w:fill="auto"/>
            <w:tcMar>
              <w:top w:w="0" w:type="dxa"/>
              <w:left w:w="108" w:type="dxa"/>
              <w:bottom w:w="0" w:type="dxa"/>
              <w:right w:w="108" w:type="dxa"/>
            </w:tcMar>
            <w:hideMark/>
          </w:tcPr>
          <w:p w14:paraId="4DDE2358"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Controlled, Stratified Sample</w:t>
            </w:r>
          </w:p>
        </w:tc>
        <w:tc>
          <w:tcPr>
            <w:tcW w:w="240" w:type="dxa"/>
            <w:shd w:val="clear" w:color="auto" w:fill="auto"/>
            <w:hideMark/>
          </w:tcPr>
          <w:p w14:paraId="5DFECA66"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370" w:type="dxa"/>
            <w:shd w:val="clear" w:color="auto" w:fill="auto"/>
            <w:tcMar>
              <w:top w:w="0" w:type="dxa"/>
              <w:left w:w="108" w:type="dxa"/>
              <w:bottom w:w="0" w:type="dxa"/>
              <w:right w:w="108" w:type="dxa"/>
            </w:tcMar>
            <w:hideMark/>
          </w:tcPr>
          <w:p w14:paraId="12A7865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Monthly</w:t>
            </w:r>
          </w:p>
        </w:tc>
        <w:tc>
          <w:tcPr>
            <w:tcW w:w="240" w:type="dxa"/>
            <w:shd w:val="clear" w:color="auto" w:fill="auto"/>
            <w:hideMark/>
          </w:tcPr>
          <w:p w14:paraId="3FD8B468"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864" w:type="dxa"/>
            <w:shd w:val="clear" w:color="auto" w:fill="auto"/>
            <w:hideMark/>
          </w:tcPr>
          <w:p w14:paraId="778DD198"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90%</w:t>
            </w:r>
          </w:p>
        </w:tc>
      </w:tr>
      <w:tr w:rsidR="00D46297" w14:paraId="1347879B" w14:textId="77777777" w:rsidTr="00D46297">
        <w:tc>
          <w:tcPr>
            <w:tcW w:w="2898" w:type="dxa"/>
            <w:shd w:val="clear" w:color="auto" w:fill="auto"/>
            <w:tcMar>
              <w:top w:w="0" w:type="dxa"/>
              <w:left w:w="108" w:type="dxa"/>
              <w:bottom w:w="0" w:type="dxa"/>
              <w:right w:w="108" w:type="dxa"/>
            </w:tcMar>
            <w:hideMark/>
          </w:tcPr>
          <w:p w14:paraId="469FECBE"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Full 50+ Property Universe</w:t>
            </w:r>
          </w:p>
        </w:tc>
        <w:tc>
          <w:tcPr>
            <w:tcW w:w="240" w:type="dxa"/>
            <w:shd w:val="clear" w:color="auto" w:fill="auto"/>
            <w:hideMark/>
          </w:tcPr>
          <w:p w14:paraId="004A001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370" w:type="dxa"/>
            <w:shd w:val="clear" w:color="auto" w:fill="auto"/>
            <w:tcMar>
              <w:top w:w="0" w:type="dxa"/>
              <w:left w:w="108" w:type="dxa"/>
              <w:bottom w:w="0" w:type="dxa"/>
              <w:right w:w="108" w:type="dxa"/>
            </w:tcMar>
            <w:hideMark/>
          </w:tcPr>
          <w:p w14:paraId="31F2BF6F"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Three Times Annually*</w:t>
            </w:r>
          </w:p>
        </w:tc>
        <w:tc>
          <w:tcPr>
            <w:tcW w:w="240" w:type="dxa"/>
            <w:shd w:val="clear" w:color="auto" w:fill="auto"/>
            <w:hideMark/>
          </w:tcPr>
          <w:p w14:paraId="48A6E4EF"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864" w:type="dxa"/>
            <w:shd w:val="clear" w:color="auto" w:fill="auto"/>
            <w:hideMark/>
          </w:tcPr>
          <w:p w14:paraId="45A9845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95%</w:t>
            </w:r>
          </w:p>
        </w:tc>
      </w:tr>
    </w:tbl>
    <w:p w14:paraId="76375454" w14:textId="3AA9DDD2"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*The full property universe survey is conducted during the January/February, May/</w:t>
      </w:r>
      <w:proofErr w:type="gramStart"/>
      <w:r>
        <w:rPr>
          <w:rFonts w:ascii="inherit" w:hAnsi="inherit" w:cs="Arial"/>
          <w:color w:val="1A1A1A"/>
        </w:rPr>
        <w:t>June</w:t>
      </w:r>
      <w:proofErr w:type="gramEnd"/>
      <w:r>
        <w:rPr>
          <w:rFonts w:ascii="inherit" w:hAnsi="inherit" w:cs="Arial"/>
          <w:color w:val="1A1A1A"/>
        </w:rPr>
        <w:t xml:space="preserve"> and September/October periods.</w:t>
      </w:r>
    </w:p>
    <w:p w14:paraId="3CF9FCD0" w14:textId="77777777" w:rsidR="00D46297" w:rsidRDefault="00D46297"/>
    <w:p w14:paraId="78D424E7" w14:textId="77777777" w:rsidR="00D46297" w:rsidRDefault="00D46297" w:rsidP="00D46297">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lastRenderedPageBreak/>
        <w:t xml:space="preserve">How We Define </w:t>
      </w:r>
      <w:proofErr w:type="gramStart"/>
      <w:r>
        <w:rPr>
          <w:rStyle w:val="titlehead"/>
          <w:rFonts w:ascii="Arial" w:hAnsi="Arial" w:cs="Arial"/>
          <w:b w:val="0"/>
          <w:bCs w:val="0"/>
          <w:color w:val="545454"/>
          <w:spacing w:val="-7"/>
          <w:sz w:val="65"/>
          <w:szCs w:val="65"/>
          <w:bdr w:val="none" w:sz="0" w:space="0" w:color="auto" w:frame="1"/>
        </w:rPr>
        <w:t>The</w:t>
      </w:r>
      <w:proofErr w:type="gramEnd"/>
      <w:r>
        <w:rPr>
          <w:rStyle w:val="titlehead"/>
          <w:rFonts w:ascii="Arial" w:hAnsi="Arial" w:cs="Arial"/>
          <w:b w:val="0"/>
          <w:bCs w:val="0"/>
          <w:color w:val="545454"/>
          <w:spacing w:val="-7"/>
          <w:sz w:val="65"/>
          <w:szCs w:val="65"/>
          <w:bdr w:val="none" w:sz="0" w:space="0" w:color="auto" w:frame="1"/>
        </w:rPr>
        <w:t xml:space="preserve"> Apartment Rental Market</w:t>
      </w:r>
    </w:p>
    <w:p w14:paraId="7D98A4B4" w14:textId="77777777" w:rsidR="00D46297" w:rsidRDefault="00D46297" w:rsidP="00D46297">
      <w:pPr>
        <w:pStyle w:val="NormalWeb"/>
        <w:shd w:val="clear" w:color="auto" w:fill="FFFFFF"/>
        <w:spacing w:before="0" w:beforeAutospacing="0" w:after="0" w:afterAutospacing="0" w:line="480" w:lineRule="atLeast"/>
        <w:textAlignment w:val="baseline"/>
        <w:rPr>
          <w:rFonts w:ascii="inherit" w:hAnsi="inherit" w:cs="Arial"/>
          <w:color w:val="1A1A1A"/>
        </w:rPr>
      </w:pPr>
      <w:r>
        <w:rPr>
          <w:rFonts w:ascii="inherit" w:hAnsi="inherit" w:cs="Arial"/>
          <w:color w:val="1A1A1A"/>
        </w:rPr>
        <w:t>The </w:t>
      </w:r>
      <w:r>
        <w:rPr>
          <w:rStyle w:val="Strong"/>
          <w:rFonts w:ascii="inherit" w:eastAsiaTheme="majorEastAsia" w:hAnsi="inherit" w:cs="Arial"/>
          <w:color w:val="1A1A1A"/>
          <w:bdr w:val="none" w:sz="0" w:space="0" w:color="auto" w:frame="1"/>
        </w:rPr>
        <w:t>Rental Market,</w:t>
      </w:r>
      <w:r>
        <w:rPr>
          <w:rFonts w:ascii="inherit" w:hAnsi="inherit" w:cs="Arial"/>
          <w:color w:val="1A1A1A"/>
        </w:rPr>
        <w:t> as reported by Yardi Matrix, is defined within two parameters:</w:t>
      </w:r>
    </w:p>
    <w:p w14:paraId="63F39815" w14:textId="66F0CB72" w:rsidR="00D46297" w:rsidRDefault="00D46297" w:rsidP="00D46297">
      <w:pPr>
        <w:numPr>
          <w:ilvl w:val="0"/>
          <w:numId w:val="2"/>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Geographic</w:t>
      </w:r>
    </w:p>
    <w:p w14:paraId="131E3FDD" w14:textId="77777777" w:rsidR="00D46297" w:rsidRDefault="00D46297" w:rsidP="00D46297">
      <w:pPr>
        <w:numPr>
          <w:ilvl w:val="0"/>
          <w:numId w:val="2"/>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Property rental market position</w:t>
      </w:r>
    </w:p>
    <w:p w14:paraId="77342A0E" w14:textId="77777777" w:rsidR="00CC3B9F" w:rsidRDefault="00D46297" w:rsidP="00CC3B9F">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Geographic Definitions</w:t>
      </w:r>
    </w:p>
    <w:p w14:paraId="20D805D9" w14:textId="0A5EF044" w:rsidR="00D46297" w:rsidRDefault="00D46297" w:rsidP="00CC3B9F">
      <w:pPr>
        <w:pStyle w:val="Heading2"/>
        <w:shd w:val="clear" w:color="auto" w:fill="FFFFFF"/>
        <w:spacing w:before="168" w:after="120" w:line="288" w:lineRule="atLeast"/>
        <w:textAlignment w:val="baseline"/>
        <w:rPr>
          <w:rFonts w:ascii="inherit" w:hAnsi="inherit" w:cs="Arial"/>
          <w:color w:val="1A1A1A"/>
          <w:sz w:val="24"/>
          <w:szCs w:val="24"/>
        </w:rPr>
      </w:pPr>
      <w:r>
        <w:rPr>
          <w:rFonts w:ascii="inherit" w:hAnsi="inherit" w:cs="Arial"/>
          <w:color w:val="1A1A1A"/>
        </w:rPr>
        <w:t>A geographic market can be defined within a micro, to macro, range:</w:t>
      </w:r>
    </w:p>
    <w:p w14:paraId="1A6527A8" w14:textId="77777777" w:rsidR="00D46297" w:rsidRDefault="00D46297" w:rsidP="00D46297">
      <w:pPr>
        <w:numPr>
          <w:ilvl w:val="0"/>
          <w:numId w:val="3"/>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Selected property</w:t>
      </w:r>
      <w:r>
        <w:rPr>
          <w:rFonts w:ascii="inherit" w:hAnsi="inherit" w:cs="Arial"/>
          <w:color w:val="1A1A1A"/>
          <w:bdr w:val="none" w:sz="0" w:space="0" w:color="auto" w:frame="1"/>
        </w:rPr>
        <w:t xml:space="preserve"> – a designated subject property’s competitive environment can be defined within a radius extending from one, to five, miles surrounding the </w:t>
      </w:r>
      <w:proofErr w:type="gramStart"/>
      <w:r>
        <w:rPr>
          <w:rFonts w:ascii="inherit" w:hAnsi="inherit" w:cs="Arial"/>
          <w:color w:val="1A1A1A"/>
          <w:bdr w:val="none" w:sz="0" w:space="0" w:color="auto" w:frame="1"/>
        </w:rPr>
        <w:t>property ,or</w:t>
      </w:r>
      <w:proofErr w:type="gramEnd"/>
      <w:r>
        <w:rPr>
          <w:rFonts w:ascii="inherit" w:hAnsi="inherit" w:cs="Arial"/>
          <w:color w:val="1A1A1A"/>
          <w:bdr w:val="none" w:sz="0" w:space="0" w:color="auto" w:frame="1"/>
        </w:rPr>
        <w:t xml:space="preserve"> within user-selected boundaries.</w:t>
      </w:r>
    </w:p>
    <w:p w14:paraId="35AF18FF" w14:textId="77777777" w:rsidR="00D46297" w:rsidRDefault="00D46297" w:rsidP="00D46297">
      <w:pPr>
        <w:numPr>
          <w:ilvl w:val="0"/>
          <w:numId w:val="3"/>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Zip Code</w:t>
      </w:r>
      <w:r>
        <w:rPr>
          <w:rFonts w:ascii="inherit" w:hAnsi="inherit" w:cs="Arial"/>
          <w:color w:val="1A1A1A"/>
          <w:bdr w:val="none" w:sz="0" w:space="0" w:color="auto" w:frame="1"/>
        </w:rPr>
        <w:t xml:space="preserve"> – Properties included within a zip code or combination of zip </w:t>
      </w:r>
      <w:proofErr w:type="gramStart"/>
      <w:r>
        <w:rPr>
          <w:rFonts w:ascii="inherit" w:hAnsi="inherit" w:cs="Arial"/>
          <w:color w:val="1A1A1A"/>
          <w:bdr w:val="none" w:sz="0" w:space="0" w:color="auto" w:frame="1"/>
        </w:rPr>
        <w:t>codes;</w:t>
      </w:r>
      <w:proofErr w:type="gramEnd"/>
    </w:p>
    <w:p w14:paraId="195EB49F" w14:textId="77777777" w:rsidR="00D46297" w:rsidRDefault="00D46297" w:rsidP="00D46297">
      <w:pPr>
        <w:numPr>
          <w:ilvl w:val="0"/>
          <w:numId w:val="3"/>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Submarket</w:t>
      </w:r>
      <w:r>
        <w:rPr>
          <w:rFonts w:ascii="inherit" w:hAnsi="inherit" w:cs="Arial"/>
          <w:color w:val="1A1A1A"/>
          <w:bdr w:val="none" w:sz="0" w:space="0" w:color="auto" w:frame="1"/>
        </w:rPr>
        <w:t xml:space="preserve"> – Properties included within a submarket, or combination of </w:t>
      </w:r>
      <w:proofErr w:type="gramStart"/>
      <w:r>
        <w:rPr>
          <w:rFonts w:ascii="inherit" w:hAnsi="inherit" w:cs="Arial"/>
          <w:color w:val="1A1A1A"/>
          <w:bdr w:val="none" w:sz="0" w:space="0" w:color="auto" w:frame="1"/>
        </w:rPr>
        <w:t>submarket;</w:t>
      </w:r>
      <w:proofErr w:type="gramEnd"/>
    </w:p>
    <w:p w14:paraId="096469A4" w14:textId="780EDD4B" w:rsidR="00D46297" w:rsidRPr="00CC3B9F" w:rsidRDefault="00D46297" w:rsidP="00CC3B9F">
      <w:pPr>
        <w:numPr>
          <w:ilvl w:val="0"/>
          <w:numId w:val="3"/>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Market</w:t>
      </w:r>
      <w:r>
        <w:rPr>
          <w:rFonts w:ascii="inherit" w:hAnsi="inherit" w:cs="Arial"/>
          <w:color w:val="1A1A1A"/>
          <w:bdr w:val="none" w:sz="0" w:space="0" w:color="auto" w:frame="1"/>
        </w:rPr>
        <w:t> – A Yardi Matrix market generally corresponds to a Standard Metropolitan Statistical Area (SMSA), as defined by the United States Bureau of Statistics.</w:t>
      </w:r>
    </w:p>
    <w:p w14:paraId="6D4C78F5" w14:textId="77777777" w:rsidR="00CC3B9F" w:rsidRPr="00CC3B9F" w:rsidRDefault="00CC3B9F" w:rsidP="00CC3B9F">
      <w:pPr>
        <w:shd w:val="clear" w:color="auto" w:fill="FFFFFF"/>
        <w:spacing w:after="0" w:line="300" w:lineRule="atLeast"/>
        <w:ind w:left="1095"/>
        <w:textAlignment w:val="baseline"/>
        <w:rPr>
          <w:rFonts w:ascii="inherit" w:hAnsi="inherit" w:cs="Arial"/>
          <w:color w:val="1A1A1A"/>
        </w:rPr>
      </w:pPr>
    </w:p>
    <w:p w14:paraId="6C35703F"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Measurement of rentals rates and rental rate concessions is surveyed three times annually.  Reporting can apply to:  A property’s </w:t>
      </w:r>
      <w:r>
        <w:rPr>
          <w:rStyle w:val="Strong"/>
          <w:rFonts w:ascii="inherit" w:eastAsiaTheme="majorEastAsia" w:hAnsi="inherit" w:cs="Arial"/>
          <w:color w:val="1A1A1A"/>
          <w:bdr w:val="none" w:sz="0" w:space="0" w:color="auto" w:frame="1"/>
        </w:rPr>
        <w:t>Competitive Cluster</w:t>
      </w:r>
      <w:r>
        <w:rPr>
          <w:rFonts w:ascii="inherit" w:hAnsi="inherit" w:cs="Arial"/>
          <w:color w:val="1A1A1A"/>
        </w:rPr>
        <w:t xml:space="preserve"> – as defined by a radius; a submarket, </w:t>
      </w:r>
      <w:proofErr w:type="gramStart"/>
      <w:r>
        <w:rPr>
          <w:rFonts w:ascii="inherit" w:hAnsi="inherit" w:cs="Arial"/>
          <w:color w:val="1A1A1A"/>
        </w:rPr>
        <w:t>or;</w:t>
      </w:r>
      <w:proofErr w:type="gramEnd"/>
      <w:r>
        <w:rPr>
          <w:rFonts w:ascii="inherit" w:hAnsi="inherit" w:cs="Arial"/>
          <w:color w:val="1A1A1A"/>
        </w:rPr>
        <w:t xml:space="preserve"> the metropolitan area.  Each definition can extend to discrete illustration of rental rates according to:</w:t>
      </w:r>
    </w:p>
    <w:p w14:paraId="59201F84" w14:textId="77777777" w:rsidR="00D46297" w:rsidRDefault="00D46297" w:rsidP="00D46297">
      <w:pPr>
        <w:pStyle w:val="NormalWeb"/>
        <w:shd w:val="clear" w:color="auto" w:fill="FFFFFF"/>
        <w:spacing w:before="0" w:beforeAutospacing="0" w:after="0" w:afterAutospacing="0" w:line="360" w:lineRule="atLeast"/>
        <w:ind w:lef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Unit Type</w:t>
      </w:r>
    </w:p>
    <w:p w14:paraId="4065E3E5" w14:textId="77777777" w:rsidR="00D46297" w:rsidRDefault="00D46297" w:rsidP="00D46297">
      <w:pPr>
        <w:pStyle w:val="NormalWeb"/>
        <w:shd w:val="clear" w:color="auto" w:fill="FFFFFF"/>
        <w:spacing w:before="0" w:beforeAutospacing="0" w:after="0" w:afterAutospacing="0" w:line="360" w:lineRule="atLeast"/>
        <w:ind w:lef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Property Age Range</w:t>
      </w:r>
    </w:p>
    <w:p w14:paraId="1FE492F9" w14:textId="77777777" w:rsidR="00D46297" w:rsidRDefault="00D46297" w:rsidP="00D46297">
      <w:pPr>
        <w:pStyle w:val="NormalWeb"/>
        <w:shd w:val="clear" w:color="auto" w:fill="FFFFFF"/>
        <w:spacing w:before="0" w:beforeAutospacing="0" w:after="0" w:afterAutospacing="0" w:line="360" w:lineRule="atLeast"/>
        <w:ind w:lef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Property Improvements rating</w:t>
      </w:r>
    </w:p>
    <w:p w14:paraId="1EE71893" w14:textId="77777777" w:rsidR="00D46297" w:rsidRDefault="00D46297" w:rsidP="00D46297">
      <w:pPr>
        <w:pStyle w:val="NormalWeb"/>
        <w:shd w:val="clear" w:color="auto" w:fill="FFFFFF"/>
        <w:spacing w:before="0" w:beforeAutospacing="0" w:after="0" w:afterAutospacing="0" w:line="360" w:lineRule="atLeast"/>
        <w:ind w:lef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Location rating</w:t>
      </w:r>
    </w:p>
    <w:p w14:paraId="22A68922" w14:textId="77777777" w:rsidR="00D46297" w:rsidRDefault="00D46297" w:rsidP="00D46297">
      <w:pPr>
        <w:pStyle w:val="NormalWeb"/>
        <w:shd w:val="clear" w:color="auto" w:fill="FFFFFF"/>
        <w:spacing w:before="0" w:beforeAutospacing="0" w:after="0" w:afterAutospacing="0" w:line="360" w:lineRule="atLeast"/>
        <w:ind w:lef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Any combination of the above</w:t>
      </w:r>
    </w:p>
    <w:p w14:paraId="69E7AD00" w14:textId="77777777" w:rsidR="00D46297" w:rsidRDefault="00D46297" w:rsidP="00D46297">
      <w:pPr>
        <w:pStyle w:val="Heading2"/>
        <w:shd w:val="clear" w:color="auto" w:fill="FFFFFF"/>
        <w:spacing w:before="0" w:line="810" w:lineRule="atLeast"/>
        <w:textAlignment w:val="baseline"/>
        <w:rPr>
          <w:rFonts w:ascii="Open Sans" w:hAnsi="Open Sans" w:cs="Open Sans"/>
          <w:color w:val="1A1A1A"/>
          <w:sz w:val="41"/>
          <w:szCs w:val="41"/>
        </w:rPr>
      </w:pPr>
      <w:r>
        <w:rPr>
          <w:rFonts w:ascii="inherit" w:hAnsi="inherit" w:cs="Open Sans"/>
          <w:color w:val="1A1A1A"/>
          <w:sz w:val="41"/>
          <w:szCs w:val="41"/>
          <w:bdr w:val="none" w:sz="0" w:space="0" w:color="auto" w:frame="1"/>
        </w:rPr>
        <w:t>Property Rental Market Position</w:t>
      </w:r>
    </w:p>
    <w:p w14:paraId="77E4B60F"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The apartment rental market is further defined within rental household segments as:</w:t>
      </w:r>
    </w:p>
    <w:tbl>
      <w:tblPr>
        <w:tblW w:w="11611" w:type="dxa"/>
        <w:tblLayout w:type="fixed"/>
        <w:tblCellMar>
          <w:left w:w="0" w:type="dxa"/>
          <w:right w:w="0" w:type="dxa"/>
        </w:tblCellMar>
        <w:tblLook w:val="04A0" w:firstRow="1" w:lastRow="0" w:firstColumn="1" w:lastColumn="0" w:noHBand="0" w:noVBand="1"/>
      </w:tblPr>
      <w:tblGrid>
        <w:gridCol w:w="1890"/>
        <w:gridCol w:w="60"/>
        <w:gridCol w:w="7661"/>
        <w:gridCol w:w="20"/>
        <w:gridCol w:w="1980"/>
      </w:tblGrid>
      <w:tr w:rsidR="00D46297" w14:paraId="01714063" w14:textId="77777777" w:rsidTr="00CC3B9F">
        <w:tc>
          <w:tcPr>
            <w:tcW w:w="1890" w:type="dxa"/>
            <w:tcBorders>
              <w:top w:val="nil"/>
              <w:left w:val="nil"/>
              <w:bottom w:val="single" w:sz="8" w:space="0" w:color="auto"/>
              <w:right w:val="nil"/>
            </w:tcBorders>
            <w:shd w:val="clear" w:color="auto" w:fill="auto"/>
            <w:vAlign w:val="bottom"/>
            <w:hideMark/>
          </w:tcPr>
          <w:p w14:paraId="77AA7C0E"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Rental Household Market Positioning</w:t>
            </w:r>
          </w:p>
        </w:tc>
        <w:tc>
          <w:tcPr>
            <w:tcW w:w="60" w:type="dxa"/>
            <w:tcBorders>
              <w:top w:val="nil"/>
              <w:left w:val="nil"/>
              <w:bottom w:val="nil"/>
              <w:right w:val="nil"/>
            </w:tcBorders>
            <w:shd w:val="clear" w:color="auto" w:fill="auto"/>
            <w:vAlign w:val="bottom"/>
            <w:hideMark/>
          </w:tcPr>
          <w:p w14:paraId="62660A63"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 </w:t>
            </w:r>
          </w:p>
        </w:tc>
        <w:tc>
          <w:tcPr>
            <w:tcW w:w="7661" w:type="dxa"/>
            <w:tcBorders>
              <w:top w:val="nil"/>
              <w:left w:val="nil"/>
              <w:bottom w:val="single" w:sz="8" w:space="0" w:color="auto"/>
              <w:right w:val="nil"/>
            </w:tcBorders>
            <w:shd w:val="clear" w:color="auto" w:fill="auto"/>
            <w:vAlign w:val="bottom"/>
            <w:hideMark/>
          </w:tcPr>
          <w:p w14:paraId="7FA967FB"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Property/Household Type</w:t>
            </w:r>
          </w:p>
        </w:tc>
        <w:tc>
          <w:tcPr>
            <w:tcW w:w="20" w:type="dxa"/>
            <w:tcBorders>
              <w:top w:val="nil"/>
              <w:left w:val="nil"/>
              <w:bottom w:val="nil"/>
              <w:right w:val="nil"/>
            </w:tcBorders>
            <w:shd w:val="clear" w:color="auto" w:fill="auto"/>
            <w:vAlign w:val="bottom"/>
            <w:hideMark/>
          </w:tcPr>
          <w:p w14:paraId="2106F73B"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 </w:t>
            </w:r>
          </w:p>
        </w:tc>
        <w:tc>
          <w:tcPr>
            <w:tcW w:w="1980" w:type="dxa"/>
            <w:tcBorders>
              <w:top w:val="nil"/>
              <w:left w:val="nil"/>
              <w:bottom w:val="single" w:sz="8" w:space="0" w:color="auto"/>
              <w:right w:val="nil"/>
            </w:tcBorders>
            <w:shd w:val="clear" w:color="auto" w:fill="auto"/>
            <w:vAlign w:val="bottom"/>
            <w:hideMark/>
          </w:tcPr>
          <w:p w14:paraId="23474D67"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Property</w:t>
            </w:r>
            <w:r>
              <w:rPr>
                <w:rFonts w:ascii="inherit" w:hAnsi="inherit"/>
              </w:rPr>
              <w:br/>
              <w:t>Context® Rating</w:t>
            </w:r>
          </w:p>
        </w:tc>
      </w:tr>
      <w:tr w:rsidR="00D46297" w14:paraId="793450AE" w14:textId="77777777" w:rsidTr="00CC3B9F">
        <w:tc>
          <w:tcPr>
            <w:tcW w:w="1890" w:type="dxa"/>
            <w:tcBorders>
              <w:top w:val="nil"/>
              <w:left w:val="nil"/>
              <w:bottom w:val="nil"/>
              <w:right w:val="nil"/>
            </w:tcBorders>
            <w:shd w:val="clear" w:color="auto" w:fill="auto"/>
            <w:hideMark/>
          </w:tcPr>
          <w:p w14:paraId="46E6A6B8"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Discretionary</w:t>
            </w:r>
          </w:p>
        </w:tc>
        <w:tc>
          <w:tcPr>
            <w:tcW w:w="60" w:type="dxa"/>
            <w:tcBorders>
              <w:top w:val="nil"/>
              <w:left w:val="nil"/>
              <w:bottom w:val="nil"/>
              <w:right w:val="nil"/>
            </w:tcBorders>
            <w:shd w:val="clear" w:color="auto" w:fill="auto"/>
            <w:hideMark/>
          </w:tcPr>
          <w:p w14:paraId="1996AE53"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44AA5296"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Renters by choice. </w:t>
            </w:r>
            <w:r>
              <w:rPr>
                <w:rFonts w:ascii="inherit" w:hAnsi="inherit"/>
              </w:rPr>
              <w:t> Attracted to the extreme upper end of the apartment market; properties generally of resort quality, clearly appealing to households capable of owning a residence, but choosing to rent, or households with substantial incomes, but without wealth. The luxury rental category primarily focuses on empty nester households, or more particularly, high net worth households. The renter-by-choice household is demanding; finishing detail and amenities included in properties appealing to this category must be of exceptional quality.</w:t>
            </w:r>
          </w:p>
        </w:tc>
        <w:tc>
          <w:tcPr>
            <w:tcW w:w="20" w:type="dxa"/>
            <w:tcBorders>
              <w:top w:val="nil"/>
              <w:left w:val="nil"/>
              <w:bottom w:val="nil"/>
              <w:right w:val="nil"/>
            </w:tcBorders>
            <w:shd w:val="clear" w:color="auto" w:fill="auto"/>
            <w:hideMark/>
          </w:tcPr>
          <w:p w14:paraId="552F135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0A04E791"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A+ / A</w:t>
            </w:r>
          </w:p>
        </w:tc>
      </w:tr>
      <w:tr w:rsidR="00D46297" w14:paraId="221D52D8" w14:textId="77777777" w:rsidTr="00CC3B9F">
        <w:tc>
          <w:tcPr>
            <w:tcW w:w="1890" w:type="dxa"/>
            <w:tcBorders>
              <w:top w:val="nil"/>
              <w:left w:val="nil"/>
              <w:bottom w:val="nil"/>
              <w:right w:val="nil"/>
            </w:tcBorders>
            <w:shd w:val="clear" w:color="auto" w:fill="auto"/>
            <w:hideMark/>
          </w:tcPr>
          <w:p w14:paraId="67082D74"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lastRenderedPageBreak/>
              <w:t> </w:t>
            </w:r>
          </w:p>
        </w:tc>
        <w:tc>
          <w:tcPr>
            <w:tcW w:w="60" w:type="dxa"/>
            <w:tcBorders>
              <w:top w:val="nil"/>
              <w:left w:val="nil"/>
              <w:bottom w:val="nil"/>
              <w:right w:val="nil"/>
            </w:tcBorders>
            <w:shd w:val="clear" w:color="auto" w:fill="auto"/>
            <w:hideMark/>
          </w:tcPr>
          <w:p w14:paraId="3FC499E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7451EA5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059721B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11F5E9F7"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6603461D" w14:textId="77777777" w:rsidTr="00CC3B9F">
        <w:tc>
          <w:tcPr>
            <w:tcW w:w="1890" w:type="dxa"/>
            <w:tcBorders>
              <w:top w:val="nil"/>
              <w:left w:val="nil"/>
              <w:bottom w:val="nil"/>
              <w:right w:val="nil"/>
            </w:tcBorders>
            <w:shd w:val="clear" w:color="auto" w:fill="auto"/>
            <w:hideMark/>
          </w:tcPr>
          <w:p w14:paraId="59FFDF17"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High Mid-Range</w:t>
            </w:r>
          </w:p>
        </w:tc>
        <w:tc>
          <w:tcPr>
            <w:tcW w:w="60" w:type="dxa"/>
            <w:tcBorders>
              <w:top w:val="nil"/>
              <w:left w:val="nil"/>
              <w:bottom w:val="nil"/>
              <w:right w:val="nil"/>
            </w:tcBorders>
            <w:shd w:val="clear" w:color="auto" w:fill="auto"/>
            <w:hideMark/>
          </w:tcPr>
          <w:p w14:paraId="481E5F27" w14:textId="77777777" w:rsidR="00D46297" w:rsidRDefault="00D46297">
            <w:pPr>
              <w:pStyle w:val="NormalWeb"/>
              <w:spacing w:before="225" w:beforeAutospacing="0" w:after="150" w:afterAutospacing="0" w:line="360" w:lineRule="atLeast"/>
              <w:textAlignment w:val="baseline"/>
              <w:rPr>
                <w:rFonts w:ascii="inherit" w:hAnsi="inherit"/>
              </w:rPr>
            </w:pPr>
          </w:p>
        </w:tc>
        <w:tc>
          <w:tcPr>
            <w:tcW w:w="7661" w:type="dxa"/>
            <w:tcBorders>
              <w:top w:val="nil"/>
              <w:left w:val="nil"/>
              <w:bottom w:val="nil"/>
              <w:right w:val="nil"/>
            </w:tcBorders>
            <w:shd w:val="clear" w:color="auto" w:fill="auto"/>
            <w:hideMark/>
          </w:tcPr>
          <w:p w14:paraId="5035474A"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"Lifestyle renters."</w:t>
            </w:r>
            <w:r>
              <w:rPr>
                <w:rFonts w:ascii="inherit" w:hAnsi="inherit"/>
              </w:rPr>
              <w:t xml:space="preserve">  The high mid-range category appeals to double-income-no-kids ("DINK") households holding income status </w:t>
            </w:r>
            <w:proofErr w:type="gramStart"/>
            <w:r>
              <w:rPr>
                <w:rFonts w:ascii="inherit" w:hAnsi="inherit"/>
              </w:rPr>
              <w:t>similar to</w:t>
            </w:r>
            <w:proofErr w:type="gramEnd"/>
            <w:r>
              <w:rPr>
                <w:rFonts w:ascii="inherit" w:hAnsi="inherit"/>
              </w:rPr>
              <w:t xml:space="preserve"> that typically required of discretionary property positioning, but not in possession of the wealth more probably associated with the renter-by-choice rental household category. Properties holding high mid-range status typically offer excellent finishing quality, and attractive common area facilities, and typically focus on an environment providing a more social experience.</w:t>
            </w:r>
          </w:p>
        </w:tc>
        <w:tc>
          <w:tcPr>
            <w:tcW w:w="20" w:type="dxa"/>
            <w:tcBorders>
              <w:top w:val="nil"/>
              <w:left w:val="nil"/>
              <w:bottom w:val="nil"/>
              <w:right w:val="nil"/>
            </w:tcBorders>
            <w:shd w:val="clear" w:color="auto" w:fill="auto"/>
            <w:hideMark/>
          </w:tcPr>
          <w:p w14:paraId="26FCBFD8" w14:textId="77777777" w:rsidR="00D46297" w:rsidRDefault="00D46297">
            <w:pPr>
              <w:pStyle w:val="NormalWeb"/>
              <w:spacing w:before="225" w:beforeAutospacing="0" w:after="150" w:afterAutospacing="0" w:line="360" w:lineRule="atLeast"/>
              <w:textAlignment w:val="baseline"/>
              <w:rPr>
                <w:rFonts w:ascii="inherit" w:hAnsi="inherit"/>
              </w:rPr>
            </w:pPr>
          </w:p>
        </w:tc>
        <w:tc>
          <w:tcPr>
            <w:tcW w:w="1980" w:type="dxa"/>
            <w:tcBorders>
              <w:top w:val="nil"/>
              <w:left w:val="nil"/>
              <w:bottom w:val="nil"/>
              <w:right w:val="nil"/>
            </w:tcBorders>
            <w:shd w:val="clear" w:color="auto" w:fill="auto"/>
            <w:hideMark/>
          </w:tcPr>
          <w:p w14:paraId="495892C4"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A- / B+</w:t>
            </w:r>
          </w:p>
        </w:tc>
      </w:tr>
      <w:tr w:rsidR="00D46297" w14:paraId="17A74AA8" w14:textId="77777777" w:rsidTr="00CC3B9F">
        <w:tc>
          <w:tcPr>
            <w:tcW w:w="1890" w:type="dxa"/>
            <w:tcBorders>
              <w:top w:val="nil"/>
              <w:left w:val="nil"/>
              <w:bottom w:val="nil"/>
              <w:right w:val="nil"/>
            </w:tcBorders>
            <w:shd w:val="clear" w:color="auto" w:fill="auto"/>
            <w:hideMark/>
          </w:tcPr>
          <w:p w14:paraId="26A5A95E"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60" w:type="dxa"/>
            <w:tcBorders>
              <w:top w:val="nil"/>
              <w:left w:val="nil"/>
              <w:bottom w:val="nil"/>
              <w:right w:val="nil"/>
            </w:tcBorders>
            <w:shd w:val="clear" w:color="auto" w:fill="auto"/>
            <w:hideMark/>
          </w:tcPr>
          <w:p w14:paraId="3C5F4507"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2DE7FB2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3799F5CF"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2877D15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50E83F4C" w14:textId="77777777" w:rsidTr="00CC3B9F">
        <w:tc>
          <w:tcPr>
            <w:tcW w:w="1890" w:type="dxa"/>
            <w:tcBorders>
              <w:top w:val="nil"/>
              <w:left w:val="nil"/>
              <w:bottom w:val="nil"/>
              <w:right w:val="nil"/>
            </w:tcBorders>
            <w:shd w:val="clear" w:color="auto" w:fill="auto"/>
            <w:hideMark/>
          </w:tcPr>
          <w:p w14:paraId="07E7C429"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Low Mid-Range</w:t>
            </w:r>
          </w:p>
        </w:tc>
        <w:tc>
          <w:tcPr>
            <w:tcW w:w="60" w:type="dxa"/>
            <w:tcBorders>
              <w:top w:val="nil"/>
              <w:left w:val="nil"/>
              <w:bottom w:val="nil"/>
              <w:right w:val="nil"/>
            </w:tcBorders>
            <w:shd w:val="clear" w:color="auto" w:fill="auto"/>
            <w:hideMark/>
          </w:tcPr>
          <w:p w14:paraId="615D040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4871588A"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Working professionals.</w:t>
            </w:r>
            <w:r>
              <w:rPr>
                <w:rFonts w:ascii="inherit" w:hAnsi="inherit"/>
              </w:rPr>
              <w:t>  The low mid-range household is typically composed of working professional, “gray collar”</w:t>
            </w:r>
            <w:r>
              <w:rPr>
                <w:rStyle w:val="Emphasis"/>
                <w:rFonts w:ascii="inherit" w:hAnsi="inherit"/>
                <w:bdr w:val="none" w:sz="0" w:space="0" w:color="auto" w:frame="1"/>
              </w:rPr>
              <w:t> </w:t>
            </w:r>
            <w:r>
              <w:rPr>
                <w:rFonts w:ascii="inherit" w:hAnsi="inherit"/>
              </w:rPr>
              <w:t>households (</w:t>
            </w:r>
            <w:proofErr w:type="gramStart"/>
            <w:r>
              <w:rPr>
                <w:rFonts w:ascii="inherit" w:hAnsi="inherit"/>
              </w:rPr>
              <w:t>i.e.</w:t>
            </w:r>
            <w:proofErr w:type="gramEnd"/>
            <w:r>
              <w:rPr>
                <w:rFonts w:ascii="inherit" w:hAnsi="inherit"/>
              </w:rPr>
              <w:t xml:space="preserve"> policemen, firemen, teachers, technical workers).  These households, while renters-of-necessity, are inclined to apply some discretion regarding rental environment </w:t>
            </w:r>
            <w:proofErr w:type="gramStart"/>
            <w:r>
              <w:rPr>
                <w:rFonts w:ascii="inherit" w:hAnsi="inherit"/>
              </w:rPr>
              <w:t>quality, and</w:t>
            </w:r>
            <w:proofErr w:type="gramEnd"/>
            <w:r>
              <w:rPr>
                <w:rFonts w:ascii="inherit" w:hAnsi="inherit"/>
              </w:rPr>
              <w:t xml:space="preserve"> will opt for “adequate” quality of improvements offering reasonably attractive amenities in a good/convenient location.</w:t>
            </w:r>
          </w:p>
        </w:tc>
        <w:tc>
          <w:tcPr>
            <w:tcW w:w="20" w:type="dxa"/>
            <w:tcBorders>
              <w:top w:val="nil"/>
              <w:left w:val="nil"/>
              <w:bottom w:val="nil"/>
              <w:right w:val="nil"/>
            </w:tcBorders>
            <w:shd w:val="clear" w:color="auto" w:fill="auto"/>
            <w:hideMark/>
          </w:tcPr>
          <w:p w14:paraId="3F5E7C9A"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26DEEAF3"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B / B-</w:t>
            </w:r>
          </w:p>
        </w:tc>
      </w:tr>
      <w:tr w:rsidR="00D46297" w14:paraId="67489386" w14:textId="77777777" w:rsidTr="00CC3B9F">
        <w:tc>
          <w:tcPr>
            <w:tcW w:w="1890" w:type="dxa"/>
            <w:tcBorders>
              <w:top w:val="nil"/>
              <w:left w:val="nil"/>
              <w:bottom w:val="nil"/>
              <w:right w:val="nil"/>
            </w:tcBorders>
            <w:shd w:val="clear" w:color="auto" w:fill="auto"/>
            <w:hideMark/>
          </w:tcPr>
          <w:p w14:paraId="78D12A56"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60" w:type="dxa"/>
            <w:tcBorders>
              <w:top w:val="nil"/>
              <w:left w:val="nil"/>
              <w:bottom w:val="nil"/>
              <w:right w:val="nil"/>
            </w:tcBorders>
            <w:shd w:val="clear" w:color="auto" w:fill="auto"/>
            <w:hideMark/>
          </w:tcPr>
          <w:p w14:paraId="0B521C6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681787E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69C4D05A"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3E79F213"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750263CD" w14:textId="77777777" w:rsidTr="00CC3B9F">
        <w:tc>
          <w:tcPr>
            <w:tcW w:w="1890" w:type="dxa"/>
            <w:tcBorders>
              <w:top w:val="nil"/>
              <w:left w:val="nil"/>
              <w:bottom w:val="nil"/>
              <w:right w:val="nil"/>
            </w:tcBorders>
            <w:shd w:val="clear" w:color="auto" w:fill="auto"/>
            <w:hideMark/>
          </w:tcPr>
          <w:p w14:paraId="6650669A"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Workforce</w:t>
            </w:r>
          </w:p>
        </w:tc>
        <w:tc>
          <w:tcPr>
            <w:tcW w:w="60" w:type="dxa"/>
            <w:tcBorders>
              <w:top w:val="nil"/>
              <w:left w:val="nil"/>
              <w:bottom w:val="nil"/>
              <w:right w:val="nil"/>
            </w:tcBorders>
            <w:shd w:val="clear" w:color="auto" w:fill="auto"/>
            <w:hideMark/>
          </w:tcPr>
          <w:p w14:paraId="357D038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17FC3260"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Blue collar workforce.  </w:t>
            </w:r>
            <w:r>
              <w:rPr>
                <w:rFonts w:ascii="inherit" w:hAnsi="inherit"/>
              </w:rPr>
              <w:t xml:space="preserve">Blue collar workforce category renters </w:t>
            </w:r>
            <w:proofErr w:type="gramStart"/>
            <w:r>
              <w:rPr>
                <w:rFonts w:ascii="inherit" w:hAnsi="inherit"/>
              </w:rPr>
              <w:t>are capable of paying</w:t>
            </w:r>
            <w:proofErr w:type="gramEnd"/>
            <w:r>
              <w:rPr>
                <w:rFonts w:ascii="inherit" w:hAnsi="inherit"/>
              </w:rPr>
              <w:t xml:space="preserve"> lower market-rate rents, but at a rate consistent with their income category. Workforce housing is typically older, with fewer amenities; often incorporating efficiency, studio, two bedroom/one bath, or three+ bedroom units as significant unit mix components.</w:t>
            </w:r>
          </w:p>
        </w:tc>
        <w:tc>
          <w:tcPr>
            <w:tcW w:w="20" w:type="dxa"/>
            <w:tcBorders>
              <w:top w:val="nil"/>
              <w:left w:val="nil"/>
              <w:bottom w:val="nil"/>
              <w:right w:val="nil"/>
            </w:tcBorders>
            <w:shd w:val="clear" w:color="auto" w:fill="auto"/>
            <w:hideMark/>
          </w:tcPr>
          <w:p w14:paraId="41253D6E"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4CB27369"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C+ / C / C- / D</w:t>
            </w:r>
          </w:p>
        </w:tc>
      </w:tr>
      <w:tr w:rsidR="00D46297" w14:paraId="5C1ABC5F" w14:textId="77777777" w:rsidTr="00CC3B9F">
        <w:tc>
          <w:tcPr>
            <w:tcW w:w="1890" w:type="dxa"/>
            <w:tcBorders>
              <w:top w:val="nil"/>
              <w:left w:val="nil"/>
              <w:bottom w:val="nil"/>
              <w:right w:val="nil"/>
            </w:tcBorders>
            <w:shd w:val="clear" w:color="auto" w:fill="auto"/>
            <w:hideMark/>
          </w:tcPr>
          <w:p w14:paraId="77BB957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60" w:type="dxa"/>
            <w:tcBorders>
              <w:top w:val="nil"/>
              <w:left w:val="nil"/>
              <w:bottom w:val="nil"/>
              <w:right w:val="nil"/>
            </w:tcBorders>
            <w:shd w:val="clear" w:color="auto" w:fill="auto"/>
            <w:hideMark/>
          </w:tcPr>
          <w:p w14:paraId="72613ED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17B54EE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21A174D9"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4A0C7CC0"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4B4B2891" w14:textId="77777777" w:rsidTr="00CC3B9F">
        <w:tc>
          <w:tcPr>
            <w:tcW w:w="1890" w:type="dxa"/>
            <w:tcBorders>
              <w:top w:val="nil"/>
              <w:left w:val="nil"/>
              <w:bottom w:val="nil"/>
              <w:right w:val="nil"/>
            </w:tcBorders>
            <w:shd w:val="clear" w:color="auto" w:fill="auto"/>
            <w:hideMark/>
          </w:tcPr>
          <w:p w14:paraId="08B97490"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Subsidized</w:t>
            </w:r>
          </w:p>
        </w:tc>
        <w:tc>
          <w:tcPr>
            <w:tcW w:w="60" w:type="dxa"/>
            <w:tcBorders>
              <w:top w:val="nil"/>
              <w:left w:val="nil"/>
              <w:bottom w:val="nil"/>
              <w:right w:val="nil"/>
            </w:tcBorders>
            <w:shd w:val="clear" w:color="auto" w:fill="auto"/>
            <w:hideMark/>
          </w:tcPr>
          <w:p w14:paraId="4DB968F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5CFBBAF8"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Struggling households.</w:t>
            </w:r>
            <w:r>
              <w:rPr>
                <w:rStyle w:val="Emphasis"/>
                <w:rFonts w:ascii="inherit" w:hAnsi="inherit"/>
                <w:bdr w:val="none" w:sz="0" w:space="0" w:color="auto" w:frame="1"/>
              </w:rPr>
              <w:t>  </w:t>
            </w:r>
            <w:r>
              <w:rPr>
                <w:rFonts w:ascii="inherit" w:hAnsi="inherit"/>
              </w:rPr>
              <w:t>Fully affordable</w:t>
            </w:r>
            <w:r>
              <w:rPr>
                <w:rStyle w:val="Emphasis"/>
                <w:rFonts w:ascii="inherit" w:hAnsi="inherit"/>
                <w:bdr w:val="none" w:sz="0" w:space="0" w:color="auto" w:frame="1"/>
              </w:rPr>
              <w:t> </w:t>
            </w:r>
            <w:r>
              <w:rPr>
                <w:rFonts w:ascii="inherit" w:hAnsi="inherit"/>
              </w:rPr>
              <w:t xml:space="preserve">apartment communities typically serve very low income, economically struggling, households, with rents subsidized in some form by a governmental agency – either through direct household </w:t>
            </w:r>
            <w:proofErr w:type="gramStart"/>
            <w:r>
              <w:rPr>
                <w:rFonts w:ascii="inherit" w:hAnsi="inherit"/>
              </w:rPr>
              <w:t>subsidy, or</w:t>
            </w:r>
            <w:proofErr w:type="gramEnd"/>
            <w:r>
              <w:rPr>
                <w:rFonts w:ascii="inherit" w:hAnsi="inherit"/>
              </w:rPr>
              <w:t xml:space="preserve"> rent-regulated maximums to qualifying households.  The subsidized property is typically funded through additional property-related government incentives – tax credit or bond funded, – strictly offering rentals to very low-income households.</w:t>
            </w:r>
          </w:p>
          <w:p w14:paraId="404098A1" w14:textId="77777777" w:rsidR="00D46297" w:rsidRDefault="00D46297">
            <w:pPr>
              <w:pStyle w:val="NormalWeb"/>
              <w:spacing w:before="225" w:beforeAutospacing="0" w:after="150" w:afterAutospacing="0" w:line="360" w:lineRule="atLeast"/>
              <w:textAlignment w:val="baseline"/>
              <w:rPr>
                <w:rFonts w:ascii="inherit" w:hAnsi="inherit"/>
              </w:rPr>
            </w:pPr>
          </w:p>
        </w:tc>
        <w:tc>
          <w:tcPr>
            <w:tcW w:w="20" w:type="dxa"/>
            <w:tcBorders>
              <w:top w:val="nil"/>
              <w:left w:val="nil"/>
              <w:bottom w:val="nil"/>
              <w:right w:val="nil"/>
            </w:tcBorders>
            <w:shd w:val="clear" w:color="auto" w:fill="auto"/>
            <w:hideMark/>
          </w:tcPr>
          <w:p w14:paraId="092C3ED8"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01739C98"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See "note" below.</w:t>
            </w:r>
          </w:p>
        </w:tc>
      </w:tr>
      <w:tr w:rsidR="00D46297" w14:paraId="033BEAF3" w14:textId="77777777" w:rsidTr="00CC3B9F">
        <w:tc>
          <w:tcPr>
            <w:tcW w:w="1890" w:type="dxa"/>
            <w:tcBorders>
              <w:top w:val="nil"/>
              <w:left w:val="nil"/>
              <w:bottom w:val="nil"/>
              <w:right w:val="nil"/>
            </w:tcBorders>
            <w:shd w:val="clear" w:color="auto" w:fill="auto"/>
            <w:hideMark/>
          </w:tcPr>
          <w:p w14:paraId="1D60291B"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Student</w:t>
            </w:r>
          </w:p>
        </w:tc>
        <w:tc>
          <w:tcPr>
            <w:tcW w:w="60" w:type="dxa"/>
            <w:tcBorders>
              <w:top w:val="nil"/>
              <w:left w:val="nil"/>
              <w:bottom w:val="nil"/>
              <w:right w:val="nil"/>
            </w:tcBorders>
            <w:shd w:val="clear" w:color="auto" w:fill="auto"/>
            <w:hideMark/>
          </w:tcPr>
          <w:p w14:paraId="0D15BB5E"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15C1AE5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xml:space="preserve">An aggressively growing multi-family market component focuses on university students. Student-oriented properties rent apartments "by-the-bed", and are typically located within </w:t>
            </w:r>
            <w:proofErr w:type="gramStart"/>
            <w:r>
              <w:rPr>
                <w:rFonts w:ascii="inherit" w:hAnsi="inherit"/>
              </w:rPr>
              <w:t>close proximity</w:t>
            </w:r>
            <w:proofErr w:type="gramEnd"/>
            <w:r>
              <w:rPr>
                <w:rFonts w:ascii="inherit" w:hAnsi="inherit"/>
              </w:rPr>
              <w:t xml:space="preserve"> of, or on, a college campus. When on-campus, ownership is most often a partnership between the institution and a private developer. This relatively recent evolution from </w:t>
            </w:r>
            <w:proofErr w:type="gramStart"/>
            <w:r>
              <w:rPr>
                <w:rFonts w:ascii="inherit" w:hAnsi="inherit"/>
              </w:rPr>
              <w:t>institutionally-owned</w:t>
            </w:r>
            <w:proofErr w:type="gramEnd"/>
            <w:r>
              <w:rPr>
                <w:rFonts w:ascii="inherit" w:hAnsi="inherit"/>
              </w:rPr>
              <w:t xml:space="preserve"> dormitory facilities, to privately developed, </w:t>
            </w:r>
            <w:r>
              <w:rPr>
                <w:rFonts w:ascii="inherit" w:hAnsi="inherit"/>
              </w:rPr>
              <w:lastRenderedPageBreak/>
              <w:t>and owned, facilities, has gained considerable traction in and around college campuses throughout geographic markets of all sizes.</w:t>
            </w:r>
          </w:p>
        </w:tc>
        <w:tc>
          <w:tcPr>
            <w:tcW w:w="20" w:type="dxa"/>
            <w:tcBorders>
              <w:top w:val="nil"/>
              <w:left w:val="nil"/>
              <w:bottom w:val="nil"/>
              <w:right w:val="nil"/>
            </w:tcBorders>
            <w:shd w:val="clear" w:color="auto" w:fill="auto"/>
            <w:hideMark/>
          </w:tcPr>
          <w:p w14:paraId="424AD584"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lastRenderedPageBreak/>
              <w:t> </w:t>
            </w:r>
          </w:p>
        </w:tc>
        <w:tc>
          <w:tcPr>
            <w:tcW w:w="1980" w:type="dxa"/>
            <w:tcBorders>
              <w:top w:val="nil"/>
              <w:left w:val="nil"/>
              <w:bottom w:val="nil"/>
              <w:right w:val="nil"/>
            </w:tcBorders>
            <w:shd w:val="clear" w:color="auto" w:fill="auto"/>
            <w:hideMark/>
          </w:tcPr>
          <w:p w14:paraId="4BEDF77A"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See "note" below.</w:t>
            </w:r>
          </w:p>
        </w:tc>
      </w:tr>
      <w:tr w:rsidR="00D46297" w14:paraId="1E183BEC" w14:textId="77777777" w:rsidTr="00CC3B9F">
        <w:tc>
          <w:tcPr>
            <w:tcW w:w="1890" w:type="dxa"/>
            <w:tcBorders>
              <w:top w:val="nil"/>
              <w:left w:val="nil"/>
              <w:bottom w:val="nil"/>
              <w:right w:val="nil"/>
            </w:tcBorders>
            <w:shd w:val="clear" w:color="auto" w:fill="auto"/>
            <w:hideMark/>
          </w:tcPr>
          <w:p w14:paraId="2CB127C6"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 </w:t>
            </w:r>
          </w:p>
        </w:tc>
        <w:tc>
          <w:tcPr>
            <w:tcW w:w="60" w:type="dxa"/>
            <w:tcBorders>
              <w:top w:val="nil"/>
              <w:left w:val="nil"/>
              <w:bottom w:val="nil"/>
              <w:right w:val="nil"/>
            </w:tcBorders>
            <w:shd w:val="clear" w:color="auto" w:fill="auto"/>
            <w:hideMark/>
          </w:tcPr>
          <w:p w14:paraId="234F92F4"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3EC551B7"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32DCA05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5500E32E"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53D7A025" w14:textId="77777777" w:rsidTr="00CC3B9F">
        <w:tc>
          <w:tcPr>
            <w:tcW w:w="1890" w:type="dxa"/>
            <w:tcBorders>
              <w:top w:val="nil"/>
              <w:left w:val="nil"/>
              <w:bottom w:val="nil"/>
              <w:right w:val="nil"/>
            </w:tcBorders>
            <w:shd w:val="clear" w:color="auto" w:fill="auto"/>
            <w:hideMark/>
          </w:tcPr>
          <w:p w14:paraId="22BF88E7"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Military</w:t>
            </w:r>
          </w:p>
        </w:tc>
        <w:tc>
          <w:tcPr>
            <w:tcW w:w="60" w:type="dxa"/>
            <w:tcBorders>
              <w:top w:val="nil"/>
              <w:left w:val="nil"/>
              <w:bottom w:val="nil"/>
              <w:right w:val="nil"/>
            </w:tcBorders>
            <w:shd w:val="clear" w:color="auto" w:fill="auto"/>
            <w:hideMark/>
          </w:tcPr>
          <w:p w14:paraId="28F3DA4A"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2E0A1097"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xml:space="preserve">In a manner </w:t>
            </w:r>
            <w:proofErr w:type="gramStart"/>
            <w:r>
              <w:rPr>
                <w:rFonts w:ascii="inherit" w:hAnsi="inherit"/>
              </w:rPr>
              <w:t>similar to</w:t>
            </w:r>
            <w:proofErr w:type="gramEnd"/>
            <w:r>
              <w:rPr>
                <w:rFonts w:ascii="inherit" w:hAnsi="inherit"/>
              </w:rPr>
              <w:t xml:space="preserve"> student-oriented rentals, military housing is typically located on, or near, a military facility.  Development and management </w:t>
            </w:r>
            <w:proofErr w:type="gramStart"/>
            <w:r>
              <w:rPr>
                <w:rFonts w:ascii="inherit" w:hAnsi="inherit"/>
              </w:rPr>
              <w:t>is</w:t>
            </w:r>
            <w:proofErr w:type="gramEnd"/>
            <w:r>
              <w:rPr>
                <w:rFonts w:ascii="inherit" w:hAnsi="inherit"/>
              </w:rPr>
              <w:t xml:space="preserve"> principally by private entities, and is often managed by the same entity.  Resident households are restricted to active military.</w:t>
            </w:r>
          </w:p>
        </w:tc>
        <w:tc>
          <w:tcPr>
            <w:tcW w:w="20" w:type="dxa"/>
            <w:tcBorders>
              <w:top w:val="nil"/>
              <w:left w:val="nil"/>
              <w:bottom w:val="nil"/>
              <w:right w:val="nil"/>
            </w:tcBorders>
            <w:shd w:val="clear" w:color="auto" w:fill="auto"/>
            <w:hideMark/>
          </w:tcPr>
          <w:p w14:paraId="532B442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3DE34B96"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See "note" below.</w:t>
            </w:r>
          </w:p>
        </w:tc>
      </w:tr>
      <w:tr w:rsidR="00D46297" w14:paraId="019AD5F6" w14:textId="77777777" w:rsidTr="00CC3B9F">
        <w:tc>
          <w:tcPr>
            <w:tcW w:w="1890" w:type="dxa"/>
            <w:tcBorders>
              <w:top w:val="nil"/>
              <w:left w:val="nil"/>
              <w:bottom w:val="nil"/>
              <w:right w:val="nil"/>
            </w:tcBorders>
            <w:shd w:val="clear" w:color="auto" w:fill="auto"/>
            <w:hideMark/>
          </w:tcPr>
          <w:p w14:paraId="12277F70"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60" w:type="dxa"/>
            <w:tcBorders>
              <w:top w:val="nil"/>
              <w:left w:val="nil"/>
              <w:bottom w:val="nil"/>
              <w:right w:val="nil"/>
            </w:tcBorders>
            <w:shd w:val="clear" w:color="auto" w:fill="auto"/>
            <w:hideMark/>
          </w:tcPr>
          <w:p w14:paraId="1050B6E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038616F0"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4A2AA63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613677B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17B3F415" w14:textId="77777777" w:rsidTr="00CC3B9F">
        <w:tc>
          <w:tcPr>
            <w:tcW w:w="1890" w:type="dxa"/>
            <w:tcBorders>
              <w:top w:val="nil"/>
              <w:left w:val="nil"/>
              <w:bottom w:val="nil"/>
              <w:right w:val="nil"/>
            </w:tcBorders>
            <w:shd w:val="clear" w:color="auto" w:fill="auto"/>
            <w:hideMark/>
          </w:tcPr>
          <w:p w14:paraId="2C0F003B"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Senior</w:t>
            </w:r>
          </w:p>
        </w:tc>
        <w:tc>
          <w:tcPr>
            <w:tcW w:w="60" w:type="dxa"/>
            <w:tcBorders>
              <w:top w:val="nil"/>
              <w:left w:val="nil"/>
              <w:bottom w:val="nil"/>
              <w:right w:val="nil"/>
            </w:tcBorders>
            <w:shd w:val="clear" w:color="auto" w:fill="auto"/>
            <w:hideMark/>
          </w:tcPr>
          <w:p w14:paraId="5688A44F"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53145DFA"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xml:space="preserve">Senior rentals are age-restricted; often subsidized. As this category is concerned, several variations distinguish a purely rental community is distinguished from more service-oriented "Senior Housing" facilities. Senior Housing, incorporating on-site services, and food service, is not included in Pro </w:t>
            </w:r>
            <w:proofErr w:type="gramStart"/>
            <w:r>
              <w:rPr>
                <w:rFonts w:ascii="inherit" w:hAnsi="inherit"/>
              </w:rPr>
              <w:t>Lab  reporting</w:t>
            </w:r>
            <w:proofErr w:type="gramEnd"/>
            <w:r>
              <w:rPr>
                <w:rFonts w:ascii="inherit" w:hAnsi="inherit"/>
              </w:rPr>
              <w:t>.</w:t>
            </w:r>
          </w:p>
        </w:tc>
        <w:tc>
          <w:tcPr>
            <w:tcW w:w="20" w:type="dxa"/>
            <w:tcBorders>
              <w:top w:val="nil"/>
              <w:left w:val="nil"/>
              <w:bottom w:val="nil"/>
              <w:right w:val="nil"/>
            </w:tcBorders>
            <w:shd w:val="clear" w:color="auto" w:fill="auto"/>
            <w:hideMark/>
          </w:tcPr>
          <w:p w14:paraId="4F6617EF"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1AB11D0B"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See "note" below.</w:t>
            </w:r>
          </w:p>
        </w:tc>
      </w:tr>
      <w:tr w:rsidR="00D46297" w14:paraId="354FDA5C" w14:textId="77777777" w:rsidTr="00CC3B9F">
        <w:tc>
          <w:tcPr>
            <w:tcW w:w="1890" w:type="dxa"/>
            <w:tcBorders>
              <w:top w:val="nil"/>
              <w:left w:val="nil"/>
              <w:bottom w:val="nil"/>
              <w:right w:val="nil"/>
            </w:tcBorders>
            <w:shd w:val="clear" w:color="auto" w:fill="auto"/>
            <w:hideMark/>
          </w:tcPr>
          <w:p w14:paraId="6DA78F3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60" w:type="dxa"/>
            <w:tcBorders>
              <w:top w:val="nil"/>
              <w:left w:val="nil"/>
              <w:bottom w:val="nil"/>
              <w:right w:val="nil"/>
            </w:tcBorders>
            <w:shd w:val="clear" w:color="auto" w:fill="auto"/>
            <w:hideMark/>
          </w:tcPr>
          <w:p w14:paraId="502EE72F"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3267CF9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20" w:type="dxa"/>
            <w:tcBorders>
              <w:top w:val="nil"/>
              <w:left w:val="nil"/>
              <w:bottom w:val="nil"/>
              <w:right w:val="nil"/>
            </w:tcBorders>
            <w:shd w:val="clear" w:color="auto" w:fill="auto"/>
            <w:hideMark/>
          </w:tcPr>
          <w:p w14:paraId="5394963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0652E60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r>
      <w:tr w:rsidR="00D46297" w14:paraId="5760A37F" w14:textId="77777777" w:rsidTr="00CC3B9F">
        <w:tc>
          <w:tcPr>
            <w:tcW w:w="1890" w:type="dxa"/>
            <w:tcBorders>
              <w:top w:val="nil"/>
              <w:left w:val="nil"/>
              <w:bottom w:val="nil"/>
              <w:right w:val="nil"/>
            </w:tcBorders>
            <w:shd w:val="clear" w:color="auto" w:fill="auto"/>
            <w:hideMark/>
          </w:tcPr>
          <w:p w14:paraId="5378D543" w14:textId="77777777" w:rsidR="00D46297" w:rsidRDefault="00D46297">
            <w:pPr>
              <w:pStyle w:val="NormalWeb"/>
              <w:spacing w:before="0" w:beforeAutospacing="0" w:after="0" w:afterAutospacing="0" w:line="360" w:lineRule="atLeast"/>
              <w:textAlignment w:val="baseline"/>
              <w:rPr>
                <w:rFonts w:ascii="inherit" w:hAnsi="inherit"/>
              </w:rPr>
            </w:pPr>
            <w:r>
              <w:rPr>
                <w:rStyle w:val="Strong"/>
                <w:rFonts w:ascii="inherit" w:eastAsiaTheme="majorEastAsia" w:hAnsi="inherit"/>
                <w:bdr w:val="none" w:sz="0" w:space="0" w:color="auto" w:frame="1"/>
              </w:rPr>
              <w:t>Transitional</w:t>
            </w:r>
          </w:p>
        </w:tc>
        <w:tc>
          <w:tcPr>
            <w:tcW w:w="60" w:type="dxa"/>
            <w:tcBorders>
              <w:top w:val="nil"/>
              <w:left w:val="nil"/>
              <w:bottom w:val="nil"/>
              <w:right w:val="nil"/>
            </w:tcBorders>
            <w:shd w:val="clear" w:color="auto" w:fill="auto"/>
            <w:hideMark/>
          </w:tcPr>
          <w:p w14:paraId="5D9A3D03"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7661" w:type="dxa"/>
            <w:tcBorders>
              <w:top w:val="nil"/>
              <w:left w:val="nil"/>
              <w:bottom w:val="nil"/>
              <w:right w:val="nil"/>
            </w:tcBorders>
            <w:shd w:val="clear" w:color="auto" w:fill="auto"/>
            <w:hideMark/>
          </w:tcPr>
          <w:p w14:paraId="0123757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Transitional housing is a relatively minor, but emerging, rental category. Transitional housing principally incorporates properties renting specifically to the formerly homeless, or individuals transitioning from drug rehabilitation, or recent incarceration. While transitional housing inventory is not of significant size, properties serving this purpose are being added to the apartment supply. A frequent form of transitional housing favors single-room occupancy (SRO) formats. The SRO format, more prevalent in larger metropolitan areas, typically does not include kitchen facilities, and may, or may not, include a private bath.</w:t>
            </w:r>
          </w:p>
        </w:tc>
        <w:tc>
          <w:tcPr>
            <w:tcW w:w="20" w:type="dxa"/>
            <w:tcBorders>
              <w:top w:val="nil"/>
              <w:left w:val="nil"/>
              <w:bottom w:val="nil"/>
              <w:right w:val="nil"/>
            </w:tcBorders>
            <w:shd w:val="clear" w:color="auto" w:fill="auto"/>
            <w:hideMark/>
          </w:tcPr>
          <w:p w14:paraId="485EBDE9"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w:t>
            </w:r>
          </w:p>
        </w:tc>
        <w:tc>
          <w:tcPr>
            <w:tcW w:w="1980" w:type="dxa"/>
            <w:tcBorders>
              <w:top w:val="nil"/>
              <w:left w:val="nil"/>
              <w:bottom w:val="nil"/>
              <w:right w:val="nil"/>
            </w:tcBorders>
            <w:shd w:val="clear" w:color="auto" w:fill="auto"/>
            <w:hideMark/>
          </w:tcPr>
          <w:p w14:paraId="75A85F65" w14:textId="77777777" w:rsidR="00D46297" w:rsidRDefault="00D46297">
            <w:pPr>
              <w:pStyle w:val="NormalWeb"/>
              <w:spacing w:before="225" w:beforeAutospacing="0" w:after="150" w:afterAutospacing="0" w:line="360" w:lineRule="atLeast"/>
              <w:jc w:val="center"/>
              <w:textAlignment w:val="baseline"/>
              <w:rPr>
                <w:rFonts w:ascii="inherit" w:hAnsi="inherit"/>
              </w:rPr>
            </w:pPr>
            <w:r>
              <w:rPr>
                <w:rFonts w:ascii="inherit" w:hAnsi="inherit"/>
              </w:rPr>
              <w:t>See "note" below.</w:t>
            </w:r>
          </w:p>
        </w:tc>
      </w:tr>
    </w:tbl>
    <w:p w14:paraId="0926C47B" w14:textId="77777777" w:rsidR="00D46297" w:rsidRDefault="00D46297" w:rsidP="00D46297">
      <w:pPr>
        <w:pStyle w:val="NormalWeb"/>
        <w:shd w:val="clear" w:color="auto" w:fill="FFFFFF"/>
        <w:spacing w:before="0" w:beforeAutospacing="0" w:after="0" w:afterAutospacing="0" w:line="360" w:lineRule="atLeast"/>
        <w:ind w:left="360" w:righ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Note: </w:t>
      </w:r>
    </w:p>
    <w:p w14:paraId="2F4C460D" w14:textId="77777777" w:rsidR="00D46297" w:rsidRDefault="00D46297" w:rsidP="00D46297">
      <w:pPr>
        <w:pStyle w:val="NormalWeb"/>
        <w:shd w:val="clear" w:color="auto" w:fill="FFFFFF"/>
        <w:spacing w:before="0" w:beforeAutospacing="0" w:after="0" w:afterAutospacing="0" w:line="360" w:lineRule="atLeast"/>
        <w:ind w:left="360" w:right="360"/>
        <w:textAlignment w:val="baseline"/>
        <w:rPr>
          <w:rFonts w:ascii="inherit" w:hAnsi="inherit" w:cs="Arial"/>
          <w:color w:val="1A1A1A"/>
        </w:rPr>
      </w:pPr>
      <w:r>
        <w:rPr>
          <w:rStyle w:val="Strong"/>
          <w:rFonts w:ascii="inherit" w:eastAsiaTheme="majorEastAsia" w:hAnsi="inherit" w:cs="Arial"/>
          <w:color w:val="1A1A1A"/>
          <w:bdr w:val="none" w:sz="0" w:space="0" w:color="auto" w:frame="1"/>
        </w:rPr>
        <w:t xml:space="preserve">Context® improvements ratings are assigned to properties included in each of these rental </w:t>
      </w:r>
      <w:proofErr w:type="gramStart"/>
      <w:r>
        <w:rPr>
          <w:rStyle w:val="Strong"/>
          <w:rFonts w:ascii="inherit" w:eastAsiaTheme="majorEastAsia" w:hAnsi="inherit" w:cs="Arial"/>
          <w:color w:val="1A1A1A"/>
          <w:bdr w:val="none" w:sz="0" w:space="0" w:color="auto" w:frame="1"/>
        </w:rPr>
        <w:t>categories, and</w:t>
      </w:r>
      <w:proofErr w:type="gramEnd"/>
      <w:r>
        <w:rPr>
          <w:rStyle w:val="Strong"/>
          <w:rFonts w:ascii="inherit" w:eastAsiaTheme="majorEastAsia" w:hAnsi="inherit" w:cs="Arial"/>
          <w:color w:val="1A1A1A"/>
          <w:bdr w:val="none" w:sz="0" w:space="0" w:color="auto" w:frame="1"/>
        </w:rPr>
        <w:t xml:space="preserve"> can be referenced when a search is being conducted.  As these segments are restricted to a particular household status, improvements ratings are not prime determinants when segmenting these properties into a select list is the objective.</w:t>
      </w:r>
    </w:p>
    <w:p w14:paraId="69C2EAD8" w14:textId="22F59815" w:rsidR="00D46297" w:rsidRDefault="00D46297"/>
    <w:p w14:paraId="74202BB1" w14:textId="77777777" w:rsidR="000F56C6" w:rsidRDefault="000F56C6" w:rsidP="00D46297">
      <w:pPr>
        <w:pStyle w:val="Heading1"/>
        <w:shd w:val="clear" w:color="auto" w:fill="FFFFFF"/>
        <w:spacing w:before="0" w:beforeAutospacing="0" w:after="0" w:afterAutospacing="0" w:line="288" w:lineRule="atLeast"/>
        <w:jc w:val="center"/>
        <w:textAlignment w:val="baseline"/>
        <w:rPr>
          <w:rStyle w:val="titlehead"/>
          <w:rFonts w:ascii="Arial" w:hAnsi="Arial" w:cs="Arial"/>
          <w:b w:val="0"/>
          <w:bCs w:val="0"/>
          <w:color w:val="545454"/>
          <w:spacing w:val="-7"/>
          <w:sz w:val="65"/>
          <w:szCs w:val="65"/>
          <w:bdr w:val="none" w:sz="0" w:space="0" w:color="auto" w:frame="1"/>
        </w:rPr>
      </w:pPr>
    </w:p>
    <w:p w14:paraId="560AB282" w14:textId="77777777" w:rsidR="000F56C6" w:rsidRDefault="000F56C6" w:rsidP="00D46297">
      <w:pPr>
        <w:pStyle w:val="Heading1"/>
        <w:shd w:val="clear" w:color="auto" w:fill="FFFFFF"/>
        <w:spacing w:before="0" w:beforeAutospacing="0" w:after="0" w:afterAutospacing="0" w:line="288" w:lineRule="atLeast"/>
        <w:jc w:val="center"/>
        <w:textAlignment w:val="baseline"/>
        <w:rPr>
          <w:rStyle w:val="titlehead"/>
          <w:rFonts w:ascii="Arial" w:hAnsi="Arial" w:cs="Arial"/>
          <w:b w:val="0"/>
          <w:bCs w:val="0"/>
          <w:color w:val="545454"/>
          <w:spacing w:val="-7"/>
          <w:sz w:val="65"/>
          <w:szCs w:val="65"/>
          <w:bdr w:val="none" w:sz="0" w:space="0" w:color="auto" w:frame="1"/>
        </w:rPr>
      </w:pPr>
    </w:p>
    <w:p w14:paraId="189ABC70" w14:textId="113915EC" w:rsidR="00D46297" w:rsidRDefault="00D46297" w:rsidP="00D46297">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lastRenderedPageBreak/>
        <w:t>How We Report Multi-Family Development Activity</w:t>
      </w:r>
    </w:p>
    <w:p w14:paraId="033BE5D7"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Multi-Family New Development activity status is tracked through a combination of primary research, and secondary source reference. Results are reported under three activity categories:</w:t>
      </w:r>
    </w:p>
    <w:p w14:paraId="2BED11B8"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Under Construction</w:t>
      </w:r>
      <w:r>
        <w:rPr>
          <w:rFonts w:ascii="inherit" w:hAnsi="inherit" w:cs="Arial"/>
          <w:color w:val="1A1A1A"/>
        </w:rPr>
        <w:t xml:space="preserve"> – Properties actively being developed. A property remains "Under Construction" until a final certificate of occupancy has been issued. Under construction status begins with permits, monitored monthly, beginning in the fourth month following permit issuance, with completion status confirmed through direct developer or contractor contact </w:t>
      </w:r>
      <w:proofErr w:type="gramStart"/>
      <w:r>
        <w:rPr>
          <w:rFonts w:ascii="inherit" w:hAnsi="inherit" w:cs="Arial"/>
          <w:color w:val="1A1A1A"/>
        </w:rPr>
        <w:t>during the course of</w:t>
      </w:r>
      <w:proofErr w:type="gramEnd"/>
      <w:r>
        <w:rPr>
          <w:rFonts w:ascii="inherit" w:hAnsi="inherit" w:cs="Arial"/>
          <w:color w:val="1A1A1A"/>
        </w:rPr>
        <w:t xml:space="preserve"> construction.</w:t>
      </w:r>
    </w:p>
    <w:p w14:paraId="40CD848E"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Planned</w:t>
      </w:r>
      <w:r>
        <w:rPr>
          <w:rFonts w:ascii="inherit" w:hAnsi="inherit" w:cs="Arial"/>
          <w:color w:val="1A1A1A"/>
        </w:rPr>
        <w:t> – Planned apartment communities are actively engaged in the development approval process. Planned development relies on a variety of secondary sources for available information: City Design Review Board minutes; development reporting services; and industry publications.</w:t>
      </w:r>
    </w:p>
    <w:p w14:paraId="27631BB9"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Prospective</w:t>
      </w:r>
      <w:r>
        <w:rPr>
          <w:rFonts w:ascii="inherit" w:hAnsi="inherit" w:cs="Arial"/>
          <w:color w:val="1A1A1A"/>
        </w:rPr>
        <w:t xml:space="preserve"> – Prospective Development holds lower status in probability of completion. Communities designated as Prospective are developments which: Remain subject to entitlement approvals; are being developed as "either apartments or condominiums - to be determined"; have been announced for "future development", </w:t>
      </w:r>
      <w:proofErr w:type="gramStart"/>
      <w:r>
        <w:rPr>
          <w:rFonts w:ascii="inherit" w:hAnsi="inherit" w:cs="Arial"/>
          <w:color w:val="1A1A1A"/>
        </w:rPr>
        <w:t>or;</w:t>
      </w:r>
      <w:proofErr w:type="gramEnd"/>
      <w:r>
        <w:rPr>
          <w:rFonts w:ascii="inherit" w:hAnsi="inherit" w:cs="Arial"/>
          <w:color w:val="1A1A1A"/>
        </w:rPr>
        <w:t xml:space="preserve"> have been temporarily placed on hold by the developer.</w:t>
      </w:r>
    </w:p>
    <w:p w14:paraId="202B3D69"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Information specific to a property's composition is entered as soon as possible after start of construction. Information sources </w:t>
      </w:r>
      <w:proofErr w:type="gramStart"/>
      <w:r>
        <w:rPr>
          <w:rFonts w:ascii="inherit" w:hAnsi="inherit" w:cs="Arial"/>
          <w:color w:val="1A1A1A"/>
        </w:rPr>
        <w:t>include:</w:t>
      </w:r>
      <w:proofErr w:type="gramEnd"/>
      <w:r>
        <w:rPr>
          <w:rFonts w:ascii="inherit" w:hAnsi="inherit" w:cs="Arial"/>
          <w:color w:val="1A1A1A"/>
        </w:rPr>
        <w:t xml:space="preserve"> Review of construction plans at city planning departments, contact with developers, contractors and architects associated with the project, and; site visits.</w:t>
      </w:r>
    </w:p>
    <w:p w14:paraId="35DF9746" w14:textId="08772805"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Rental rates among apartment communities under construction are included immediately following start of a property's rent-up period</w:t>
      </w:r>
      <w:r>
        <w:rPr>
          <w:rFonts w:ascii="inherit" w:hAnsi="inherit" w:cs="Arial"/>
          <w:color w:val="1A1A1A"/>
        </w:rPr>
        <w:t>.</w:t>
      </w:r>
    </w:p>
    <w:p w14:paraId="2511A8CF" w14:textId="3185DB5A" w:rsidR="00CC3B9F" w:rsidRDefault="00CC3B9F"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p>
    <w:p w14:paraId="773CD07A" w14:textId="77777777" w:rsidR="00CC3B9F" w:rsidRDefault="00CC3B9F"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p>
    <w:p w14:paraId="10A56307" w14:textId="1B7C3E85" w:rsidR="00D46297" w:rsidRDefault="00D46297" w:rsidP="00D46297">
      <w:pPr>
        <w:pStyle w:val="Heading1"/>
        <w:shd w:val="clear" w:color="auto" w:fill="FFFFFF"/>
        <w:spacing w:before="0" w:beforeAutospacing="0" w:after="0" w:afterAutospacing="0" w:line="288" w:lineRule="atLeast"/>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Apartment Property Operating Status</w:t>
      </w:r>
    </w:p>
    <w:p w14:paraId="33D4C87B" w14:textId="77777777" w:rsidR="00D46297" w:rsidRDefault="00D46297" w:rsidP="00D46297">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Apartment property operating status, or "Apartment supply", considers several facets – describing inventory in numbers of properties, numbers of units, and among property types. Specific needs can define inventory relationships according to: </w:t>
      </w:r>
      <w:r>
        <w:rPr>
          <w:rStyle w:val="Strong"/>
          <w:rFonts w:ascii="inherit" w:eastAsiaTheme="majorEastAsia" w:hAnsi="inherit" w:cs="Arial"/>
          <w:color w:val="1A1A1A"/>
          <w:bdr w:val="none" w:sz="0" w:space="0" w:color="auto" w:frame="1"/>
        </w:rPr>
        <w:t>Rental Format, Resident Restrictions, Completion Status</w:t>
      </w:r>
      <w:r>
        <w:rPr>
          <w:rFonts w:ascii="inherit" w:hAnsi="inherit" w:cs="Arial"/>
          <w:color w:val="1A1A1A"/>
        </w:rPr>
        <w:t> or </w:t>
      </w:r>
      <w:r>
        <w:rPr>
          <w:rStyle w:val="Strong"/>
          <w:rFonts w:ascii="inherit" w:eastAsiaTheme="majorEastAsia" w:hAnsi="inherit" w:cs="Arial"/>
          <w:color w:val="1A1A1A"/>
          <w:bdr w:val="none" w:sz="0" w:space="0" w:color="auto" w:frame="1"/>
        </w:rPr>
        <w:t>Certain Characteristics,</w:t>
      </w:r>
      <w:r>
        <w:rPr>
          <w:rFonts w:ascii="inherit" w:hAnsi="inherit" w:cs="Arial"/>
          <w:color w:val="1A1A1A"/>
        </w:rPr>
        <w:t> as:</w:t>
      </w:r>
    </w:p>
    <w:p w14:paraId="051BE55D" w14:textId="77777777" w:rsidR="00D46297" w:rsidRDefault="00D46297" w:rsidP="00D46297">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Rental Format</w:t>
      </w:r>
    </w:p>
    <w:p w14:paraId="1A3AC9A0" w14:textId="77777777" w:rsidR="00D46297" w:rsidRDefault="00D46297" w:rsidP="00D46297">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 Property’s Rental Format is defined by presence of rental rate restriction as:</w:t>
      </w:r>
    </w:p>
    <w:tbl>
      <w:tblPr>
        <w:tblW w:w="0" w:type="auto"/>
        <w:jc w:val="center"/>
        <w:tblCellMar>
          <w:top w:w="60" w:type="dxa"/>
          <w:left w:w="60" w:type="dxa"/>
          <w:bottom w:w="60" w:type="dxa"/>
          <w:right w:w="60" w:type="dxa"/>
        </w:tblCellMar>
        <w:tblLook w:val="04A0" w:firstRow="1" w:lastRow="0" w:firstColumn="1" w:lastColumn="0" w:noHBand="0" w:noVBand="1"/>
      </w:tblPr>
      <w:tblGrid>
        <w:gridCol w:w="2718"/>
        <w:gridCol w:w="8946"/>
      </w:tblGrid>
      <w:tr w:rsidR="00D46297" w14:paraId="7A6B17FF" w14:textId="77777777" w:rsidTr="00D46297">
        <w:trPr>
          <w:jc w:val="center"/>
        </w:trPr>
        <w:tc>
          <w:tcPr>
            <w:tcW w:w="0" w:type="auto"/>
            <w:shd w:val="clear" w:color="auto" w:fill="auto"/>
            <w:hideMark/>
          </w:tcPr>
          <w:p w14:paraId="4C1632B4" w14:textId="77777777" w:rsidR="00D46297" w:rsidRDefault="00D46297">
            <w:pPr>
              <w:pStyle w:val="Heading3"/>
              <w:spacing w:before="0"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lastRenderedPageBreak/>
              <w:t>Rental Status</w:t>
            </w:r>
          </w:p>
          <w:p w14:paraId="526CD8A1" w14:textId="77777777" w:rsidR="00D46297" w:rsidRDefault="00D46297">
            <w:pPr>
              <w:pStyle w:val="Heading3"/>
              <w:spacing w:before="0" w:after="120" w:line="288" w:lineRule="atLeast"/>
              <w:textAlignment w:val="baseline"/>
              <w:rPr>
                <w:rFonts w:ascii="Open Sans" w:hAnsi="Open Sans" w:cs="Open Sans"/>
                <w:b/>
                <w:bCs/>
                <w:color w:val="2B76A9"/>
                <w:sz w:val="41"/>
                <w:szCs w:val="41"/>
              </w:rPr>
            </w:pPr>
          </w:p>
          <w:p w14:paraId="5EA8F001" w14:textId="0AA40BFE"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Market Rate</w:t>
            </w:r>
          </w:p>
        </w:tc>
        <w:tc>
          <w:tcPr>
            <w:tcW w:w="0" w:type="auto"/>
            <w:shd w:val="clear" w:color="auto" w:fill="auto"/>
            <w:hideMark/>
          </w:tcPr>
          <w:p w14:paraId="2E91FDB3" w14:textId="77777777" w:rsidR="00D46297" w:rsidRDefault="00D46297">
            <w:pPr>
              <w:pStyle w:val="NormalWeb"/>
              <w:spacing w:before="225" w:beforeAutospacing="0" w:after="150" w:afterAutospacing="0" w:line="360" w:lineRule="atLeast"/>
              <w:textAlignment w:val="baseline"/>
              <w:rPr>
                <w:rFonts w:ascii="inherit" w:hAnsi="inherit"/>
              </w:rPr>
            </w:pPr>
          </w:p>
          <w:p w14:paraId="74F03531" w14:textId="77777777" w:rsidR="00D46297" w:rsidRDefault="00D46297">
            <w:pPr>
              <w:pStyle w:val="NormalWeb"/>
              <w:spacing w:before="225" w:beforeAutospacing="0" w:after="150" w:afterAutospacing="0" w:line="360" w:lineRule="atLeast"/>
              <w:textAlignment w:val="baseline"/>
              <w:rPr>
                <w:rFonts w:ascii="inherit" w:hAnsi="inherit"/>
              </w:rPr>
            </w:pPr>
          </w:p>
          <w:p w14:paraId="120C3C1E" w14:textId="31BE848F"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 market-rate property is free to establish rental rates, subject only to rental environment competitive restrictions.</w:t>
            </w:r>
          </w:p>
        </w:tc>
      </w:tr>
      <w:tr w:rsidR="00D46297" w14:paraId="161F4EB1" w14:textId="77777777" w:rsidTr="00D46297">
        <w:trPr>
          <w:jc w:val="center"/>
        </w:trPr>
        <w:tc>
          <w:tcPr>
            <w:tcW w:w="0" w:type="auto"/>
            <w:shd w:val="clear" w:color="auto" w:fill="auto"/>
            <w:hideMark/>
          </w:tcPr>
          <w:p w14:paraId="79848E50"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Partially Affordable</w:t>
            </w:r>
          </w:p>
        </w:tc>
        <w:tc>
          <w:tcPr>
            <w:tcW w:w="0" w:type="auto"/>
            <w:shd w:val="clear" w:color="auto" w:fill="auto"/>
            <w:hideMark/>
          </w:tcPr>
          <w:p w14:paraId="6D549CDA" w14:textId="77777777" w:rsidR="00D46297" w:rsidRDefault="00D46297">
            <w:pPr>
              <w:pStyle w:val="NormalWeb"/>
              <w:spacing w:before="0" w:beforeAutospacing="0" w:after="0" w:afterAutospacing="0" w:line="360" w:lineRule="atLeast"/>
              <w:textAlignment w:val="baseline"/>
              <w:rPr>
                <w:rFonts w:ascii="inherit" w:hAnsi="inherit"/>
              </w:rPr>
            </w:pPr>
            <w:r>
              <w:rPr>
                <w:rFonts w:ascii="inherit" w:hAnsi="inherit"/>
              </w:rPr>
              <w:t>A property including a portion of households required to be offered as </w:t>
            </w:r>
            <w:r>
              <w:rPr>
                <w:rStyle w:val="Strong"/>
                <w:rFonts w:ascii="inherit" w:eastAsiaTheme="majorEastAsia" w:hAnsi="inherit"/>
                <w:bdr w:val="none" w:sz="0" w:space="0" w:color="auto" w:frame="1"/>
              </w:rPr>
              <w:t>Affordable</w:t>
            </w:r>
            <w:r>
              <w:rPr>
                <w:rFonts w:ascii="inherit" w:hAnsi="inherit"/>
              </w:rPr>
              <w:t> is treated as </w:t>
            </w:r>
            <w:r>
              <w:rPr>
                <w:rStyle w:val="Strong"/>
                <w:rFonts w:ascii="inherit" w:eastAsiaTheme="majorEastAsia" w:hAnsi="inherit"/>
                <w:bdr w:val="none" w:sz="0" w:space="0" w:color="auto" w:frame="1"/>
              </w:rPr>
              <w:t>Market Rate</w:t>
            </w:r>
            <w:r>
              <w:rPr>
                <w:rFonts w:ascii="inherit" w:hAnsi="inherit"/>
              </w:rPr>
              <w:t> under definitions applied to illustration. Affordable households included in a partially affordable property may:</w:t>
            </w:r>
          </w:p>
          <w:p w14:paraId="621258E5" w14:textId="77777777" w:rsidR="00D46297" w:rsidRDefault="00D46297" w:rsidP="00D46297">
            <w:pPr>
              <w:numPr>
                <w:ilvl w:val="0"/>
                <w:numId w:val="4"/>
              </w:numPr>
              <w:spacing w:before="75" w:after="150" w:line="300" w:lineRule="atLeast"/>
              <w:ind w:left="1095"/>
              <w:textAlignment w:val="baseline"/>
              <w:rPr>
                <w:rFonts w:ascii="inherit" w:hAnsi="inherit"/>
              </w:rPr>
            </w:pPr>
            <w:r>
              <w:rPr>
                <w:rFonts w:ascii="inherit" w:hAnsi="inherit"/>
              </w:rPr>
              <w:t>Be subsidized by the property in the form of reduced rental rates among select households</w:t>
            </w:r>
          </w:p>
          <w:p w14:paraId="74E93336" w14:textId="77777777" w:rsidR="00D46297" w:rsidRDefault="00D46297" w:rsidP="00D46297">
            <w:pPr>
              <w:numPr>
                <w:ilvl w:val="0"/>
                <w:numId w:val="4"/>
              </w:numPr>
              <w:spacing w:before="75" w:after="150" w:line="300" w:lineRule="atLeast"/>
              <w:ind w:left="1095"/>
              <w:textAlignment w:val="baseline"/>
              <w:rPr>
                <w:rFonts w:ascii="inherit" w:hAnsi="inherit"/>
              </w:rPr>
            </w:pPr>
            <w:r>
              <w:rPr>
                <w:rFonts w:ascii="inherit" w:hAnsi="inherit"/>
              </w:rPr>
              <w:t>The resident may be subsidized by an outside agency (</w:t>
            </w:r>
            <w:proofErr w:type="gramStart"/>
            <w:r>
              <w:rPr>
                <w:rFonts w:ascii="inherit" w:hAnsi="inherit"/>
              </w:rPr>
              <w:t>i.e.</w:t>
            </w:r>
            <w:proofErr w:type="gramEnd"/>
            <w:r>
              <w:rPr>
                <w:rFonts w:ascii="inherit" w:hAnsi="inherit"/>
              </w:rPr>
              <w:t xml:space="preserve"> Section 8), or;</w:t>
            </w:r>
          </w:p>
          <w:p w14:paraId="315E9FA5" w14:textId="77777777" w:rsidR="00D46297" w:rsidRDefault="00D46297" w:rsidP="00D46297">
            <w:pPr>
              <w:numPr>
                <w:ilvl w:val="0"/>
                <w:numId w:val="4"/>
              </w:numPr>
              <w:spacing w:before="75" w:after="150" w:line="300" w:lineRule="atLeast"/>
              <w:ind w:left="1095"/>
              <w:textAlignment w:val="baseline"/>
              <w:rPr>
                <w:rFonts w:ascii="inherit" w:hAnsi="inherit"/>
              </w:rPr>
            </w:pPr>
            <w:r>
              <w:rPr>
                <w:rFonts w:ascii="inherit" w:hAnsi="inherit"/>
              </w:rPr>
              <w:t>Subsidy isn't required, but a percentage of households must meet certain, not-to-exceed, household income standards</w:t>
            </w:r>
          </w:p>
        </w:tc>
      </w:tr>
      <w:tr w:rsidR="00D46297" w14:paraId="7CF9C420" w14:textId="77777777" w:rsidTr="00D46297">
        <w:trPr>
          <w:jc w:val="center"/>
        </w:trPr>
        <w:tc>
          <w:tcPr>
            <w:tcW w:w="0" w:type="auto"/>
            <w:shd w:val="clear" w:color="auto" w:fill="auto"/>
            <w:hideMark/>
          </w:tcPr>
          <w:p w14:paraId="4A1A964C"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Affordable</w:t>
            </w:r>
          </w:p>
        </w:tc>
        <w:tc>
          <w:tcPr>
            <w:tcW w:w="0" w:type="auto"/>
            <w:shd w:val="clear" w:color="auto" w:fill="auto"/>
            <w:hideMark/>
          </w:tcPr>
          <w:p w14:paraId="7904ABB6" w14:textId="77777777" w:rsidR="00D46297" w:rsidRDefault="00D46297">
            <w:pPr>
              <w:pStyle w:val="NormalWeb"/>
              <w:spacing w:before="0" w:beforeAutospacing="0" w:after="0" w:afterAutospacing="0" w:line="360" w:lineRule="atLeast"/>
              <w:textAlignment w:val="baseline"/>
              <w:rPr>
                <w:rFonts w:ascii="inherit" w:hAnsi="inherit"/>
              </w:rPr>
            </w:pPr>
            <w:r>
              <w:rPr>
                <w:rFonts w:ascii="inherit" w:hAnsi="inherit"/>
              </w:rPr>
              <w:t>A property designated as </w:t>
            </w:r>
            <w:r>
              <w:rPr>
                <w:rStyle w:val="Strong"/>
                <w:rFonts w:ascii="inherit" w:eastAsiaTheme="majorEastAsia" w:hAnsi="inherit"/>
                <w:bdr w:val="none" w:sz="0" w:space="0" w:color="auto" w:frame="1"/>
              </w:rPr>
              <w:t>Affordable</w:t>
            </w:r>
            <w:r>
              <w:rPr>
                <w:rFonts w:ascii="inherit" w:hAnsi="inherit"/>
              </w:rPr>
              <w:t> is non-competitive. That is, rents are pre-established by a regulatory agency. The </w:t>
            </w:r>
            <w:r>
              <w:rPr>
                <w:rStyle w:val="Strong"/>
                <w:rFonts w:ascii="inherit" w:eastAsiaTheme="majorEastAsia" w:hAnsi="inherit"/>
                <w:bdr w:val="none" w:sz="0" w:space="0" w:color="auto" w:frame="1"/>
              </w:rPr>
              <w:t>Affordable</w:t>
            </w:r>
            <w:r>
              <w:rPr>
                <w:rFonts w:ascii="inherit" w:hAnsi="inherit"/>
              </w:rPr>
              <w:t> property restricts housing only to pre-qualified low-income households, and rents are subsidized according to household income.</w:t>
            </w:r>
          </w:p>
          <w:p w14:paraId="433C579C" w14:textId="77777777" w:rsidR="00D46297" w:rsidRDefault="00D46297">
            <w:pPr>
              <w:pStyle w:val="NormalWeb"/>
              <w:spacing w:before="0" w:beforeAutospacing="0" w:after="0" w:afterAutospacing="0" w:line="360" w:lineRule="atLeast"/>
              <w:textAlignment w:val="baseline"/>
              <w:rPr>
                <w:rFonts w:ascii="inherit" w:hAnsi="inherit"/>
              </w:rPr>
            </w:pPr>
            <w:r>
              <w:rPr>
                <w:rFonts w:ascii="inherit" w:hAnsi="inherit"/>
              </w:rPr>
              <w:t>Properties designated as </w:t>
            </w:r>
            <w:r>
              <w:rPr>
                <w:rStyle w:val="Strong"/>
                <w:rFonts w:ascii="inherit" w:eastAsiaTheme="majorEastAsia" w:hAnsi="inherit"/>
                <w:bdr w:val="none" w:sz="0" w:space="0" w:color="auto" w:frame="1"/>
              </w:rPr>
              <w:t>Affordable</w:t>
            </w:r>
            <w:r>
              <w:rPr>
                <w:rFonts w:ascii="inherit" w:hAnsi="inherit"/>
              </w:rPr>
              <w:t> are not representative of rental market conditions consequently are excluded from rent surveys.</w:t>
            </w:r>
          </w:p>
        </w:tc>
      </w:tr>
      <w:tr w:rsidR="00D46297" w14:paraId="548BF13F" w14:textId="77777777" w:rsidTr="00D46297">
        <w:trPr>
          <w:jc w:val="center"/>
        </w:trPr>
        <w:tc>
          <w:tcPr>
            <w:tcW w:w="0" w:type="auto"/>
            <w:gridSpan w:val="2"/>
            <w:shd w:val="clear" w:color="auto" w:fill="auto"/>
            <w:hideMark/>
          </w:tcPr>
          <w:p w14:paraId="14E5F245" w14:textId="77777777" w:rsidR="00D46297" w:rsidRDefault="00D46297">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Resident Restricted</w:t>
            </w:r>
          </w:p>
        </w:tc>
      </w:tr>
      <w:tr w:rsidR="00D46297" w14:paraId="5568D164" w14:textId="77777777" w:rsidTr="00D46297">
        <w:trPr>
          <w:jc w:val="center"/>
        </w:trPr>
        <w:tc>
          <w:tcPr>
            <w:tcW w:w="0" w:type="auto"/>
            <w:shd w:val="clear" w:color="auto" w:fill="auto"/>
            <w:hideMark/>
          </w:tcPr>
          <w:p w14:paraId="17B2CFDC"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Age</w:t>
            </w:r>
          </w:p>
        </w:tc>
        <w:tc>
          <w:tcPr>
            <w:tcW w:w="0" w:type="auto"/>
            <w:shd w:val="clear" w:color="auto" w:fill="auto"/>
            <w:hideMark/>
          </w:tcPr>
          <w:p w14:paraId="41DCF9D2"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Age restricted properties rent exclusively to resident households according to age group. (</w:t>
            </w:r>
            <w:proofErr w:type="gramStart"/>
            <w:r>
              <w:rPr>
                <w:rFonts w:ascii="inherit" w:hAnsi="inherit"/>
              </w:rPr>
              <w:t>i.e.</w:t>
            </w:r>
            <w:proofErr w:type="gramEnd"/>
            <w:r>
              <w:rPr>
                <w:rFonts w:ascii="inherit" w:hAnsi="inherit"/>
              </w:rPr>
              <w:t xml:space="preserve"> 55+ years of age)</w:t>
            </w:r>
          </w:p>
        </w:tc>
      </w:tr>
      <w:tr w:rsidR="00D46297" w14:paraId="4CD4D306" w14:textId="77777777" w:rsidTr="00D46297">
        <w:trPr>
          <w:jc w:val="center"/>
        </w:trPr>
        <w:tc>
          <w:tcPr>
            <w:tcW w:w="0" w:type="auto"/>
            <w:shd w:val="clear" w:color="auto" w:fill="auto"/>
            <w:hideMark/>
          </w:tcPr>
          <w:p w14:paraId="3135DCF2"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Student</w:t>
            </w:r>
          </w:p>
        </w:tc>
        <w:tc>
          <w:tcPr>
            <w:tcW w:w="0" w:type="auto"/>
            <w:shd w:val="clear" w:color="auto" w:fill="auto"/>
            <w:hideMark/>
          </w:tcPr>
          <w:p w14:paraId="7A69EDCD"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Student apartments are fully furnished, include utilities in rents, and rented by the bed, rather than a conventional by-the-unit format. While student housing is typically located on, or near, college/university campuses, rental may not necessarily be limited to students.</w:t>
            </w:r>
          </w:p>
        </w:tc>
      </w:tr>
      <w:tr w:rsidR="00D46297" w14:paraId="315F8985" w14:textId="77777777" w:rsidTr="00D46297">
        <w:trPr>
          <w:jc w:val="center"/>
        </w:trPr>
        <w:tc>
          <w:tcPr>
            <w:tcW w:w="0" w:type="auto"/>
            <w:shd w:val="clear" w:color="auto" w:fill="auto"/>
            <w:hideMark/>
          </w:tcPr>
          <w:p w14:paraId="1BB06945"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Military</w:t>
            </w:r>
          </w:p>
        </w:tc>
        <w:tc>
          <w:tcPr>
            <w:tcW w:w="0" w:type="auto"/>
            <w:shd w:val="clear" w:color="auto" w:fill="auto"/>
            <w:hideMark/>
          </w:tcPr>
          <w:p w14:paraId="59C3389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Military apartment communities are developed, and operated, by private companies under contract with a government agency. Location is typically on a military base; rental is limited to military personnel.</w:t>
            </w:r>
          </w:p>
        </w:tc>
      </w:tr>
      <w:tr w:rsidR="00D46297" w14:paraId="51B4D7D3" w14:textId="77777777" w:rsidTr="00D46297">
        <w:trPr>
          <w:jc w:val="center"/>
        </w:trPr>
        <w:tc>
          <w:tcPr>
            <w:tcW w:w="0" w:type="auto"/>
            <w:gridSpan w:val="2"/>
            <w:shd w:val="clear" w:color="auto" w:fill="auto"/>
            <w:hideMark/>
          </w:tcPr>
          <w:p w14:paraId="392B8CC8" w14:textId="77777777" w:rsidR="00D46297" w:rsidRDefault="00D46297">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Completion Status</w:t>
            </w:r>
          </w:p>
          <w:p w14:paraId="56C4A9D9"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Apartment supply completion status illustrates four levels of condition:</w:t>
            </w:r>
          </w:p>
        </w:tc>
      </w:tr>
      <w:tr w:rsidR="00D46297" w14:paraId="7587B480" w14:textId="77777777" w:rsidTr="00D46297">
        <w:trPr>
          <w:jc w:val="center"/>
        </w:trPr>
        <w:tc>
          <w:tcPr>
            <w:tcW w:w="0" w:type="auto"/>
            <w:shd w:val="clear" w:color="auto" w:fill="auto"/>
            <w:hideMark/>
          </w:tcPr>
          <w:p w14:paraId="21C8AC5F"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lastRenderedPageBreak/>
              <w:t>Completed Properties</w:t>
            </w:r>
          </w:p>
        </w:tc>
        <w:tc>
          <w:tcPr>
            <w:tcW w:w="0" w:type="auto"/>
            <w:shd w:val="clear" w:color="auto" w:fill="auto"/>
            <w:hideMark/>
          </w:tcPr>
          <w:p w14:paraId="2A896F83"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Inventory of all 50+ unit apartment communities currently operating, regardless of rental status (</w:t>
            </w:r>
            <w:proofErr w:type="gramStart"/>
            <w:r>
              <w:rPr>
                <w:rFonts w:ascii="inherit" w:hAnsi="inherit"/>
              </w:rPr>
              <w:t>i.e.</w:t>
            </w:r>
            <w:proofErr w:type="gramEnd"/>
            <w:r>
              <w:rPr>
                <w:rFonts w:ascii="inherit" w:hAnsi="inherit"/>
              </w:rPr>
              <w:t xml:space="preserve"> restricted, or market-rate).</w:t>
            </w:r>
          </w:p>
        </w:tc>
      </w:tr>
      <w:tr w:rsidR="00D46297" w14:paraId="129FCDAB" w14:textId="77777777" w:rsidTr="00D46297">
        <w:trPr>
          <w:jc w:val="center"/>
        </w:trPr>
        <w:tc>
          <w:tcPr>
            <w:tcW w:w="0" w:type="auto"/>
            <w:shd w:val="clear" w:color="auto" w:fill="auto"/>
            <w:hideMark/>
          </w:tcPr>
          <w:p w14:paraId="72249060"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Under Construction</w:t>
            </w:r>
          </w:p>
        </w:tc>
        <w:tc>
          <w:tcPr>
            <w:tcW w:w="0" w:type="auto"/>
            <w:shd w:val="clear" w:color="auto" w:fill="auto"/>
            <w:hideMark/>
          </w:tcPr>
          <w:p w14:paraId="7FC3B911"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Apartment communities currently under construction.</w:t>
            </w:r>
          </w:p>
        </w:tc>
      </w:tr>
      <w:tr w:rsidR="00D46297" w14:paraId="7C7C95A3" w14:textId="77777777" w:rsidTr="00D46297">
        <w:trPr>
          <w:jc w:val="center"/>
        </w:trPr>
        <w:tc>
          <w:tcPr>
            <w:tcW w:w="0" w:type="auto"/>
            <w:shd w:val="clear" w:color="auto" w:fill="auto"/>
            <w:hideMark/>
          </w:tcPr>
          <w:p w14:paraId="17A1E2C7"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Planned</w:t>
            </w:r>
          </w:p>
        </w:tc>
        <w:tc>
          <w:tcPr>
            <w:tcW w:w="0" w:type="auto"/>
            <w:shd w:val="clear" w:color="auto" w:fill="auto"/>
            <w:hideMark/>
          </w:tcPr>
          <w:p w14:paraId="3885B4F9"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 planned apartment community is actively moving through the pre-development process; specifically intended to be developed as apartments.</w:t>
            </w:r>
          </w:p>
        </w:tc>
      </w:tr>
      <w:tr w:rsidR="00D46297" w14:paraId="2FA216F5" w14:textId="77777777" w:rsidTr="00D46297">
        <w:trPr>
          <w:jc w:val="center"/>
        </w:trPr>
        <w:tc>
          <w:tcPr>
            <w:tcW w:w="0" w:type="auto"/>
            <w:shd w:val="clear" w:color="auto" w:fill="auto"/>
            <w:hideMark/>
          </w:tcPr>
          <w:p w14:paraId="52857E9B"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Prospective</w:t>
            </w:r>
          </w:p>
        </w:tc>
        <w:tc>
          <w:tcPr>
            <w:tcW w:w="0" w:type="auto"/>
            <w:shd w:val="clear" w:color="auto" w:fill="auto"/>
            <w:hideMark/>
          </w:tcPr>
          <w:p w14:paraId="6656EBD4"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 xml:space="preserve">A prospective development is tentative, subject to: Entitlement approvals; having been temporarily shelved by the developer, </w:t>
            </w:r>
            <w:proofErr w:type="gramStart"/>
            <w:r>
              <w:rPr>
                <w:rFonts w:ascii="inherit" w:hAnsi="inherit"/>
              </w:rPr>
              <w:t>or;</w:t>
            </w:r>
            <w:proofErr w:type="gramEnd"/>
            <w:r>
              <w:rPr>
                <w:rFonts w:ascii="inherit" w:hAnsi="inherit"/>
              </w:rPr>
              <w:t xml:space="preserve"> the developer is uncertain regarding final status - whether the property will be an apartment, or units will be sold individually as condominiums.</w:t>
            </w:r>
          </w:p>
        </w:tc>
      </w:tr>
      <w:tr w:rsidR="00D46297" w14:paraId="4FF91E32" w14:textId="77777777" w:rsidTr="00D46297">
        <w:trPr>
          <w:jc w:val="center"/>
        </w:trPr>
        <w:tc>
          <w:tcPr>
            <w:tcW w:w="0" w:type="auto"/>
            <w:gridSpan w:val="2"/>
            <w:shd w:val="clear" w:color="auto" w:fill="auto"/>
            <w:hideMark/>
          </w:tcPr>
          <w:p w14:paraId="785780E7" w14:textId="77777777" w:rsidR="00D46297" w:rsidRDefault="00D46297">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 xml:space="preserve">Apartment Communities Defined </w:t>
            </w:r>
            <w:proofErr w:type="gramStart"/>
            <w:r>
              <w:rPr>
                <w:rFonts w:ascii="Open Sans" w:hAnsi="Open Sans" w:cs="Open Sans"/>
                <w:color w:val="1A1A1A"/>
                <w:sz w:val="41"/>
                <w:szCs w:val="41"/>
              </w:rPr>
              <w:t>By</w:t>
            </w:r>
            <w:proofErr w:type="gramEnd"/>
            <w:r>
              <w:rPr>
                <w:rFonts w:ascii="Open Sans" w:hAnsi="Open Sans" w:cs="Open Sans"/>
                <w:color w:val="1A1A1A"/>
                <w:sz w:val="41"/>
                <w:szCs w:val="41"/>
              </w:rPr>
              <w:t xml:space="preserve"> Certain Characteristics</w:t>
            </w:r>
          </w:p>
        </w:tc>
      </w:tr>
      <w:tr w:rsidR="00D46297" w14:paraId="506C5A68" w14:textId="77777777" w:rsidTr="00D46297">
        <w:trPr>
          <w:jc w:val="center"/>
        </w:trPr>
        <w:tc>
          <w:tcPr>
            <w:tcW w:w="0" w:type="auto"/>
            <w:shd w:val="clear" w:color="auto" w:fill="auto"/>
            <w:hideMark/>
          </w:tcPr>
          <w:p w14:paraId="23083CCE"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Transit Oriented Development (TOD)</w:t>
            </w:r>
          </w:p>
        </w:tc>
        <w:tc>
          <w:tcPr>
            <w:tcW w:w="0" w:type="auto"/>
            <w:shd w:val="clear" w:color="auto" w:fill="auto"/>
            <w:hideMark/>
          </w:tcPr>
          <w:p w14:paraId="0E11801C"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 development included within an approximate one-quarter mile (1,250 foot) radius surrounding a public transit rail station.</w:t>
            </w:r>
          </w:p>
        </w:tc>
      </w:tr>
      <w:tr w:rsidR="00D46297" w14:paraId="38CFE96E" w14:textId="77777777" w:rsidTr="00D46297">
        <w:trPr>
          <w:jc w:val="center"/>
        </w:trPr>
        <w:tc>
          <w:tcPr>
            <w:tcW w:w="0" w:type="auto"/>
            <w:shd w:val="clear" w:color="auto" w:fill="auto"/>
            <w:hideMark/>
          </w:tcPr>
          <w:p w14:paraId="67D53660"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Green Buildings</w:t>
            </w:r>
          </w:p>
        </w:tc>
        <w:tc>
          <w:tcPr>
            <w:tcW w:w="0" w:type="auto"/>
            <w:shd w:val="clear" w:color="auto" w:fill="auto"/>
            <w:hideMark/>
          </w:tcPr>
          <w:p w14:paraId="7993DE9B"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 property designated as holding a particular status as "environmentally friendly." The term "sustainable" is often applied interchangeably with green building designation. Sustainable design refers to such characteristics as a lowering of demands on the environment as a result of certain building characteristics: Low energy usage; reduced water usage; carbon neutral (</w:t>
            </w:r>
            <w:proofErr w:type="gramStart"/>
            <w:r>
              <w:rPr>
                <w:rFonts w:ascii="inherit" w:hAnsi="inherit"/>
              </w:rPr>
              <w:t>i.e.</w:t>
            </w:r>
            <w:proofErr w:type="gramEnd"/>
            <w:r>
              <w:rPr>
                <w:rFonts w:ascii="inherit" w:hAnsi="inherit"/>
              </w:rPr>
              <w:t xml:space="preserve"> no carbon dioxide emissions result from property operations - either directly or indirectly).</w:t>
            </w:r>
          </w:p>
        </w:tc>
      </w:tr>
      <w:tr w:rsidR="00D46297" w14:paraId="6EA21211" w14:textId="77777777" w:rsidTr="00D46297">
        <w:trPr>
          <w:jc w:val="center"/>
        </w:trPr>
        <w:tc>
          <w:tcPr>
            <w:tcW w:w="0" w:type="auto"/>
            <w:shd w:val="clear" w:color="auto" w:fill="auto"/>
            <w:hideMark/>
          </w:tcPr>
          <w:p w14:paraId="1B3AE406"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Mid-Rise</w:t>
            </w:r>
          </w:p>
        </w:tc>
        <w:tc>
          <w:tcPr>
            <w:tcW w:w="0" w:type="auto"/>
            <w:shd w:val="clear" w:color="auto" w:fill="auto"/>
            <w:hideMark/>
          </w:tcPr>
          <w:p w14:paraId="3D4A8376"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Apartment communities incorporated into buildings of five to nine stories in height.</w:t>
            </w:r>
          </w:p>
        </w:tc>
      </w:tr>
      <w:tr w:rsidR="00D46297" w14:paraId="6E0B3D3B" w14:textId="77777777" w:rsidTr="00D46297">
        <w:trPr>
          <w:jc w:val="center"/>
        </w:trPr>
        <w:tc>
          <w:tcPr>
            <w:tcW w:w="0" w:type="auto"/>
            <w:shd w:val="clear" w:color="auto" w:fill="auto"/>
            <w:hideMark/>
          </w:tcPr>
          <w:p w14:paraId="5A9C0BF6"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High Rise</w:t>
            </w:r>
          </w:p>
        </w:tc>
        <w:tc>
          <w:tcPr>
            <w:tcW w:w="0" w:type="auto"/>
            <w:shd w:val="clear" w:color="auto" w:fill="auto"/>
            <w:hideMark/>
          </w:tcPr>
          <w:p w14:paraId="2F83CAE3" w14:textId="77777777" w:rsidR="00D46297" w:rsidRDefault="00D46297">
            <w:pPr>
              <w:pStyle w:val="NormalWeb"/>
              <w:spacing w:before="225" w:beforeAutospacing="0" w:after="150" w:afterAutospacing="0" w:line="360" w:lineRule="atLeast"/>
              <w:textAlignment w:val="baseline"/>
              <w:rPr>
                <w:rFonts w:ascii="inherit" w:hAnsi="inherit"/>
              </w:rPr>
            </w:pPr>
            <w:r>
              <w:rPr>
                <w:rFonts w:ascii="inherit" w:hAnsi="inherit"/>
              </w:rPr>
              <w:t>Apartment communities of 10+ stories in height.</w:t>
            </w:r>
          </w:p>
        </w:tc>
      </w:tr>
      <w:tr w:rsidR="00D46297" w14:paraId="67B674AE" w14:textId="77777777" w:rsidTr="00D46297">
        <w:trPr>
          <w:jc w:val="center"/>
        </w:trPr>
        <w:tc>
          <w:tcPr>
            <w:tcW w:w="0" w:type="auto"/>
            <w:shd w:val="clear" w:color="auto" w:fill="auto"/>
            <w:hideMark/>
          </w:tcPr>
          <w:p w14:paraId="4038E74F" w14:textId="77777777" w:rsidR="00D46297" w:rsidRDefault="00D46297">
            <w:pPr>
              <w:pStyle w:val="Heading3"/>
              <w:spacing w:before="0" w:after="120" w:line="288" w:lineRule="atLeast"/>
              <w:textAlignment w:val="baseline"/>
              <w:rPr>
                <w:rFonts w:ascii="Arial" w:hAnsi="Arial" w:cs="Arial"/>
                <w:color w:val="2B76A9"/>
                <w:sz w:val="30"/>
                <w:szCs w:val="30"/>
              </w:rPr>
            </w:pPr>
            <w:r>
              <w:rPr>
                <w:rFonts w:ascii="Arial" w:hAnsi="Arial" w:cs="Arial"/>
                <w:b/>
                <w:bCs/>
                <w:color w:val="2B76A9"/>
                <w:sz w:val="30"/>
                <w:szCs w:val="30"/>
              </w:rPr>
              <w:t>Mixed Use</w:t>
            </w:r>
          </w:p>
        </w:tc>
        <w:tc>
          <w:tcPr>
            <w:tcW w:w="0" w:type="auto"/>
            <w:shd w:val="clear" w:color="auto" w:fill="auto"/>
            <w:hideMark/>
          </w:tcPr>
          <w:p w14:paraId="620EAAAC" w14:textId="5CC2FD63" w:rsidR="00DB2405" w:rsidRDefault="00D46297">
            <w:pPr>
              <w:pStyle w:val="NormalWeb"/>
              <w:spacing w:before="225" w:beforeAutospacing="0" w:after="150" w:afterAutospacing="0" w:line="360" w:lineRule="atLeast"/>
              <w:textAlignment w:val="baseline"/>
              <w:rPr>
                <w:rFonts w:ascii="inherit" w:hAnsi="inherit"/>
              </w:rPr>
            </w:pPr>
            <w:r>
              <w:rPr>
                <w:rFonts w:ascii="inherit" w:hAnsi="inherit"/>
              </w:rPr>
              <w:t>Apartments combined into a single development incorporating any combination of residential (apartments and condominiums), office, and retail.</w:t>
            </w:r>
          </w:p>
        </w:tc>
      </w:tr>
    </w:tbl>
    <w:p w14:paraId="3CA6DE5A" w14:textId="77777777" w:rsidR="00DB2405" w:rsidRDefault="00DB2405" w:rsidP="00DB2405">
      <w:pPr>
        <w:pStyle w:val="Heading1"/>
        <w:shd w:val="clear" w:color="auto" w:fill="FFFFFF"/>
        <w:spacing w:before="0" w:beforeAutospacing="0" w:after="0" w:afterAutospacing="0" w:line="288" w:lineRule="atLeast"/>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Apartment Property Age</w:t>
      </w:r>
    </w:p>
    <w:p w14:paraId="795F8852"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Property age illustration is either grouped in five-year increments, or provides a period extending beyond a base date (</w:t>
      </w:r>
      <w:proofErr w:type="gramStart"/>
      <w:r>
        <w:rPr>
          <w:rFonts w:ascii="inherit" w:hAnsi="inherit" w:cs="Arial"/>
          <w:color w:val="1A1A1A"/>
        </w:rPr>
        <w:t>i.e.</w:t>
      </w:r>
      <w:proofErr w:type="gramEnd"/>
      <w:r>
        <w:rPr>
          <w:rFonts w:ascii="inherit" w:hAnsi="inherit" w:cs="Arial"/>
          <w:color w:val="1A1A1A"/>
        </w:rPr>
        <w:t xml:space="preserve"> 1986 and newer). Age groupings include:</w:t>
      </w:r>
    </w:p>
    <w:p w14:paraId="104250C2" w14:textId="77777777" w:rsidR="00DB2405" w:rsidRPr="00DB2405" w:rsidRDefault="00DB2405" w:rsidP="00DB2405">
      <w:pPr>
        <w:pStyle w:val="NormalWeb"/>
        <w:shd w:val="clear" w:color="auto" w:fill="FFFFFF"/>
        <w:spacing w:before="225" w:after="150" w:line="360" w:lineRule="atLeast"/>
        <w:textAlignment w:val="baseline"/>
        <w:rPr>
          <w:rFonts w:ascii="inherit" w:hAnsi="inherit" w:cs="Arial"/>
          <w:color w:val="1A1A1A"/>
        </w:rPr>
      </w:pPr>
      <w:r w:rsidRPr="00DB2405">
        <w:rPr>
          <w:rFonts w:ascii="inherit" w:hAnsi="inherit" w:cs="Arial"/>
          <w:color w:val="1A1A1A"/>
        </w:rPr>
        <w:lastRenderedPageBreak/>
        <w:t>1970 and Prior</w:t>
      </w:r>
      <w:r w:rsidRPr="00DB2405">
        <w:rPr>
          <w:rFonts w:ascii="inherit" w:hAnsi="inherit" w:cs="Arial"/>
          <w:color w:val="1A1A1A"/>
        </w:rPr>
        <w:tab/>
        <w:t>1986-1990</w:t>
      </w:r>
    </w:p>
    <w:p w14:paraId="5B20E1DD" w14:textId="1979D99C" w:rsidR="00DB2405" w:rsidRPr="00DB2405" w:rsidRDefault="00DB2405" w:rsidP="00DB2405">
      <w:pPr>
        <w:pStyle w:val="NormalWeb"/>
        <w:shd w:val="clear" w:color="auto" w:fill="FFFFFF"/>
        <w:spacing w:before="225" w:after="150" w:line="360" w:lineRule="atLeast"/>
        <w:textAlignment w:val="baseline"/>
        <w:rPr>
          <w:rFonts w:ascii="inherit" w:hAnsi="inherit" w:cs="Arial"/>
          <w:color w:val="1A1A1A"/>
        </w:rPr>
      </w:pPr>
      <w:r w:rsidRPr="00DB2405">
        <w:rPr>
          <w:rFonts w:ascii="inherit" w:hAnsi="inherit" w:cs="Arial"/>
          <w:color w:val="1A1A1A"/>
        </w:rPr>
        <w:t>1971-1975</w:t>
      </w:r>
      <w:r w:rsidRPr="00DB2405">
        <w:rPr>
          <w:rFonts w:ascii="inherit" w:hAnsi="inherit" w:cs="Arial"/>
          <w:color w:val="1A1A1A"/>
        </w:rPr>
        <w:tab/>
      </w:r>
      <w:r>
        <w:rPr>
          <w:rFonts w:ascii="inherit" w:hAnsi="inherit" w:cs="Arial"/>
          <w:color w:val="1A1A1A"/>
        </w:rPr>
        <w:tab/>
      </w:r>
      <w:r w:rsidRPr="00DB2405">
        <w:rPr>
          <w:rFonts w:ascii="inherit" w:hAnsi="inherit" w:cs="Arial"/>
          <w:color w:val="1A1A1A"/>
        </w:rPr>
        <w:t>1991-1995</w:t>
      </w:r>
    </w:p>
    <w:p w14:paraId="1785CEC1" w14:textId="729DEA92" w:rsidR="00DB2405" w:rsidRPr="00DB2405" w:rsidRDefault="00DB2405" w:rsidP="00DB2405">
      <w:pPr>
        <w:pStyle w:val="NormalWeb"/>
        <w:shd w:val="clear" w:color="auto" w:fill="FFFFFF"/>
        <w:spacing w:before="225" w:after="150" w:line="360" w:lineRule="atLeast"/>
        <w:textAlignment w:val="baseline"/>
        <w:rPr>
          <w:rFonts w:ascii="inherit" w:hAnsi="inherit" w:cs="Arial"/>
          <w:color w:val="1A1A1A"/>
        </w:rPr>
      </w:pPr>
      <w:r w:rsidRPr="00DB2405">
        <w:rPr>
          <w:rFonts w:ascii="inherit" w:hAnsi="inherit" w:cs="Arial"/>
          <w:color w:val="1A1A1A"/>
        </w:rPr>
        <w:t>1976-1980</w:t>
      </w:r>
      <w:r w:rsidRPr="00DB2405">
        <w:rPr>
          <w:rFonts w:ascii="inherit" w:hAnsi="inherit" w:cs="Arial"/>
          <w:color w:val="1A1A1A"/>
        </w:rPr>
        <w:tab/>
      </w:r>
      <w:r>
        <w:rPr>
          <w:rFonts w:ascii="inherit" w:hAnsi="inherit" w:cs="Arial"/>
          <w:color w:val="1A1A1A"/>
        </w:rPr>
        <w:tab/>
      </w:r>
      <w:r w:rsidRPr="00DB2405">
        <w:rPr>
          <w:rFonts w:ascii="inherit" w:hAnsi="inherit" w:cs="Arial"/>
          <w:color w:val="1A1A1A"/>
        </w:rPr>
        <w:t>1996-2000</w:t>
      </w:r>
    </w:p>
    <w:p w14:paraId="1871483A" w14:textId="2F3CC605"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sectPr w:rsidR="00DB2405" w:rsidSect="00D46297">
          <w:pgSz w:w="12240" w:h="15840"/>
          <w:pgMar w:top="288" w:right="288" w:bottom="288" w:left="288" w:header="720" w:footer="720" w:gutter="0"/>
          <w:cols w:space="720"/>
          <w:docGrid w:linePitch="360"/>
        </w:sectPr>
      </w:pPr>
      <w:r w:rsidRPr="00DB2405">
        <w:rPr>
          <w:rFonts w:ascii="inherit" w:hAnsi="inherit" w:cs="Arial"/>
          <w:color w:val="1A1A1A"/>
        </w:rPr>
        <w:t>1981-1985</w:t>
      </w:r>
      <w:r w:rsidRPr="00DB2405">
        <w:rPr>
          <w:rFonts w:ascii="inherit" w:hAnsi="inherit" w:cs="Arial"/>
          <w:color w:val="1A1A1A"/>
        </w:rPr>
        <w:tab/>
      </w:r>
      <w:r>
        <w:rPr>
          <w:rFonts w:ascii="inherit" w:hAnsi="inherit" w:cs="Arial"/>
          <w:color w:val="1A1A1A"/>
        </w:rPr>
        <w:tab/>
      </w:r>
      <w:r w:rsidRPr="00DB2405">
        <w:rPr>
          <w:rFonts w:ascii="inherit" w:hAnsi="inherit" w:cs="Arial"/>
          <w:color w:val="1A1A1A"/>
        </w:rPr>
        <w:t>2001 –</w:t>
      </w:r>
    </w:p>
    <w:p w14:paraId="206216AF" w14:textId="77777777" w:rsidR="00DB2405" w:rsidRDefault="00DB2405" w:rsidP="00DB2405">
      <w:pPr>
        <w:pStyle w:val="Heading1"/>
        <w:shd w:val="clear" w:color="auto" w:fill="FFFFFF"/>
        <w:spacing w:before="0" w:beforeAutospacing="0" w:after="0" w:afterAutospacing="0" w:line="288" w:lineRule="atLeast"/>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Multifamily Property Ratings</w:t>
      </w:r>
    </w:p>
    <w:p w14:paraId="6E0D0C8A" w14:textId="77777777" w:rsidR="00DB2405" w:rsidRDefault="00DB2405" w:rsidP="00DB2405">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 xml:space="preserve">Multifamily real estate improvements and locations vary in relative degree of desirability. In recognition of certain differentiating factors which </w:t>
      </w:r>
      <w:proofErr w:type="gramStart"/>
      <w:r>
        <w:rPr>
          <w:rFonts w:ascii="inherit" w:hAnsi="inherit" w:cs="Arial"/>
          <w:color w:val="1A1A1A"/>
        </w:rPr>
        <w:t>enter into</w:t>
      </w:r>
      <w:proofErr w:type="gramEnd"/>
      <w:r>
        <w:rPr>
          <w:rFonts w:ascii="inherit" w:hAnsi="inherit" w:cs="Arial"/>
          <w:color w:val="1A1A1A"/>
        </w:rPr>
        <w:t xml:space="preserve"> a determination the Yardi Matrix </w:t>
      </w:r>
      <w:r>
        <w:rPr>
          <w:rStyle w:val="Strong"/>
          <w:rFonts w:ascii="inherit" w:eastAsiaTheme="majorEastAsia" w:hAnsi="inherit" w:cs="Arial"/>
          <w:color w:val="1A1A1A"/>
          <w:bdr w:val="none" w:sz="0" w:space="0" w:color="auto" w:frame="1"/>
        </w:rPr>
        <w:t>Context® </w:t>
      </w:r>
      <w:r>
        <w:rPr>
          <w:rFonts w:ascii="inherit" w:hAnsi="inherit" w:cs="Arial"/>
          <w:color w:val="1A1A1A"/>
        </w:rPr>
        <w:t>rating system defines property improvements and locations independently. Ratings extend from "A+" at the spectrum's pinnacle, to "D" at the scale's lower end. A range of 10 possible ratings define assumed rental household positioning as:</w:t>
      </w:r>
    </w:p>
    <w:tbl>
      <w:tblPr>
        <w:tblW w:w="2500" w:type="pct"/>
        <w:jc w:val="center"/>
        <w:tblCellMar>
          <w:top w:w="60" w:type="dxa"/>
          <w:left w:w="60" w:type="dxa"/>
          <w:bottom w:w="60" w:type="dxa"/>
          <w:right w:w="60" w:type="dxa"/>
        </w:tblCellMar>
        <w:tblLook w:val="04A0" w:firstRow="1" w:lastRow="0" w:firstColumn="1" w:lastColumn="0" w:noHBand="0" w:noVBand="1"/>
      </w:tblPr>
      <w:tblGrid>
        <w:gridCol w:w="2380"/>
        <w:gridCol w:w="3452"/>
      </w:tblGrid>
      <w:tr w:rsidR="00DB2405" w14:paraId="2E09E55D" w14:textId="77777777" w:rsidTr="00DB2405">
        <w:trPr>
          <w:jc w:val="center"/>
        </w:trPr>
        <w:tc>
          <w:tcPr>
            <w:tcW w:w="0" w:type="auto"/>
            <w:shd w:val="clear" w:color="auto" w:fill="auto"/>
            <w:vAlign w:val="center"/>
            <w:hideMark/>
          </w:tcPr>
          <w:p w14:paraId="05A70997" w14:textId="77777777" w:rsidR="00DB2405" w:rsidRDefault="00DB2405">
            <w:pPr>
              <w:rPr>
                <w:rFonts w:ascii="Times New Roman" w:hAnsi="Times New Roman" w:cs="Times New Roman"/>
                <w:b/>
                <w:bCs/>
              </w:rPr>
            </w:pPr>
            <w:r>
              <w:rPr>
                <w:b/>
                <w:bCs/>
              </w:rPr>
              <w:t>Ratings</w:t>
            </w:r>
          </w:p>
        </w:tc>
        <w:tc>
          <w:tcPr>
            <w:tcW w:w="0" w:type="auto"/>
            <w:shd w:val="clear" w:color="auto" w:fill="auto"/>
            <w:vAlign w:val="center"/>
            <w:hideMark/>
          </w:tcPr>
          <w:p w14:paraId="74279848" w14:textId="77777777" w:rsidR="00DB2405" w:rsidRDefault="00DB2405">
            <w:pPr>
              <w:rPr>
                <w:b/>
                <w:bCs/>
              </w:rPr>
            </w:pPr>
            <w:r>
              <w:rPr>
                <w:b/>
                <w:bCs/>
              </w:rPr>
              <w:t>Household Type</w:t>
            </w:r>
          </w:p>
        </w:tc>
      </w:tr>
      <w:tr w:rsidR="00DB2405" w14:paraId="53ADE8ED" w14:textId="77777777" w:rsidTr="00DB2405">
        <w:trPr>
          <w:jc w:val="center"/>
        </w:trPr>
        <w:tc>
          <w:tcPr>
            <w:tcW w:w="0" w:type="auto"/>
            <w:shd w:val="clear" w:color="auto" w:fill="auto"/>
            <w:hideMark/>
          </w:tcPr>
          <w:p w14:paraId="4CB0E724" w14:textId="77777777" w:rsidR="00DB2405" w:rsidRDefault="00DB2405">
            <w:r>
              <w:t>A+, A</w:t>
            </w:r>
          </w:p>
        </w:tc>
        <w:tc>
          <w:tcPr>
            <w:tcW w:w="0" w:type="auto"/>
            <w:shd w:val="clear" w:color="auto" w:fill="auto"/>
            <w:hideMark/>
          </w:tcPr>
          <w:p w14:paraId="39A03F6C" w14:textId="77777777" w:rsidR="00DB2405" w:rsidRDefault="00DB2405">
            <w:r>
              <w:t>Discretionary</w:t>
            </w:r>
          </w:p>
        </w:tc>
      </w:tr>
      <w:tr w:rsidR="00DB2405" w14:paraId="46258774" w14:textId="77777777" w:rsidTr="00DB2405">
        <w:trPr>
          <w:jc w:val="center"/>
        </w:trPr>
        <w:tc>
          <w:tcPr>
            <w:tcW w:w="0" w:type="auto"/>
            <w:shd w:val="clear" w:color="auto" w:fill="auto"/>
            <w:hideMark/>
          </w:tcPr>
          <w:p w14:paraId="51CDAC01" w14:textId="77777777" w:rsidR="00DB2405" w:rsidRDefault="00DB2405">
            <w:r>
              <w:t>A-, B+</w:t>
            </w:r>
          </w:p>
        </w:tc>
        <w:tc>
          <w:tcPr>
            <w:tcW w:w="0" w:type="auto"/>
            <w:shd w:val="clear" w:color="auto" w:fill="auto"/>
            <w:hideMark/>
          </w:tcPr>
          <w:p w14:paraId="5A4C8F62" w14:textId="77777777" w:rsidR="00DB2405" w:rsidRDefault="00DB2405">
            <w:r>
              <w:t>Upper Mid</w:t>
            </w:r>
          </w:p>
        </w:tc>
      </w:tr>
      <w:tr w:rsidR="00DB2405" w14:paraId="4015FF9D" w14:textId="77777777" w:rsidTr="00DB2405">
        <w:trPr>
          <w:jc w:val="center"/>
        </w:trPr>
        <w:tc>
          <w:tcPr>
            <w:tcW w:w="0" w:type="auto"/>
            <w:shd w:val="clear" w:color="auto" w:fill="auto"/>
            <w:hideMark/>
          </w:tcPr>
          <w:p w14:paraId="28CA59B7" w14:textId="77777777" w:rsidR="00DB2405" w:rsidRDefault="00DB2405">
            <w:r>
              <w:t>B, B-</w:t>
            </w:r>
          </w:p>
        </w:tc>
        <w:tc>
          <w:tcPr>
            <w:tcW w:w="0" w:type="auto"/>
            <w:shd w:val="clear" w:color="auto" w:fill="auto"/>
            <w:hideMark/>
          </w:tcPr>
          <w:p w14:paraId="75E07C85" w14:textId="77777777" w:rsidR="00DB2405" w:rsidRDefault="00DB2405">
            <w:r>
              <w:t>Lower Mid</w:t>
            </w:r>
          </w:p>
        </w:tc>
      </w:tr>
      <w:tr w:rsidR="00DB2405" w14:paraId="487DBFE0" w14:textId="77777777" w:rsidTr="00DB2405">
        <w:trPr>
          <w:jc w:val="center"/>
        </w:trPr>
        <w:tc>
          <w:tcPr>
            <w:tcW w:w="0" w:type="auto"/>
            <w:shd w:val="clear" w:color="auto" w:fill="auto"/>
            <w:hideMark/>
          </w:tcPr>
          <w:p w14:paraId="26FC0945" w14:textId="77777777" w:rsidR="00DB2405" w:rsidRDefault="00DB2405">
            <w:r>
              <w:t>C+, C, C-, D</w:t>
            </w:r>
          </w:p>
        </w:tc>
        <w:tc>
          <w:tcPr>
            <w:tcW w:w="0" w:type="auto"/>
            <w:shd w:val="clear" w:color="auto" w:fill="auto"/>
            <w:hideMark/>
          </w:tcPr>
          <w:p w14:paraId="2DFC70BD" w14:textId="77777777" w:rsidR="00DB2405" w:rsidRDefault="00DB2405">
            <w:r>
              <w:t>Workforce</w:t>
            </w:r>
          </w:p>
        </w:tc>
      </w:tr>
    </w:tbl>
    <w:p w14:paraId="1B36DD94" w14:textId="77777777" w:rsidR="00DB2405" w:rsidRDefault="00DB2405" w:rsidP="00DB2405">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Reasonable evaluation of one apartment community's value – either for rental, or conception of a sale – requires referencing the evaluated property in </w:t>
      </w:r>
      <w:r>
        <w:rPr>
          <w:rStyle w:val="Strong"/>
          <w:rFonts w:ascii="inherit" w:eastAsiaTheme="majorEastAsia" w:hAnsi="inherit" w:cs="Arial"/>
          <w:color w:val="1A1A1A"/>
          <w:bdr w:val="none" w:sz="0" w:space="0" w:color="auto" w:frame="1"/>
        </w:rPr>
        <w:t>Context® </w:t>
      </w:r>
      <w:r>
        <w:rPr>
          <w:rFonts w:ascii="inherit" w:hAnsi="inherit" w:cs="Arial"/>
          <w:color w:val="1A1A1A"/>
        </w:rPr>
        <w:t>with other properties of similar type operating within the property's "Competitive Cluster", or a similar, competitive environment. Comparison further separates location rating considerations from property improvements ratings.</w:t>
      </w:r>
    </w:p>
    <w:p w14:paraId="22DF2B25"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Rating consistency across all markets provides a basis for evaluating market-to-market apartment supply composition, as well as a system of reference for describing a property and its competitive </w:t>
      </w:r>
      <w:proofErr w:type="gramStart"/>
      <w:r>
        <w:rPr>
          <w:rFonts w:ascii="inherit" w:hAnsi="inherit" w:cs="Arial"/>
          <w:color w:val="1A1A1A"/>
        </w:rPr>
        <w:t>environment, or</w:t>
      </w:r>
      <w:proofErr w:type="gramEnd"/>
      <w:r>
        <w:rPr>
          <w:rFonts w:ascii="inherit" w:hAnsi="inherit" w:cs="Arial"/>
          <w:color w:val="1A1A1A"/>
        </w:rPr>
        <w:t xml:space="preserve"> evaluating a submarket.</w:t>
      </w:r>
    </w:p>
    <w:p w14:paraId="6686DCA4" w14:textId="77777777" w:rsidR="00DB2405" w:rsidRDefault="00DB2405" w:rsidP="00DB2405">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 xml:space="preserve">How We Determine </w:t>
      </w:r>
      <w:proofErr w:type="gramStart"/>
      <w:r>
        <w:rPr>
          <w:rFonts w:ascii="Open Sans" w:hAnsi="Open Sans" w:cs="Open Sans"/>
          <w:color w:val="1A1A1A"/>
          <w:sz w:val="41"/>
          <w:szCs w:val="41"/>
        </w:rPr>
        <w:t>A</w:t>
      </w:r>
      <w:proofErr w:type="gramEnd"/>
      <w:r>
        <w:rPr>
          <w:rFonts w:ascii="Open Sans" w:hAnsi="Open Sans" w:cs="Open Sans"/>
          <w:color w:val="1A1A1A"/>
          <w:sz w:val="41"/>
          <w:szCs w:val="41"/>
        </w:rPr>
        <w:t xml:space="preserve"> Context® Rating</w:t>
      </w:r>
    </w:p>
    <w:p w14:paraId="5ECB743D" w14:textId="77777777" w:rsidR="00DB2405" w:rsidRDefault="00DB2405" w:rsidP="00DB2405">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A </w:t>
      </w:r>
      <w:r>
        <w:rPr>
          <w:rStyle w:val="Strong"/>
          <w:rFonts w:ascii="inherit" w:eastAsiaTheme="majorEastAsia" w:hAnsi="inherit" w:cs="Arial"/>
          <w:color w:val="1A1A1A"/>
          <w:bdr w:val="none" w:sz="0" w:space="0" w:color="auto" w:frame="1"/>
        </w:rPr>
        <w:t>Context® </w:t>
      </w:r>
      <w:r>
        <w:rPr>
          <w:rFonts w:ascii="inherit" w:hAnsi="inherit" w:cs="Arial"/>
          <w:color w:val="1A1A1A"/>
        </w:rPr>
        <w:t>rating references a composite of twelve variables in determining an index applicable to rating property improvements. Twelve additional variables – independent from property improvements characteristics – are considered in determining location rating.</w:t>
      </w:r>
    </w:p>
    <w:p w14:paraId="3E37413F"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In calculating a "graded index" each variable is assigned a weighted value based on the variable's importance toward determining a property's relative desirability, then rated under a scale extending from one to 10. A resulting index is independently applied to improvements, and location for every Metropolitan area 50-+ unit apartment community.</w:t>
      </w:r>
    </w:p>
    <w:p w14:paraId="4D07AF3D" w14:textId="77777777" w:rsidR="00CC3B9F" w:rsidRDefault="00CC3B9F" w:rsidP="00DB2405">
      <w:pPr>
        <w:pStyle w:val="Heading1"/>
        <w:shd w:val="clear" w:color="auto" w:fill="FFFFFF"/>
        <w:spacing w:before="0" w:beforeAutospacing="0" w:after="0" w:afterAutospacing="0" w:line="288" w:lineRule="atLeast"/>
        <w:textAlignment w:val="baseline"/>
        <w:rPr>
          <w:rStyle w:val="titlehead"/>
          <w:rFonts w:ascii="Arial" w:hAnsi="Arial" w:cs="Arial"/>
          <w:b w:val="0"/>
          <w:bCs w:val="0"/>
          <w:color w:val="545454"/>
          <w:spacing w:val="-7"/>
          <w:sz w:val="65"/>
          <w:szCs w:val="65"/>
          <w:bdr w:val="none" w:sz="0" w:space="0" w:color="auto" w:frame="1"/>
        </w:rPr>
      </w:pPr>
    </w:p>
    <w:p w14:paraId="25867A0B" w14:textId="77777777" w:rsidR="00DB2405" w:rsidRDefault="00DB2405" w:rsidP="00DB2405">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lastRenderedPageBreak/>
        <w:t>How We Rate an Apartment Property's Improvements</w:t>
      </w:r>
    </w:p>
    <w:p w14:paraId="3304D0CA"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All apartment properties incorporate certain recognizable, rent-sensitive characteristics - some subject to functional obsolescence, others to change in relative value resulting from development market dynamics.</w:t>
      </w:r>
    </w:p>
    <w:p w14:paraId="5ACA9239"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Determination of an apartment property's improvements rating requires an understanding based on constant review of existing properties in relation to apartment inventory additions. New, state-of-the-art, characteristics included in each generation of properties added to the rental housing supply require continuing reassessment of rating standards.</w:t>
      </w:r>
    </w:p>
    <w:p w14:paraId="2858816E" w14:textId="77777777" w:rsidR="00DB2405" w:rsidRDefault="00DB2405" w:rsidP="00DB2405">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Loss (as opposed to obsolescence) of function, or cosmetic impairment due to physical deterioration, are not considered in Yardi Matrix's patented </w:t>
      </w:r>
      <w:r>
        <w:rPr>
          <w:rStyle w:val="Strong"/>
          <w:rFonts w:ascii="inherit" w:eastAsiaTheme="majorEastAsia" w:hAnsi="inherit" w:cs="Arial"/>
          <w:color w:val="1A1A1A"/>
          <w:bdr w:val="none" w:sz="0" w:space="0" w:color="auto" w:frame="1"/>
        </w:rPr>
        <w:t>Context®</w:t>
      </w:r>
      <w:r>
        <w:rPr>
          <w:rFonts w:ascii="inherit" w:hAnsi="inherit" w:cs="Arial"/>
          <w:color w:val="1A1A1A"/>
        </w:rPr>
        <w:t> rating process. Improvement ratings do not consider property physical condition.</w:t>
      </w:r>
    </w:p>
    <w:p w14:paraId="666A21F0" w14:textId="10A4F13F"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As example, if a community possesses physical characteristics expected of a "B" rated community, but appearance-related physical deterioration has resulted in property operations at a lower level than is expected of a "B" category community, no accommodation is made to that condition in assessing improvements ratings. The below standard "B" rated property remains a "B", attaching added-value potential.</w:t>
      </w:r>
    </w:p>
    <w:p w14:paraId="2B9F4FCE" w14:textId="77777777" w:rsidR="00DB2405" w:rsidRDefault="00DB2405" w:rsidP="00CC3B9F">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Apartment Property Improvements Ratings Definitions</w:t>
      </w:r>
    </w:p>
    <w:p w14:paraId="19C5543A"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Definitions generally applicable to apartment property improvements ratings are subjectively described as:</w:t>
      </w:r>
    </w:p>
    <w:tbl>
      <w:tblPr>
        <w:tblW w:w="3750" w:type="pct"/>
        <w:jc w:val="center"/>
        <w:tblCellMar>
          <w:top w:w="30" w:type="dxa"/>
          <w:left w:w="30" w:type="dxa"/>
          <w:bottom w:w="30" w:type="dxa"/>
          <w:right w:w="30" w:type="dxa"/>
        </w:tblCellMar>
        <w:tblLook w:val="04A0" w:firstRow="1" w:lastRow="0" w:firstColumn="1" w:lastColumn="0" w:noHBand="0" w:noVBand="1"/>
      </w:tblPr>
      <w:tblGrid>
        <w:gridCol w:w="646"/>
        <w:gridCol w:w="8102"/>
      </w:tblGrid>
      <w:tr w:rsidR="00DB2405" w14:paraId="66706E83" w14:textId="77777777" w:rsidTr="00DB2405">
        <w:trPr>
          <w:jc w:val="center"/>
        </w:trPr>
        <w:tc>
          <w:tcPr>
            <w:tcW w:w="0" w:type="auto"/>
            <w:shd w:val="clear" w:color="auto" w:fill="auto"/>
            <w:vAlign w:val="bottom"/>
            <w:hideMark/>
          </w:tcPr>
          <w:p w14:paraId="423CE600" w14:textId="77777777" w:rsidR="00DB2405" w:rsidRDefault="00DB2405">
            <w:pPr>
              <w:jc w:val="center"/>
              <w:rPr>
                <w:rFonts w:ascii="Times New Roman" w:hAnsi="Times New Roman" w:cs="Times New Roman"/>
                <w:b/>
                <w:bCs/>
              </w:rPr>
            </w:pPr>
            <w:r>
              <w:rPr>
                <w:b/>
                <w:bCs/>
                <w:u w:val="single"/>
                <w:bdr w:val="none" w:sz="0" w:space="0" w:color="auto" w:frame="1"/>
              </w:rPr>
              <w:t>Rating</w:t>
            </w:r>
          </w:p>
        </w:tc>
        <w:tc>
          <w:tcPr>
            <w:tcW w:w="0" w:type="auto"/>
            <w:shd w:val="clear" w:color="auto" w:fill="auto"/>
            <w:vAlign w:val="bottom"/>
            <w:hideMark/>
          </w:tcPr>
          <w:p w14:paraId="355058EE" w14:textId="77777777" w:rsidR="00DB2405" w:rsidRDefault="00DB2405">
            <w:pPr>
              <w:jc w:val="center"/>
              <w:rPr>
                <w:b/>
                <w:bCs/>
              </w:rPr>
            </w:pPr>
            <w:r>
              <w:rPr>
                <w:b/>
                <w:bCs/>
                <w:u w:val="single"/>
                <w:bdr w:val="none" w:sz="0" w:space="0" w:color="auto" w:frame="1"/>
              </w:rPr>
              <w:t>Characteristics</w:t>
            </w:r>
          </w:p>
        </w:tc>
      </w:tr>
      <w:tr w:rsidR="00DB2405" w14:paraId="68192BCC" w14:textId="77777777" w:rsidTr="00DB2405">
        <w:trPr>
          <w:jc w:val="center"/>
        </w:trPr>
        <w:tc>
          <w:tcPr>
            <w:tcW w:w="0" w:type="auto"/>
            <w:shd w:val="clear" w:color="auto" w:fill="auto"/>
            <w:hideMark/>
          </w:tcPr>
          <w:p w14:paraId="024C7F72" w14:textId="77777777" w:rsidR="00DB2405" w:rsidRDefault="00DB2405">
            <w:r>
              <w:br/>
            </w:r>
            <w:r>
              <w:br/>
              <w:t>A+</w:t>
            </w:r>
          </w:p>
        </w:tc>
        <w:tc>
          <w:tcPr>
            <w:tcW w:w="0" w:type="auto"/>
            <w:shd w:val="clear" w:color="auto" w:fill="auto"/>
            <w:vAlign w:val="center"/>
            <w:hideMark/>
          </w:tcPr>
          <w:p w14:paraId="4BC1E273" w14:textId="77777777" w:rsidR="00DB2405" w:rsidRDefault="00DB2405">
            <w:r>
              <w:br/>
            </w:r>
            <w:r>
              <w:br/>
              <w:t>Among the best of all metropolitan area apartment communities – superior amenities – both in degree and quality of inclusion; of condominium quality in finishing detail; architecturally attractive; large unit sizes; interesting floorplans; unusually attractive amenities; and of superior construction quality. The property sets a metropolitan area rental housing standard of superiority.</w:t>
            </w:r>
            <w:r>
              <w:br/>
            </w:r>
            <w:r>
              <w:br/>
            </w:r>
            <w:r>
              <w:br/>
            </w:r>
            <w:r>
              <w:br/>
              <w:t> </w:t>
            </w:r>
          </w:p>
        </w:tc>
      </w:tr>
      <w:tr w:rsidR="00DB2405" w14:paraId="49559BC7" w14:textId="77777777" w:rsidTr="00DB2405">
        <w:trPr>
          <w:jc w:val="center"/>
        </w:trPr>
        <w:tc>
          <w:tcPr>
            <w:tcW w:w="0" w:type="auto"/>
            <w:shd w:val="clear" w:color="auto" w:fill="auto"/>
            <w:hideMark/>
          </w:tcPr>
          <w:p w14:paraId="28B20FAC" w14:textId="77777777" w:rsidR="00DB2405" w:rsidRDefault="00DB2405">
            <w:r>
              <w:t>A</w:t>
            </w:r>
          </w:p>
        </w:tc>
        <w:tc>
          <w:tcPr>
            <w:tcW w:w="0" w:type="auto"/>
            <w:shd w:val="clear" w:color="auto" w:fill="auto"/>
            <w:vAlign w:val="center"/>
            <w:hideMark/>
          </w:tcPr>
          <w:p w14:paraId="520FF5CD" w14:textId="77777777" w:rsidR="00DB2405" w:rsidRDefault="00DB2405">
            <w:r>
              <w:t xml:space="preserve">A very attractive apartment community. Architecture is distinctive; unit mix, unit sizes, and finishing detail that are </w:t>
            </w:r>
            <w:proofErr w:type="gramStart"/>
            <w:r>
              <w:t>similar to</w:t>
            </w:r>
            <w:proofErr w:type="gramEnd"/>
            <w:r>
              <w:t xml:space="preserve"> an "A+" rating are included. Deductions from ratings are associated with less attractive exterior finishes, interiors are good quality, but not inclusive of details associated with the best properties.</w:t>
            </w:r>
            <w:r>
              <w:br/>
            </w:r>
            <w:r>
              <w:br/>
            </w:r>
            <w:r>
              <w:br/>
            </w:r>
            <w:r>
              <w:lastRenderedPageBreak/>
              <w:br/>
              <w:t> </w:t>
            </w:r>
          </w:p>
        </w:tc>
      </w:tr>
      <w:tr w:rsidR="00DB2405" w14:paraId="3F8F033A" w14:textId="77777777" w:rsidTr="00DB2405">
        <w:trPr>
          <w:jc w:val="center"/>
        </w:trPr>
        <w:tc>
          <w:tcPr>
            <w:tcW w:w="0" w:type="auto"/>
            <w:shd w:val="clear" w:color="auto" w:fill="auto"/>
            <w:hideMark/>
          </w:tcPr>
          <w:p w14:paraId="7446071E" w14:textId="77777777" w:rsidR="00DB2405" w:rsidRDefault="00DB2405">
            <w:r>
              <w:lastRenderedPageBreak/>
              <w:t>A-</w:t>
            </w:r>
          </w:p>
        </w:tc>
        <w:tc>
          <w:tcPr>
            <w:tcW w:w="0" w:type="auto"/>
            <w:shd w:val="clear" w:color="auto" w:fill="auto"/>
            <w:vAlign w:val="center"/>
            <w:hideMark/>
          </w:tcPr>
          <w:p w14:paraId="3D8C0455" w14:textId="77777777" w:rsidR="00DB2405" w:rsidRDefault="00DB2405">
            <w:r>
              <w:t>An attractive apartment community, but details that will otherwise distinguish an "A", or "A+", rating are not included. Deductions from ratings are associated with less attractive exterior finishes, interiors are good quality, but not inclusive of details associated with the best properties. Development density may be higher than the higher rated properties.</w:t>
            </w:r>
            <w:r>
              <w:br/>
            </w:r>
            <w:r>
              <w:br/>
            </w:r>
            <w:r>
              <w:br/>
            </w:r>
            <w:r>
              <w:br/>
              <w:t> </w:t>
            </w:r>
          </w:p>
        </w:tc>
      </w:tr>
      <w:tr w:rsidR="00DB2405" w14:paraId="0030DCFF" w14:textId="77777777" w:rsidTr="00DB2405">
        <w:trPr>
          <w:jc w:val="center"/>
        </w:trPr>
        <w:tc>
          <w:tcPr>
            <w:tcW w:w="0" w:type="auto"/>
            <w:shd w:val="clear" w:color="auto" w:fill="auto"/>
            <w:hideMark/>
          </w:tcPr>
          <w:p w14:paraId="6C7B9372" w14:textId="77777777" w:rsidR="00DB2405" w:rsidRDefault="00DB2405">
            <w:r>
              <w:t>B+</w:t>
            </w:r>
          </w:p>
        </w:tc>
        <w:tc>
          <w:tcPr>
            <w:tcW w:w="0" w:type="auto"/>
            <w:shd w:val="clear" w:color="auto" w:fill="auto"/>
            <w:vAlign w:val="center"/>
            <w:hideMark/>
          </w:tcPr>
          <w:p w14:paraId="5BD47246" w14:textId="77777777" w:rsidR="00DB2405" w:rsidRDefault="00DB2405">
            <w:r>
              <w:t>Of almost "A-" rating. Washer/dryer hook-ups are provided, but typically washers and dryers are provided by the resident, rather than the property, or washers and dryers are provided, but are stacked, half-sized. Architecture is satisfactory, but not striking; unit sizes are generally smaller than properties within the "A" quality category; recreational amenities are relatively complete, but not developed to the degree of detail associated with the "A-" quality community.</w:t>
            </w:r>
            <w:r>
              <w:br/>
            </w:r>
            <w:r>
              <w:br/>
            </w:r>
            <w:r>
              <w:br/>
            </w:r>
            <w:r>
              <w:br/>
              <w:t> </w:t>
            </w:r>
          </w:p>
        </w:tc>
      </w:tr>
      <w:tr w:rsidR="00DB2405" w14:paraId="3A49E36F" w14:textId="77777777" w:rsidTr="00DB2405">
        <w:trPr>
          <w:jc w:val="center"/>
        </w:trPr>
        <w:tc>
          <w:tcPr>
            <w:tcW w:w="0" w:type="auto"/>
            <w:shd w:val="clear" w:color="auto" w:fill="auto"/>
            <w:hideMark/>
          </w:tcPr>
          <w:p w14:paraId="6D9AD5E3" w14:textId="77777777" w:rsidR="00DB2405" w:rsidRDefault="00DB2405">
            <w:r>
              <w:t>B</w:t>
            </w:r>
          </w:p>
        </w:tc>
        <w:tc>
          <w:tcPr>
            <w:tcW w:w="0" w:type="auto"/>
            <w:shd w:val="clear" w:color="auto" w:fill="auto"/>
            <w:vAlign w:val="center"/>
            <w:hideMark/>
          </w:tcPr>
          <w:p w14:paraId="680C4898" w14:textId="77777777" w:rsidR="00DB2405" w:rsidRDefault="00DB2405">
            <w:r>
              <w:t>Includes a newer property that has been completed to a lower standard than upper-end communities, or an older property which may have set an industry standard for its time. The property may have once been rated among the market's better apartment communities, but age, functional obsolescence, and limitation of amenities, have combined to reduce competitive presence relative to newer communities.</w:t>
            </w:r>
            <w:r>
              <w:br/>
            </w:r>
            <w:r>
              <w:br/>
            </w:r>
            <w:r>
              <w:br/>
            </w:r>
            <w:r>
              <w:br/>
              <w:t> </w:t>
            </w:r>
          </w:p>
        </w:tc>
      </w:tr>
      <w:tr w:rsidR="00DB2405" w14:paraId="12FD2845" w14:textId="77777777" w:rsidTr="00DB2405">
        <w:trPr>
          <w:jc w:val="center"/>
        </w:trPr>
        <w:tc>
          <w:tcPr>
            <w:tcW w:w="0" w:type="auto"/>
            <w:shd w:val="clear" w:color="auto" w:fill="auto"/>
            <w:hideMark/>
          </w:tcPr>
          <w:p w14:paraId="3FA6E899" w14:textId="77777777" w:rsidR="00DB2405" w:rsidRDefault="00DB2405">
            <w:r>
              <w:t>B-</w:t>
            </w:r>
          </w:p>
        </w:tc>
        <w:tc>
          <w:tcPr>
            <w:tcW w:w="0" w:type="auto"/>
            <w:shd w:val="clear" w:color="auto" w:fill="auto"/>
            <w:vAlign w:val="center"/>
            <w:hideMark/>
          </w:tcPr>
          <w:p w14:paraId="0136162B" w14:textId="77777777" w:rsidR="00DB2405" w:rsidRDefault="00DB2405">
            <w:proofErr w:type="gramStart"/>
            <w:r>
              <w:t>Generally</w:t>
            </w:r>
            <w:proofErr w:type="gramEnd"/>
            <w:r>
              <w:t xml:space="preserve"> is representative of a community incorporating an attractive unit mix (one bedroom, two bedroom/two bath and/or three bedroom/two bath floorplans); apartments are of average, or slightly below average, size; architecture is non-descript; functional amenities (balconies/patio semi-private unit entries) are included, but are not of notable size.</w:t>
            </w:r>
            <w:r>
              <w:br/>
            </w:r>
            <w:r>
              <w:br/>
            </w:r>
            <w:r>
              <w:br/>
            </w:r>
            <w:r>
              <w:br/>
              <w:t> </w:t>
            </w:r>
          </w:p>
        </w:tc>
      </w:tr>
      <w:tr w:rsidR="00DB2405" w14:paraId="77704D3A" w14:textId="77777777" w:rsidTr="00DB2405">
        <w:trPr>
          <w:jc w:val="center"/>
        </w:trPr>
        <w:tc>
          <w:tcPr>
            <w:tcW w:w="0" w:type="auto"/>
            <w:shd w:val="clear" w:color="auto" w:fill="auto"/>
            <w:hideMark/>
          </w:tcPr>
          <w:p w14:paraId="14FE9ED6" w14:textId="77777777" w:rsidR="00DB2405" w:rsidRDefault="00DB2405">
            <w:r>
              <w:t>C+</w:t>
            </w:r>
          </w:p>
        </w:tc>
        <w:tc>
          <w:tcPr>
            <w:tcW w:w="0" w:type="auto"/>
            <w:shd w:val="clear" w:color="auto" w:fill="auto"/>
            <w:vAlign w:val="center"/>
            <w:hideMark/>
          </w:tcPr>
          <w:p w14:paraId="07202677" w14:textId="77777777" w:rsidR="00DB2405" w:rsidRDefault="00DB2405">
            <w:proofErr w:type="gramStart"/>
            <w:r>
              <w:t>Generally</w:t>
            </w:r>
            <w:proofErr w:type="gramEnd"/>
            <w:r>
              <w:t xml:space="preserve"> incorporates: Below average-sized units; unit interior finishing detail is spartan; apartment entries are likely to be </w:t>
            </w:r>
            <w:r>
              <w:rPr>
                <w:rStyle w:val="Emphasis"/>
                <w:rFonts w:ascii="inherit" w:hAnsi="inherit"/>
                <w:bdr w:val="none" w:sz="0" w:space="0" w:color="auto" w:frame="1"/>
              </w:rPr>
              <w:t>ramp</w:t>
            </w:r>
            <w:r>
              <w:t> (motel) type; apartments may (or may not) include a private balcony or patio; appearance is typically architecturally non-descript; and construction quality can range considerably if two bedroom apartments are included in the unit mix, they generally include only one bathroom.</w:t>
            </w:r>
            <w:r>
              <w:br/>
            </w:r>
            <w:r>
              <w:br/>
            </w:r>
            <w:r>
              <w:br/>
            </w:r>
            <w:r>
              <w:br/>
              <w:t> </w:t>
            </w:r>
          </w:p>
        </w:tc>
      </w:tr>
      <w:tr w:rsidR="00DB2405" w14:paraId="0117236D" w14:textId="77777777" w:rsidTr="00DB2405">
        <w:trPr>
          <w:jc w:val="center"/>
        </w:trPr>
        <w:tc>
          <w:tcPr>
            <w:tcW w:w="0" w:type="auto"/>
            <w:shd w:val="clear" w:color="auto" w:fill="auto"/>
            <w:hideMark/>
          </w:tcPr>
          <w:p w14:paraId="2A4F8FCA" w14:textId="77777777" w:rsidR="00DB2405" w:rsidRDefault="00DB2405">
            <w:r>
              <w:lastRenderedPageBreak/>
              <w:t>C</w:t>
            </w:r>
          </w:p>
        </w:tc>
        <w:tc>
          <w:tcPr>
            <w:tcW w:w="0" w:type="auto"/>
            <w:shd w:val="clear" w:color="auto" w:fill="auto"/>
            <w:vAlign w:val="center"/>
            <w:hideMark/>
          </w:tcPr>
          <w:p w14:paraId="494BEEDB" w14:textId="77777777" w:rsidR="00DB2405" w:rsidRDefault="00DB2405">
            <w:r>
              <w:t xml:space="preserve">Often a mix of studio and smaller (but not extremely small) </w:t>
            </w:r>
            <w:proofErr w:type="gramStart"/>
            <w:r>
              <w:t>one bedroom</w:t>
            </w:r>
            <w:proofErr w:type="gramEnd"/>
            <w:r>
              <w:t xml:space="preserve"> units, or a mix of one bedroom and two bedroom/one bath floorplans. Entries are generally ramp-type or interior corridor loaded; construction quality can range significantly; little architectural consideration was given to development.</w:t>
            </w:r>
            <w:r>
              <w:br/>
            </w:r>
            <w:r>
              <w:br/>
            </w:r>
            <w:r>
              <w:br/>
            </w:r>
            <w:r>
              <w:br/>
              <w:t> </w:t>
            </w:r>
          </w:p>
        </w:tc>
      </w:tr>
      <w:tr w:rsidR="00DB2405" w14:paraId="15D7139C" w14:textId="77777777" w:rsidTr="00DB2405">
        <w:trPr>
          <w:jc w:val="center"/>
        </w:trPr>
        <w:tc>
          <w:tcPr>
            <w:tcW w:w="0" w:type="auto"/>
            <w:shd w:val="clear" w:color="auto" w:fill="auto"/>
            <w:hideMark/>
          </w:tcPr>
          <w:p w14:paraId="6FB6B43B" w14:textId="77777777" w:rsidR="00DB2405" w:rsidRDefault="00DB2405">
            <w:r>
              <w:t>C-</w:t>
            </w:r>
          </w:p>
        </w:tc>
        <w:tc>
          <w:tcPr>
            <w:tcW w:w="0" w:type="auto"/>
            <w:shd w:val="clear" w:color="auto" w:fill="auto"/>
            <w:vAlign w:val="center"/>
            <w:hideMark/>
          </w:tcPr>
          <w:p w14:paraId="4F2D3F02" w14:textId="77777777" w:rsidR="00DB2405" w:rsidRDefault="00DB2405">
            <w:r>
              <w:t>A property lacking in several characteristic areas. Marginally above "D" rated improvements, but generally including larger unit sizes than a "D" rated property will include.</w:t>
            </w:r>
            <w:r>
              <w:br/>
            </w:r>
            <w:r>
              <w:br/>
            </w:r>
            <w:r>
              <w:br/>
            </w:r>
            <w:r>
              <w:br/>
              <w:t> </w:t>
            </w:r>
          </w:p>
        </w:tc>
      </w:tr>
      <w:tr w:rsidR="00DB2405" w14:paraId="2B4EAEAE" w14:textId="77777777" w:rsidTr="00DB2405">
        <w:trPr>
          <w:jc w:val="center"/>
        </w:trPr>
        <w:tc>
          <w:tcPr>
            <w:tcW w:w="0" w:type="auto"/>
            <w:shd w:val="clear" w:color="auto" w:fill="auto"/>
            <w:hideMark/>
          </w:tcPr>
          <w:p w14:paraId="77180004" w14:textId="77777777" w:rsidR="00DB2405" w:rsidRDefault="00DB2405">
            <w:r>
              <w:t>D</w:t>
            </w:r>
          </w:p>
        </w:tc>
        <w:tc>
          <w:tcPr>
            <w:tcW w:w="0" w:type="auto"/>
            <w:shd w:val="clear" w:color="auto" w:fill="auto"/>
            <w:vAlign w:val="center"/>
            <w:hideMark/>
          </w:tcPr>
          <w:p w14:paraId="6EC58A11" w14:textId="5A8F0E8B" w:rsidR="00DB2405" w:rsidRDefault="00DB2405">
            <w:r>
              <w:t xml:space="preserve">Distinguishing characteristics associated with appearance, finishing detail and amenities offered are negative. The property has little to offer as an attraction, other than low rental rates. Amenities are limited to </w:t>
            </w:r>
            <w:proofErr w:type="gramStart"/>
            <w:r>
              <w:t>bare essentials</w:t>
            </w:r>
            <w:proofErr w:type="gramEnd"/>
            <w:r>
              <w:t xml:space="preserve"> – generally a swimming pool; kitchen appliances do not include a dishwasher, refrigerators are small, single door, a garbage disposal may not be included; in efficiency apartment floorplans, a complete kitchen is not included (making use only of a hot plate, microwave oven, and an under-the-counter refrigerator); apartments are small. Units are functionally deficient for long-term rental (</w:t>
            </w:r>
            <w:proofErr w:type="gramStart"/>
            <w:r>
              <w:t>i.e.</w:t>
            </w:r>
            <w:proofErr w:type="gramEnd"/>
            <w:r>
              <w:t xml:space="preserve"> a mix of efficiency and extremely small one bedroom apartments); utilities are generally centrally metered, or units are cooled by wall-mounted air conditioning units, or roof-mounted evaporative coolers.</w:t>
            </w:r>
          </w:p>
        </w:tc>
      </w:tr>
    </w:tbl>
    <w:p w14:paraId="25D49B78" w14:textId="77777777" w:rsidR="00DB2405" w:rsidRDefault="00DB2405" w:rsidP="00DB2405">
      <w:pPr>
        <w:pStyle w:val="NormalWeb"/>
        <w:shd w:val="clear" w:color="auto" w:fill="F0F0F0"/>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Note</w:t>
      </w:r>
    </w:p>
    <w:p w14:paraId="685D1632" w14:textId="77777777" w:rsidR="00DB2405" w:rsidRDefault="00DB2405" w:rsidP="00DB2405">
      <w:pPr>
        <w:pStyle w:val="NormalWeb"/>
        <w:shd w:val="clear" w:color="auto" w:fill="F0F0F0"/>
        <w:spacing w:before="0" w:beforeAutospacing="0" w:after="0" w:afterAutospacing="0" w:line="360" w:lineRule="atLeast"/>
        <w:textAlignment w:val="baseline"/>
        <w:rPr>
          <w:rFonts w:ascii="inherit" w:hAnsi="inherit" w:cs="Arial"/>
          <w:color w:val="1A1A1A"/>
        </w:rPr>
      </w:pPr>
      <w:proofErr w:type="gramStart"/>
      <w:r>
        <w:rPr>
          <w:rFonts w:ascii="inherit" w:hAnsi="inherit" w:cs="Arial"/>
          <w:color w:val="1A1A1A"/>
        </w:rPr>
        <w:t>Improvements</w:t>
      </w:r>
      <w:proofErr w:type="gramEnd"/>
      <w:r>
        <w:rPr>
          <w:rFonts w:ascii="inherit" w:hAnsi="inherit" w:cs="Arial"/>
          <w:color w:val="1A1A1A"/>
        </w:rPr>
        <w:t xml:space="preserve"> ratings do not reflect current physical condition. Only the property’s basic physical make-up is considered. As example, if a "B" rated property illustrates substantial physical deterioration, </w:t>
      </w:r>
      <w:proofErr w:type="gramStart"/>
      <w:r>
        <w:rPr>
          <w:rFonts w:ascii="inherit" w:hAnsi="inherit" w:cs="Arial"/>
          <w:color w:val="1A1A1A"/>
        </w:rPr>
        <w:t>consequently</w:t>
      </w:r>
      <w:proofErr w:type="gramEnd"/>
      <w:r>
        <w:rPr>
          <w:rFonts w:ascii="inherit" w:hAnsi="inherit" w:cs="Arial"/>
          <w:color w:val="1A1A1A"/>
        </w:rPr>
        <w:t xml:space="preserve"> currently operates at a "C" or "C-" rated community level, the rating will remain as "B". Ability to enhance the property’s competitive capabilities by correcting cosmetic deficiencies provides an </w:t>
      </w:r>
      <w:r>
        <w:rPr>
          <w:rStyle w:val="Emphasis"/>
          <w:rFonts w:ascii="inherit" w:eastAsiaTheme="majorEastAsia" w:hAnsi="inherit" w:cs="Arial"/>
          <w:color w:val="1A1A1A"/>
          <w:bdr w:val="none" w:sz="0" w:space="0" w:color="auto" w:frame="1"/>
        </w:rPr>
        <w:t>added-value</w:t>
      </w:r>
      <w:r>
        <w:rPr>
          <w:rFonts w:ascii="inherit" w:hAnsi="inherit" w:cs="Arial"/>
          <w:color w:val="1A1A1A"/>
        </w:rPr>
        <w:t> opportunity, but will not change the property’s functional capability unless substantial physical changes were to be completed (</w:t>
      </w:r>
      <w:proofErr w:type="gramStart"/>
      <w:r>
        <w:rPr>
          <w:rFonts w:ascii="inherit" w:hAnsi="inherit" w:cs="Arial"/>
          <w:color w:val="1A1A1A"/>
        </w:rPr>
        <w:t>i.e.</w:t>
      </w:r>
      <w:proofErr w:type="gramEnd"/>
      <w:r>
        <w:rPr>
          <w:rFonts w:ascii="inherit" w:hAnsi="inherit" w:cs="Arial"/>
          <w:color w:val="1A1A1A"/>
        </w:rPr>
        <w:t xml:space="preserve"> installation of washer/dryer hook-ups; installation of covered parking where only open parking had been previously available).</w:t>
      </w:r>
    </w:p>
    <w:p w14:paraId="67284C93" w14:textId="77777777" w:rsidR="00DB2405" w:rsidRDefault="00DB2405" w:rsidP="00CC3B9F">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Apartment Characteristics Positively Affecting Improvements Ratings</w:t>
      </w:r>
    </w:p>
    <w:p w14:paraId="100E7F31" w14:textId="77777777" w:rsidR="00DB2405" w:rsidRDefault="00DB2405" w:rsidP="00DB2405">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Property attributes – characteristics positively influencing a rating – vary in degree of importance as: </w:t>
      </w:r>
      <w:r>
        <w:rPr>
          <w:rStyle w:val="Strong"/>
          <w:rFonts w:ascii="inherit" w:eastAsiaTheme="majorEastAsia" w:hAnsi="inherit" w:cs="Arial"/>
          <w:color w:val="1A1A1A"/>
          <w:bdr w:val="none" w:sz="0" w:space="0" w:color="auto" w:frame="1"/>
        </w:rPr>
        <w:t>highly significant; important; </w:t>
      </w:r>
      <w:r>
        <w:rPr>
          <w:rFonts w:ascii="inherit" w:hAnsi="inherit" w:cs="Arial"/>
          <w:color w:val="1A1A1A"/>
        </w:rPr>
        <w:t>and </w:t>
      </w:r>
      <w:r>
        <w:rPr>
          <w:rStyle w:val="Strong"/>
          <w:rFonts w:ascii="inherit" w:eastAsiaTheme="majorEastAsia" w:hAnsi="inherit" w:cs="Arial"/>
          <w:color w:val="1A1A1A"/>
          <w:bdr w:val="none" w:sz="0" w:space="0" w:color="auto" w:frame="1"/>
        </w:rPr>
        <w:t>moderately important</w:t>
      </w:r>
      <w:r>
        <w:rPr>
          <w:rFonts w:ascii="inherit" w:hAnsi="inherit" w:cs="Arial"/>
          <w:color w:val="1A1A1A"/>
        </w:rPr>
        <w:t>,</w:t>
      </w:r>
      <w:r>
        <w:rPr>
          <w:rStyle w:val="Strong"/>
          <w:rFonts w:ascii="inherit" w:eastAsiaTheme="majorEastAsia" w:hAnsi="inherit" w:cs="Arial"/>
          <w:color w:val="1A1A1A"/>
          <w:bdr w:val="none" w:sz="0" w:space="0" w:color="auto" w:frame="1"/>
        </w:rPr>
        <w:t> </w:t>
      </w:r>
      <w:r>
        <w:rPr>
          <w:rFonts w:ascii="inherit" w:hAnsi="inherit" w:cs="Arial"/>
          <w:color w:val="1A1A1A"/>
        </w:rPr>
        <w:t>defined as:</w:t>
      </w:r>
    </w:p>
    <w:p w14:paraId="173241D6" w14:textId="77777777" w:rsidR="00DB2405" w:rsidRDefault="00DB2405" w:rsidP="00DB2405">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Highly Significant Positive Attributes</w:t>
      </w:r>
    </w:p>
    <w:p w14:paraId="7E1469B5"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Characteristics given the highest degree of importance in assessment of property improvements ratings include:</w:t>
      </w:r>
    </w:p>
    <w:p w14:paraId="70284315"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Excellent quality of construction reflected in: Exterior finishes, floor systems, sound transmission loss between apartments; energy efficiency.</w:t>
      </w:r>
    </w:p>
    <w:p w14:paraId="53A2600F"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lastRenderedPageBreak/>
        <w:t>Unusually large unit sizes</w:t>
      </w:r>
    </w:p>
    <w:p w14:paraId="174BFACA"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A mix of one bedroom and two bedroom/two bath floorplans</w:t>
      </w:r>
    </w:p>
    <w:p w14:paraId="58E0DAF8"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Higher than standard (above 8') ceiling height</w:t>
      </w:r>
    </w:p>
    <w:p w14:paraId="453D2FCA"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Very attractive, complete recreational amenities</w:t>
      </w:r>
    </w:p>
    <w:p w14:paraId="575F2E1A"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Presence of unusual apartment interior details (</w:t>
      </w:r>
      <w:proofErr w:type="gramStart"/>
      <w:r>
        <w:rPr>
          <w:rFonts w:ascii="inherit" w:hAnsi="inherit" w:cs="Arial"/>
          <w:color w:val="1A1A1A"/>
        </w:rPr>
        <w:t>i.e.</w:t>
      </w:r>
      <w:proofErr w:type="gramEnd"/>
      <w:r>
        <w:rPr>
          <w:rFonts w:ascii="inherit" w:hAnsi="inherit" w:cs="Arial"/>
          <w:color w:val="1A1A1A"/>
        </w:rPr>
        <w:t xml:space="preserve"> built-in shelving or desks; attachment to a high speed data transmission line) crown molding; ceramic tile flooring; unusual lighting...</w:t>
      </w:r>
    </w:p>
    <w:p w14:paraId="79786D7D"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Attractive kitchen finishing detail, such as: Upgraded appliances (i.e., "black front" or "glass front" ranges and dishwashers; self-cleaning ovens; ice makers in refrigerators; two stage, energy efficient, dishwashers); upgraded kitchen countertops (polished granite, Corian, ceramic tile.); hardwood cabinetry...</w:t>
      </w:r>
    </w:p>
    <w:p w14:paraId="1C0D50A5"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Private balconies and patios/more than one balcony or patio per unit</w:t>
      </w:r>
    </w:p>
    <w:p w14:paraId="45DB83B6"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Unusually large size of balconies or patios</w:t>
      </w:r>
    </w:p>
    <w:p w14:paraId="1158B8AF"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Presence of washers and dryers – or at least washer/dryer hookups (inside the apartment is preferable to patio or balcony location)</w:t>
      </w:r>
    </w:p>
    <w:p w14:paraId="13B1C3B4"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Upgraded flooring – hardwood floors; ceramic tile flooring in kitchens and/or unit entries</w:t>
      </w:r>
    </w:p>
    <w:p w14:paraId="25AD97B9"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Attractive architectural design</w:t>
      </w:r>
    </w:p>
    <w:p w14:paraId="0FA26B0D"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 xml:space="preserve">Enclosed </w:t>
      </w:r>
      <w:proofErr w:type="gramStart"/>
      <w:r>
        <w:rPr>
          <w:rFonts w:ascii="inherit" w:hAnsi="inherit" w:cs="Arial"/>
          <w:color w:val="1A1A1A"/>
        </w:rPr>
        <w:t>garages;</w:t>
      </w:r>
      <w:proofErr w:type="gramEnd"/>
      <w:r>
        <w:rPr>
          <w:rFonts w:ascii="inherit" w:hAnsi="inherit" w:cs="Arial"/>
          <w:color w:val="1A1A1A"/>
        </w:rPr>
        <w:t xml:space="preserve"> attached enclosed garages are better yet</w:t>
      </w:r>
    </w:p>
    <w:p w14:paraId="64F19934" w14:textId="77777777" w:rsidR="00DB2405" w:rsidRDefault="00DB2405" w:rsidP="00DB2405">
      <w:pPr>
        <w:numPr>
          <w:ilvl w:val="0"/>
          <w:numId w:val="5"/>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Private, (or semi-private) unit entries</w:t>
      </w:r>
    </w:p>
    <w:p w14:paraId="238F44AC" w14:textId="77777777" w:rsidR="00DB2405" w:rsidRDefault="00DB2405" w:rsidP="00DB2405">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Important Positive Attributes</w:t>
      </w:r>
    </w:p>
    <w:p w14:paraId="4A4A39B9"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Attractive attributes important to determining improvements ratings, include:</w:t>
      </w:r>
    </w:p>
    <w:p w14:paraId="1C9553BD"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Bath finishing detail is attractive (</w:t>
      </w:r>
      <w:proofErr w:type="gramStart"/>
      <w:r>
        <w:rPr>
          <w:rFonts w:ascii="inherit" w:hAnsi="inherit" w:cs="Arial"/>
          <w:color w:val="1A1A1A"/>
        </w:rPr>
        <w:t>i.e.</w:t>
      </w:r>
      <w:proofErr w:type="gramEnd"/>
      <w:r>
        <w:rPr>
          <w:rFonts w:ascii="inherit" w:hAnsi="inherit" w:cs="Arial"/>
          <w:color w:val="1A1A1A"/>
        </w:rPr>
        <w:t xml:space="preserve"> ceramic tile tub enclosures; two sinks in master bath; upgraded lighting; shower doors are glass)</w:t>
      </w:r>
    </w:p>
    <w:p w14:paraId="27BA31DC"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Covered parking</w:t>
      </w:r>
    </w:p>
    <w:p w14:paraId="2D17813E"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Inclusion of eight-foot sliding glass doors accessing a balcony or patio</w:t>
      </w:r>
    </w:p>
    <w:p w14:paraId="79C5E376"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A highly landscaped appearance</w:t>
      </w:r>
    </w:p>
    <w:p w14:paraId="37B4320F"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Walk-in kitchen pantry</w:t>
      </w:r>
    </w:p>
    <w:p w14:paraId="16F13D99"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Inclusion of fireplaces as an option</w:t>
      </w:r>
    </w:p>
    <w:p w14:paraId="3FD4C962"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Outside bulk storage facilities – accessed off balconies or patios</w:t>
      </w:r>
    </w:p>
    <w:p w14:paraId="613E9449"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Microwave ovens</w:t>
      </w:r>
    </w:p>
    <w:p w14:paraId="38CB8CA3"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Inclusion of living area ceiling fans</w:t>
      </w:r>
    </w:p>
    <w:p w14:paraId="73DF1411"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Bath detail is complete (</w:t>
      </w:r>
      <w:proofErr w:type="gramStart"/>
      <w:r>
        <w:rPr>
          <w:rFonts w:ascii="inherit" w:hAnsi="inherit" w:cs="Arial"/>
          <w:color w:val="1A1A1A"/>
        </w:rPr>
        <w:t>i.e.</w:t>
      </w:r>
      <w:proofErr w:type="gramEnd"/>
      <w:r>
        <w:rPr>
          <w:rFonts w:ascii="inherit" w:hAnsi="inherit" w:cs="Arial"/>
          <w:color w:val="1A1A1A"/>
        </w:rPr>
        <w:t xml:space="preserve"> built-in mirrored medicine cabinet; built-in vanity; double sinks); tub and shower enclosures are ceramic tile</w:t>
      </w:r>
    </w:p>
    <w:p w14:paraId="5011BB9F" w14:textId="77777777" w:rsidR="00DB2405" w:rsidRDefault="00DB2405" w:rsidP="00DB2405">
      <w:pPr>
        <w:numPr>
          <w:ilvl w:val="0"/>
          <w:numId w:val="6"/>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Presence of parking availability beyond code requirements</w:t>
      </w:r>
    </w:p>
    <w:p w14:paraId="5357AEE2" w14:textId="77777777" w:rsidR="00DB2405" w:rsidRDefault="00DB2405" w:rsidP="00DB2405">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Moderately Important Positive Attributes</w:t>
      </w:r>
    </w:p>
    <w:p w14:paraId="65DCF20F"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Positive factors of least importance – but considered – in determining improvements rating include:</w:t>
      </w:r>
    </w:p>
    <w:p w14:paraId="683F211C" w14:textId="77777777" w:rsidR="00DB2405" w:rsidRDefault="00DB2405" w:rsidP="00DB2405">
      <w:pPr>
        <w:numPr>
          <w:ilvl w:val="0"/>
          <w:numId w:val="7"/>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lastRenderedPageBreak/>
        <w:t>Individual metering of electric utilities</w:t>
      </w:r>
    </w:p>
    <w:p w14:paraId="58E60C15" w14:textId="77777777" w:rsidR="00DB2405" w:rsidRDefault="00DB2405" w:rsidP="00DB2405">
      <w:pPr>
        <w:numPr>
          <w:ilvl w:val="0"/>
          <w:numId w:val="7"/>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Bedroom ceiling fans, or wiring for ceiling fans</w:t>
      </w:r>
    </w:p>
    <w:p w14:paraId="0C6A6476" w14:textId="77777777" w:rsidR="00DB2405" w:rsidRDefault="00DB2405" w:rsidP="00DB2405">
      <w:pPr>
        <w:numPr>
          <w:ilvl w:val="0"/>
          <w:numId w:val="7"/>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 xml:space="preserve">Effective use of </w:t>
      </w:r>
      <w:proofErr w:type="spellStart"/>
      <w:r>
        <w:rPr>
          <w:rFonts w:ascii="inherit" w:hAnsi="inherit" w:cs="Arial"/>
          <w:color w:val="1A1A1A"/>
        </w:rPr>
        <w:t>waterscaping</w:t>
      </w:r>
      <w:proofErr w:type="spellEnd"/>
    </w:p>
    <w:p w14:paraId="689CCCBF" w14:textId="77777777" w:rsidR="00DB2405" w:rsidRDefault="00DB2405" w:rsidP="00DB2405">
      <w:pPr>
        <w:numPr>
          <w:ilvl w:val="0"/>
          <w:numId w:val="7"/>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Presence of a tennis court, sport court, volleyball court, or racquetball facilities</w:t>
      </w:r>
    </w:p>
    <w:p w14:paraId="626798F8" w14:textId="77777777" w:rsidR="00DB2405" w:rsidRDefault="00DB2405" w:rsidP="00DB2405">
      <w:pPr>
        <w:numPr>
          <w:ilvl w:val="0"/>
          <w:numId w:val="7"/>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Pitched roofs (finished in concrete tile or wood shingles is superior to composition shingles)</w:t>
      </w:r>
    </w:p>
    <w:p w14:paraId="3B645D47" w14:textId="77777777" w:rsidR="00DB2405" w:rsidRDefault="00DB2405" w:rsidP="00DB2405">
      <w:pPr>
        <w:numPr>
          <w:ilvl w:val="0"/>
          <w:numId w:val="7"/>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Covered parking is made available beyond one space per unit</w:t>
      </w:r>
    </w:p>
    <w:p w14:paraId="5425A966" w14:textId="77777777" w:rsidR="00A00910" w:rsidRDefault="00A00910" w:rsidP="00CC3B9F">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Apartment Characteristics Negatively Affecting Improvements Ratings</w:t>
      </w:r>
    </w:p>
    <w:p w14:paraId="43E09B60" w14:textId="77777777" w:rsidR="00A00910" w:rsidRDefault="00A00910" w:rsidP="00A00910">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Certain characteristics negatively impact property improvements ratings. These factors also range in importance as </w:t>
      </w:r>
      <w:r>
        <w:rPr>
          <w:rStyle w:val="Strong"/>
          <w:rFonts w:ascii="inherit" w:eastAsiaTheme="majorEastAsia" w:hAnsi="inherit" w:cs="Arial"/>
          <w:color w:val="1A1A1A"/>
          <w:bdr w:val="none" w:sz="0" w:space="0" w:color="auto" w:frame="1"/>
        </w:rPr>
        <w:t>Highly Significant</w:t>
      </w:r>
      <w:r>
        <w:rPr>
          <w:rFonts w:ascii="inherit" w:hAnsi="inherit" w:cs="Arial"/>
          <w:color w:val="1A1A1A"/>
        </w:rPr>
        <w:t>, </w:t>
      </w:r>
      <w:r>
        <w:rPr>
          <w:rStyle w:val="Strong"/>
          <w:rFonts w:ascii="inherit" w:eastAsiaTheme="majorEastAsia" w:hAnsi="inherit" w:cs="Arial"/>
          <w:color w:val="1A1A1A"/>
          <w:bdr w:val="none" w:sz="0" w:space="0" w:color="auto" w:frame="1"/>
        </w:rPr>
        <w:t>Important</w:t>
      </w:r>
      <w:r>
        <w:rPr>
          <w:rFonts w:ascii="inherit" w:hAnsi="inherit" w:cs="Arial"/>
          <w:color w:val="1A1A1A"/>
        </w:rPr>
        <w:t>, and </w:t>
      </w:r>
      <w:r>
        <w:rPr>
          <w:rStyle w:val="Strong"/>
          <w:rFonts w:ascii="inherit" w:eastAsiaTheme="majorEastAsia" w:hAnsi="inherit" w:cs="Arial"/>
          <w:color w:val="1A1A1A"/>
          <w:bdr w:val="none" w:sz="0" w:space="0" w:color="auto" w:frame="1"/>
        </w:rPr>
        <w:t>Moderately Important</w:t>
      </w:r>
      <w:r>
        <w:rPr>
          <w:rFonts w:ascii="inherit" w:hAnsi="inherit" w:cs="Arial"/>
          <w:color w:val="1A1A1A"/>
        </w:rPr>
        <w:t>, and generally describe as:</w:t>
      </w:r>
    </w:p>
    <w:p w14:paraId="1AB58C3E"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Highly Significant Negative Characteristics</w:t>
      </w:r>
    </w:p>
    <w:p w14:paraId="41D1DC3F"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sz w:val="24"/>
          <w:szCs w:val="24"/>
        </w:rPr>
      </w:pPr>
      <w:r>
        <w:rPr>
          <w:rFonts w:ascii="inherit" w:hAnsi="inherit" w:cs="Arial"/>
          <w:color w:val="1A1A1A"/>
        </w:rPr>
        <w:t>Poor quality of construction, resulting in strikingly negative appearance</w:t>
      </w:r>
    </w:p>
    <w:p w14:paraId="2AFB3FCB"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 xml:space="preserve">A unit mix of small studio and </w:t>
      </w:r>
      <w:proofErr w:type="gramStart"/>
      <w:r>
        <w:rPr>
          <w:rFonts w:ascii="inherit" w:hAnsi="inherit" w:cs="Arial"/>
          <w:color w:val="1A1A1A"/>
        </w:rPr>
        <w:t>one bedroom</w:t>
      </w:r>
      <w:proofErr w:type="gramEnd"/>
      <w:r>
        <w:rPr>
          <w:rFonts w:ascii="inherit" w:hAnsi="inherit" w:cs="Arial"/>
          <w:color w:val="1A1A1A"/>
        </w:rPr>
        <w:t xml:space="preserve"> floorplans without inclusion, or limited presence, of other unit types</w:t>
      </w:r>
    </w:p>
    <w:p w14:paraId="03CB1F99"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Multiple bedroom apartments include only one bath</w:t>
      </w:r>
    </w:p>
    <w:p w14:paraId="2287E3AF"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Bath detail includes Masonite, or vacuum-formed plastic, tub enclosures; no medicine cabinet is provided; bath sinks are free-standing</w:t>
      </w:r>
    </w:p>
    <w:p w14:paraId="523685C4"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Restricted interior storage</w:t>
      </w:r>
    </w:p>
    <w:p w14:paraId="10B69E33"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No private patio or balcony</w:t>
      </w:r>
    </w:p>
    <w:p w14:paraId="48DFD6E1"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Ramp (motel) type unit entries, or interior corridors are narrow and poorly lighted</w:t>
      </w:r>
    </w:p>
    <w:p w14:paraId="4E435319"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Incomplete, or low-end, kitchen appliances (i.e., no dishwashers; refrigerators are single door, or non-</w:t>
      </w:r>
      <w:proofErr w:type="gramStart"/>
      <w:r>
        <w:rPr>
          <w:rFonts w:ascii="inherit" w:hAnsi="inherit" w:cs="Arial"/>
          <w:color w:val="1A1A1A"/>
        </w:rPr>
        <w:t>frost free</w:t>
      </w:r>
      <w:proofErr w:type="gramEnd"/>
      <w:r>
        <w:rPr>
          <w:rFonts w:ascii="inherit" w:hAnsi="inherit" w:cs="Arial"/>
          <w:color w:val="1A1A1A"/>
        </w:rPr>
        <w:t xml:space="preserve"> double-door; ranges are small).</w:t>
      </w:r>
    </w:p>
    <w:p w14:paraId="07D7CC5D" w14:textId="77777777" w:rsidR="00A00910" w:rsidRDefault="00A00910" w:rsidP="00A00910">
      <w:pPr>
        <w:numPr>
          <w:ilvl w:val="0"/>
          <w:numId w:val="8"/>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Kitchen cabinetry reflects a high degree of obsolescence of appearance (</w:t>
      </w:r>
      <w:proofErr w:type="gramStart"/>
      <w:r>
        <w:rPr>
          <w:rFonts w:ascii="inherit" w:hAnsi="inherit" w:cs="Arial"/>
          <w:color w:val="1A1A1A"/>
        </w:rPr>
        <w:t>i.e.</w:t>
      </w:r>
      <w:proofErr w:type="gramEnd"/>
      <w:r>
        <w:rPr>
          <w:rFonts w:ascii="inherit" w:hAnsi="inherit" w:cs="Arial"/>
          <w:color w:val="1A1A1A"/>
        </w:rPr>
        <w:t xml:space="preserve"> dark wood patterned laminate-faced), and/or kitchen storage availability is limited.</w:t>
      </w:r>
    </w:p>
    <w:p w14:paraId="7CC7BCEF"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Important Negative Characteristics</w:t>
      </w:r>
    </w:p>
    <w:p w14:paraId="15A82306" w14:textId="77777777" w:rsidR="00A00910" w:rsidRDefault="00A00910" w:rsidP="00A00910">
      <w:pPr>
        <w:numPr>
          <w:ilvl w:val="0"/>
          <w:numId w:val="9"/>
        </w:numPr>
        <w:shd w:val="clear" w:color="auto" w:fill="FFFFFF"/>
        <w:spacing w:before="75" w:after="150" w:line="300" w:lineRule="atLeast"/>
        <w:ind w:left="1095"/>
        <w:textAlignment w:val="baseline"/>
        <w:rPr>
          <w:rFonts w:ascii="inherit" w:hAnsi="inherit" w:cs="Arial"/>
          <w:color w:val="1A1A1A"/>
          <w:sz w:val="24"/>
          <w:szCs w:val="24"/>
        </w:rPr>
      </w:pPr>
      <w:r>
        <w:rPr>
          <w:rFonts w:ascii="inherit" w:hAnsi="inherit" w:cs="Arial"/>
          <w:color w:val="1A1A1A"/>
        </w:rPr>
        <w:t>Ceiling heights are below standard (</w:t>
      </w:r>
      <w:proofErr w:type="gramStart"/>
      <w:r>
        <w:rPr>
          <w:rFonts w:ascii="inherit" w:hAnsi="inherit" w:cs="Arial"/>
          <w:color w:val="1A1A1A"/>
        </w:rPr>
        <w:t>i.e.</w:t>
      </w:r>
      <w:proofErr w:type="gramEnd"/>
      <w:r>
        <w:rPr>
          <w:rFonts w:ascii="inherit" w:hAnsi="inherit" w:cs="Arial"/>
          <w:color w:val="1A1A1A"/>
        </w:rPr>
        <w:t xml:space="preserve"> seven feet)</w:t>
      </w:r>
    </w:p>
    <w:p w14:paraId="6E545CF1" w14:textId="77777777" w:rsidR="00A00910" w:rsidRDefault="00A00910" w:rsidP="00A00910">
      <w:pPr>
        <w:numPr>
          <w:ilvl w:val="0"/>
          <w:numId w:val="9"/>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Limited, or no, architectural appeal</w:t>
      </w:r>
    </w:p>
    <w:p w14:paraId="357E797F" w14:textId="77777777" w:rsidR="00A00910" w:rsidRDefault="00A00910" w:rsidP="00A00910">
      <w:pPr>
        <w:numPr>
          <w:ilvl w:val="0"/>
          <w:numId w:val="9"/>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Floorplans offered are significantly (20% or more) smaller than market average size</w:t>
      </w:r>
    </w:p>
    <w:p w14:paraId="5007BEFF" w14:textId="77777777" w:rsidR="00A00910" w:rsidRDefault="00A00910" w:rsidP="00A00910">
      <w:pPr>
        <w:numPr>
          <w:ilvl w:val="0"/>
          <w:numId w:val="9"/>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Second floor systems are composed of plywood (not finished in Gypcrete)</w:t>
      </w:r>
    </w:p>
    <w:p w14:paraId="54372FE0" w14:textId="77777777" w:rsidR="00A00910" w:rsidRDefault="00A00910" w:rsidP="00A00910">
      <w:pPr>
        <w:numPr>
          <w:ilvl w:val="0"/>
          <w:numId w:val="9"/>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Lack of (limited, or no) covered parking availability</w:t>
      </w:r>
    </w:p>
    <w:p w14:paraId="64348C26" w14:textId="77777777" w:rsidR="00A00910" w:rsidRDefault="00A00910" w:rsidP="00A00910">
      <w:pPr>
        <w:numPr>
          <w:ilvl w:val="0"/>
          <w:numId w:val="9"/>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Lack of refrigeration in warm climates</w:t>
      </w:r>
    </w:p>
    <w:p w14:paraId="4EF17D99"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Moderately Important Negative Characteristics</w:t>
      </w:r>
    </w:p>
    <w:p w14:paraId="216C30B9" w14:textId="77777777" w:rsidR="00A00910" w:rsidRDefault="00A00910" w:rsidP="00A00910">
      <w:pPr>
        <w:numPr>
          <w:ilvl w:val="0"/>
          <w:numId w:val="10"/>
        </w:numPr>
        <w:shd w:val="clear" w:color="auto" w:fill="FFFFFF"/>
        <w:spacing w:before="75" w:after="150" w:line="300" w:lineRule="atLeast"/>
        <w:ind w:left="1095"/>
        <w:textAlignment w:val="baseline"/>
        <w:rPr>
          <w:rFonts w:ascii="inherit" w:hAnsi="inherit" w:cs="Arial"/>
          <w:color w:val="1A1A1A"/>
          <w:sz w:val="24"/>
          <w:szCs w:val="24"/>
        </w:rPr>
      </w:pPr>
      <w:r>
        <w:rPr>
          <w:rFonts w:ascii="inherit" w:hAnsi="inherit" w:cs="Arial"/>
          <w:color w:val="1A1A1A"/>
        </w:rPr>
        <w:t>Sparse landscaping</w:t>
      </w:r>
    </w:p>
    <w:p w14:paraId="4E95F063" w14:textId="77777777" w:rsidR="00A00910" w:rsidRDefault="00A00910" w:rsidP="00A00910">
      <w:pPr>
        <w:numPr>
          <w:ilvl w:val="0"/>
          <w:numId w:val="10"/>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lastRenderedPageBreak/>
        <w:t>Central metering of electric utilities</w:t>
      </w:r>
    </w:p>
    <w:p w14:paraId="6933F53B" w14:textId="77777777" w:rsidR="00A00910" w:rsidRDefault="00A00910" w:rsidP="00A00910">
      <w:pPr>
        <w:numPr>
          <w:ilvl w:val="0"/>
          <w:numId w:val="10"/>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Flat roofs</w:t>
      </w:r>
    </w:p>
    <w:p w14:paraId="0953CE86" w14:textId="77777777" w:rsidR="00A00910" w:rsidRDefault="00A00910" w:rsidP="00A00910">
      <w:pPr>
        <w:numPr>
          <w:ilvl w:val="0"/>
          <w:numId w:val="10"/>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Second floor stair landings are wood (rather than concrete)</w:t>
      </w:r>
    </w:p>
    <w:p w14:paraId="6F26A858" w14:textId="77777777" w:rsidR="00A00910" w:rsidRDefault="00A00910" w:rsidP="00A00910">
      <w:pPr>
        <w:numPr>
          <w:ilvl w:val="0"/>
          <w:numId w:val="10"/>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Kitchen lighting is by a standard incandescent fixture</w:t>
      </w:r>
    </w:p>
    <w:p w14:paraId="43B038F1" w14:textId="77777777" w:rsidR="00A00910" w:rsidRDefault="00A00910" w:rsidP="00A00910">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How We Rate an Apartment Property's Location</w:t>
      </w:r>
    </w:p>
    <w:p w14:paraId="5A8544C0" w14:textId="77777777" w:rsidR="00A00910" w:rsidRDefault="00A00910" w:rsidP="00A00910">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Yardi Matrix’s patented (U.S. Patent numbers 7,974,930, and 8,060,450) </w:t>
      </w:r>
      <w:r>
        <w:rPr>
          <w:rStyle w:val="Strong"/>
          <w:rFonts w:ascii="inherit" w:eastAsiaTheme="majorEastAsia" w:hAnsi="inherit" w:cs="Arial"/>
          <w:color w:val="1A1A1A"/>
          <w:bdr w:val="none" w:sz="0" w:space="0" w:color="auto" w:frame="1"/>
        </w:rPr>
        <w:t>Context® </w:t>
      </w:r>
      <w:r>
        <w:rPr>
          <w:rFonts w:ascii="inherit" w:hAnsi="inherit" w:cs="Arial"/>
          <w:color w:val="1A1A1A"/>
        </w:rPr>
        <w:t>rating system references a range of variables applied to a location’s relative desirability.</w:t>
      </w:r>
    </w:p>
    <w:p w14:paraId="45AB535D"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Location rating definition is considered at three levels: Submarket; the immediate area surrounding a subject property’s site; the property’s specific location.</w:t>
      </w:r>
    </w:p>
    <w:p w14:paraId="58A9F9EA"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Consideration in concluding location rating is given to whether a geographic area’s conditions are improving – or declining – in relative desirability. An improving location reflects: Positive area job growth; new, high quality real estate development; and changes, such as freeway development or light rail extension, resulting in improved area access. A declining area reflects: Job loss; deterioration of attractiveness due to aging, and deterioration of area property improvements; area access is limited; average household income is well below area median household income, or is declining, and violent crime is disproportionately high in relation to the metropolitan area violent crime rate.</w:t>
      </w:r>
    </w:p>
    <w:p w14:paraId="41E8FC26" w14:textId="77777777" w:rsidR="00A00910" w:rsidRDefault="00A00910" w:rsidP="00A00910">
      <w:pPr>
        <w:pStyle w:val="Heading1"/>
        <w:spacing w:before="0" w:beforeAutospacing="0" w:after="0" w:afterAutospacing="0" w:line="288" w:lineRule="atLeast"/>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Apartment Location Rating Definitions</w:t>
      </w:r>
    </w:p>
    <w:p w14:paraId="221E1CAB" w14:textId="77777777" w:rsidR="00A00910" w:rsidRDefault="00A00910" w:rsidP="00A00910">
      <w:pPr>
        <w:pStyle w:val="NormalWeb"/>
        <w:shd w:val="clear" w:color="auto" w:fill="FFFFFF"/>
        <w:spacing w:before="225" w:beforeAutospacing="0" w:after="150" w:afterAutospacing="0" w:line="360" w:lineRule="atLeast"/>
        <w:textAlignment w:val="baseline"/>
        <w:rPr>
          <w:rFonts w:ascii="Arial" w:hAnsi="Arial" w:cs="Arial"/>
          <w:color w:val="1A1A1A"/>
        </w:rPr>
      </w:pPr>
      <w:r>
        <w:rPr>
          <w:rFonts w:ascii="Arial" w:hAnsi="Arial" w:cs="Arial"/>
          <w:color w:val="1A1A1A"/>
        </w:rPr>
        <w:t>Context® location ratings define as:</w:t>
      </w:r>
    </w:p>
    <w:p w14:paraId="783E7DF2" w14:textId="77777777" w:rsidR="00A00910" w:rsidRDefault="00A00910" w:rsidP="00A00910">
      <w:pPr>
        <w:pStyle w:val="NormalWeb"/>
        <w:shd w:val="clear" w:color="auto" w:fill="FFFFFF"/>
        <w:spacing w:before="225" w:beforeAutospacing="0" w:after="150" w:afterAutospacing="0" w:line="360" w:lineRule="atLeast"/>
        <w:textAlignment w:val="baseline"/>
        <w:rPr>
          <w:rFonts w:ascii="Arial" w:hAnsi="Arial" w:cs="Arial"/>
          <w:color w:val="1A1A1A"/>
        </w:rPr>
      </w:pPr>
    </w:p>
    <w:tbl>
      <w:tblPr>
        <w:tblW w:w="0" w:type="auto"/>
        <w:shd w:val="clear" w:color="auto" w:fill="FFFFFF"/>
        <w:tblCellMar>
          <w:left w:w="0" w:type="dxa"/>
          <w:right w:w="0" w:type="dxa"/>
        </w:tblCellMar>
        <w:tblLook w:val="04A0" w:firstRow="1" w:lastRow="0" w:firstColumn="1" w:lastColumn="0" w:noHBand="0" w:noVBand="1"/>
      </w:tblPr>
      <w:tblGrid>
        <w:gridCol w:w="1466"/>
        <w:gridCol w:w="236"/>
        <w:gridCol w:w="7313"/>
      </w:tblGrid>
      <w:tr w:rsidR="00A00910" w14:paraId="767E877D" w14:textId="77777777" w:rsidTr="00A00910">
        <w:tc>
          <w:tcPr>
            <w:tcW w:w="1199"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072A51A" w14:textId="77777777" w:rsidR="00A00910" w:rsidRDefault="00A00910">
            <w:pPr>
              <w:pStyle w:val="Heading3"/>
              <w:spacing w:before="168" w:after="120" w:line="288" w:lineRule="atLeast"/>
              <w:jc w:val="center"/>
              <w:textAlignment w:val="baseline"/>
              <w:rPr>
                <w:rFonts w:ascii="Arial" w:hAnsi="Arial" w:cs="Arial"/>
                <w:color w:val="2B76A9"/>
                <w:sz w:val="30"/>
                <w:szCs w:val="30"/>
              </w:rPr>
            </w:pPr>
            <w:r>
              <w:rPr>
                <w:rFonts w:ascii="Arial" w:hAnsi="Arial" w:cs="Arial"/>
                <w:b/>
                <w:bCs/>
                <w:color w:val="2B76A9"/>
                <w:sz w:val="30"/>
                <w:szCs w:val="30"/>
              </w:rPr>
              <w:t>Location Rating</w:t>
            </w:r>
          </w:p>
        </w:tc>
        <w:tc>
          <w:tcPr>
            <w:tcW w:w="236" w:type="dxa"/>
            <w:shd w:val="clear" w:color="auto" w:fill="FFFFFF"/>
            <w:tcMar>
              <w:top w:w="0" w:type="dxa"/>
              <w:left w:w="108" w:type="dxa"/>
              <w:bottom w:w="0" w:type="dxa"/>
              <w:right w:w="108" w:type="dxa"/>
            </w:tcMar>
            <w:hideMark/>
          </w:tcPr>
          <w:p w14:paraId="19349769" w14:textId="77777777" w:rsidR="00A00910" w:rsidRDefault="00A00910">
            <w:pPr>
              <w:rPr>
                <w:rFonts w:ascii="Arial" w:hAnsi="Arial" w:cs="Arial"/>
                <w:b/>
                <w:bCs/>
                <w:color w:val="2B76A9"/>
                <w:sz w:val="30"/>
                <w:szCs w:val="30"/>
              </w:rPr>
            </w:pPr>
          </w:p>
        </w:tc>
        <w:tc>
          <w:tcPr>
            <w:tcW w:w="731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1A15D21" w14:textId="77777777" w:rsidR="00A00910" w:rsidRDefault="00A00910">
            <w:pPr>
              <w:pStyle w:val="Heading3"/>
              <w:spacing w:before="168" w:after="120" w:line="288" w:lineRule="atLeast"/>
              <w:jc w:val="center"/>
              <w:textAlignment w:val="baseline"/>
              <w:rPr>
                <w:rFonts w:ascii="Arial" w:hAnsi="Arial" w:cs="Arial"/>
                <w:color w:val="2B76A9"/>
                <w:sz w:val="30"/>
                <w:szCs w:val="30"/>
              </w:rPr>
            </w:pPr>
            <w:r>
              <w:rPr>
                <w:rFonts w:ascii="Arial" w:hAnsi="Arial" w:cs="Arial"/>
                <w:b/>
                <w:bCs/>
                <w:color w:val="2B76A9"/>
                <w:sz w:val="30"/>
                <w:szCs w:val="30"/>
              </w:rPr>
              <w:t>Characteristics</w:t>
            </w:r>
          </w:p>
        </w:tc>
      </w:tr>
      <w:tr w:rsidR="00A00910" w14:paraId="143A3BF8" w14:textId="77777777" w:rsidTr="00A00910">
        <w:tc>
          <w:tcPr>
            <w:tcW w:w="1199" w:type="dxa"/>
            <w:tcBorders>
              <w:top w:val="nil"/>
              <w:left w:val="nil"/>
              <w:bottom w:val="nil"/>
              <w:right w:val="nil"/>
            </w:tcBorders>
            <w:shd w:val="clear" w:color="auto" w:fill="FFFFFF"/>
            <w:tcMar>
              <w:top w:w="0" w:type="dxa"/>
              <w:left w:w="108" w:type="dxa"/>
              <w:bottom w:w="0" w:type="dxa"/>
              <w:right w:w="108" w:type="dxa"/>
            </w:tcMar>
            <w:hideMark/>
          </w:tcPr>
          <w:p w14:paraId="6F20B1B4"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236" w:type="dxa"/>
            <w:shd w:val="clear" w:color="auto" w:fill="FFFFFF"/>
            <w:tcMar>
              <w:top w:w="0" w:type="dxa"/>
              <w:left w:w="108" w:type="dxa"/>
              <w:bottom w:w="0" w:type="dxa"/>
              <w:right w:w="108" w:type="dxa"/>
            </w:tcMar>
            <w:hideMark/>
          </w:tcPr>
          <w:p w14:paraId="544E4ACA"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7313" w:type="dxa"/>
            <w:tcBorders>
              <w:top w:val="nil"/>
              <w:left w:val="nil"/>
              <w:bottom w:val="nil"/>
              <w:right w:val="nil"/>
            </w:tcBorders>
            <w:shd w:val="clear" w:color="auto" w:fill="FFFFFF"/>
            <w:tcMar>
              <w:top w:w="0" w:type="dxa"/>
              <w:left w:w="108" w:type="dxa"/>
              <w:bottom w:w="0" w:type="dxa"/>
              <w:right w:w="108" w:type="dxa"/>
            </w:tcMar>
            <w:hideMark/>
          </w:tcPr>
          <w:p w14:paraId="5A97FFB9"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r>
      <w:tr w:rsidR="00A00910" w14:paraId="02BBB8A6" w14:textId="77777777" w:rsidTr="00A00910">
        <w:tc>
          <w:tcPr>
            <w:tcW w:w="1199" w:type="dxa"/>
            <w:shd w:val="clear" w:color="auto" w:fill="FFFFFF"/>
            <w:tcMar>
              <w:top w:w="0" w:type="dxa"/>
              <w:left w:w="108" w:type="dxa"/>
              <w:bottom w:w="0" w:type="dxa"/>
              <w:right w:w="108" w:type="dxa"/>
            </w:tcMar>
            <w:hideMark/>
          </w:tcPr>
          <w:p w14:paraId="191B51D1" w14:textId="77777777" w:rsidR="00A00910" w:rsidRDefault="00A00910">
            <w:pPr>
              <w:pStyle w:val="NormalWeb"/>
              <w:spacing w:before="225" w:beforeAutospacing="0" w:after="150" w:afterAutospacing="0" w:line="360" w:lineRule="atLeast"/>
              <w:jc w:val="center"/>
              <w:textAlignment w:val="baseline"/>
              <w:rPr>
                <w:rFonts w:ascii="inherit" w:hAnsi="inherit" w:cs="Arial"/>
                <w:color w:val="1A1A1A"/>
              </w:rPr>
            </w:pPr>
            <w:r>
              <w:rPr>
                <w:rFonts w:ascii="inherit" w:hAnsi="inherit" w:cs="Arial"/>
                <w:color w:val="1A1A1A"/>
              </w:rPr>
              <w:t>A+/A</w:t>
            </w:r>
          </w:p>
        </w:tc>
        <w:tc>
          <w:tcPr>
            <w:tcW w:w="236" w:type="dxa"/>
            <w:shd w:val="clear" w:color="auto" w:fill="FFFFFF"/>
            <w:tcMar>
              <w:top w:w="0" w:type="dxa"/>
              <w:left w:w="108" w:type="dxa"/>
              <w:bottom w:w="0" w:type="dxa"/>
              <w:right w:w="108" w:type="dxa"/>
            </w:tcMar>
            <w:hideMark/>
          </w:tcPr>
          <w:p w14:paraId="481E85A8"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7313" w:type="dxa"/>
            <w:shd w:val="clear" w:color="auto" w:fill="FFFFFF"/>
            <w:tcMar>
              <w:top w:w="0" w:type="dxa"/>
              <w:left w:w="108" w:type="dxa"/>
              <w:bottom w:w="0" w:type="dxa"/>
              <w:right w:w="108" w:type="dxa"/>
            </w:tcMar>
            <w:hideMark/>
          </w:tcPr>
          <w:p w14:paraId="55FA69DA" w14:textId="77777777" w:rsidR="00A00910" w:rsidRDefault="00A00910">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rPr>
              <w:t>Defines the </w:t>
            </w:r>
            <w:r>
              <w:rPr>
                <w:rStyle w:val="Emphasis"/>
                <w:rFonts w:ascii="inherit" w:eastAsiaTheme="majorEastAsia" w:hAnsi="inherit" w:cs="Arial"/>
                <w:color w:val="1A1A1A"/>
                <w:bdr w:val="none" w:sz="0" w:space="0" w:color="auto" w:frame="1"/>
              </w:rPr>
              <w:t>Tiffany</w:t>
            </w:r>
            <w:r>
              <w:rPr>
                <w:rFonts w:ascii="inherit" w:hAnsi="inherit" w:cs="Arial"/>
                <w:color w:val="1A1A1A"/>
              </w:rPr>
              <w:t> of metropolitan area locations.  The property occupies a site incorporating unique characteristics (</w:t>
            </w:r>
            <w:proofErr w:type="gramStart"/>
            <w:r>
              <w:rPr>
                <w:rFonts w:ascii="inherit" w:hAnsi="inherit" w:cs="Arial"/>
                <w:color w:val="1A1A1A"/>
              </w:rPr>
              <w:t>i.e.</w:t>
            </w:r>
            <w:proofErr w:type="gramEnd"/>
            <w:r>
              <w:rPr>
                <w:rFonts w:ascii="inherit" w:hAnsi="inherit" w:cs="Arial"/>
                <w:color w:val="1A1A1A"/>
              </w:rPr>
              <w:t xml:space="preserve"> view of, or from, mountains; golf course frontage; lake frontage; ocean view); very close access to a high concentration of high quality employment, high quality shopping, immediate area demographics emphasize upper income households.</w:t>
            </w:r>
          </w:p>
        </w:tc>
      </w:tr>
      <w:tr w:rsidR="00A00910" w14:paraId="0A8D242C" w14:textId="77777777" w:rsidTr="00A00910">
        <w:tc>
          <w:tcPr>
            <w:tcW w:w="1199" w:type="dxa"/>
            <w:shd w:val="clear" w:color="auto" w:fill="FFFFFF"/>
            <w:tcMar>
              <w:top w:w="0" w:type="dxa"/>
              <w:left w:w="108" w:type="dxa"/>
              <w:bottom w:w="0" w:type="dxa"/>
              <w:right w:w="108" w:type="dxa"/>
            </w:tcMar>
            <w:hideMark/>
          </w:tcPr>
          <w:p w14:paraId="76A773B8" w14:textId="77777777" w:rsidR="00A00910" w:rsidRDefault="00A00910">
            <w:pPr>
              <w:rPr>
                <w:rFonts w:ascii="inherit" w:hAnsi="inherit" w:cs="Arial"/>
                <w:color w:val="1A1A1A"/>
              </w:rPr>
            </w:pPr>
          </w:p>
        </w:tc>
        <w:tc>
          <w:tcPr>
            <w:tcW w:w="236" w:type="dxa"/>
            <w:shd w:val="clear" w:color="auto" w:fill="FFFFFF"/>
            <w:tcMar>
              <w:top w:w="0" w:type="dxa"/>
              <w:left w:w="108" w:type="dxa"/>
              <w:bottom w:w="0" w:type="dxa"/>
              <w:right w:w="108" w:type="dxa"/>
            </w:tcMar>
            <w:hideMark/>
          </w:tcPr>
          <w:p w14:paraId="110F5BA0" w14:textId="77777777" w:rsidR="00A00910" w:rsidRDefault="00A00910">
            <w:pPr>
              <w:rPr>
                <w:sz w:val="20"/>
                <w:szCs w:val="20"/>
              </w:rPr>
            </w:pPr>
          </w:p>
        </w:tc>
        <w:tc>
          <w:tcPr>
            <w:tcW w:w="7313" w:type="dxa"/>
            <w:shd w:val="clear" w:color="auto" w:fill="FFFFFF"/>
            <w:tcMar>
              <w:top w:w="0" w:type="dxa"/>
              <w:left w:w="108" w:type="dxa"/>
              <w:bottom w:w="0" w:type="dxa"/>
              <w:right w:w="108" w:type="dxa"/>
            </w:tcMar>
            <w:hideMark/>
          </w:tcPr>
          <w:p w14:paraId="153AC465" w14:textId="77777777" w:rsidR="00A00910" w:rsidRDefault="00A00910">
            <w:pPr>
              <w:rPr>
                <w:sz w:val="20"/>
                <w:szCs w:val="20"/>
              </w:rPr>
            </w:pPr>
          </w:p>
        </w:tc>
      </w:tr>
      <w:tr w:rsidR="00A00910" w14:paraId="5B74D5D8" w14:textId="77777777" w:rsidTr="00A00910">
        <w:tc>
          <w:tcPr>
            <w:tcW w:w="1199" w:type="dxa"/>
            <w:shd w:val="clear" w:color="auto" w:fill="FFFFFF"/>
            <w:tcMar>
              <w:top w:w="0" w:type="dxa"/>
              <w:left w:w="108" w:type="dxa"/>
              <w:bottom w:w="0" w:type="dxa"/>
              <w:right w:w="108" w:type="dxa"/>
            </w:tcMar>
            <w:hideMark/>
          </w:tcPr>
          <w:p w14:paraId="63B1586A" w14:textId="77777777" w:rsidR="00A00910" w:rsidRDefault="00A00910">
            <w:pPr>
              <w:pStyle w:val="NormalWeb"/>
              <w:spacing w:before="225" w:beforeAutospacing="0" w:after="150" w:afterAutospacing="0" w:line="360" w:lineRule="atLeast"/>
              <w:jc w:val="center"/>
              <w:textAlignment w:val="baseline"/>
              <w:rPr>
                <w:rFonts w:ascii="inherit" w:hAnsi="inherit" w:cs="Arial"/>
                <w:color w:val="1A1A1A"/>
              </w:rPr>
            </w:pPr>
            <w:r>
              <w:rPr>
                <w:rFonts w:ascii="inherit" w:hAnsi="inherit" w:cs="Arial"/>
                <w:color w:val="1A1A1A"/>
              </w:rPr>
              <w:t>A-/B+</w:t>
            </w:r>
          </w:p>
        </w:tc>
        <w:tc>
          <w:tcPr>
            <w:tcW w:w="236" w:type="dxa"/>
            <w:shd w:val="clear" w:color="auto" w:fill="FFFFFF"/>
            <w:tcMar>
              <w:top w:w="0" w:type="dxa"/>
              <w:left w:w="108" w:type="dxa"/>
              <w:bottom w:w="0" w:type="dxa"/>
              <w:right w:w="108" w:type="dxa"/>
            </w:tcMar>
            <w:hideMark/>
          </w:tcPr>
          <w:p w14:paraId="2599CFB3"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7313" w:type="dxa"/>
            <w:shd w:val="clear" w:color="auto" w:fill="FFFFFF"/>
            <w:tcMar>
              <w:top w:w="0" w:type="dxa"/>
              <w:left w:w="108" w:type="dxa"/>
              <w:bottom w:w="0" w:type="dxa"/>
              <w:right w:w="108" w:type="dxa"/>
            </w:tcMar>
            <w:hideMark/>
          </w:tcPr>
          <w:p w14:paraId="18C1BCCD"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Area employment sources are highly concentrated, and of good quality (high paying jobs – gray-collar/white-collar composition); shopping and entertainment is nearby, and of good quality; the neighborhood environment is attractive, but not as demographically upscale as the “A+” location; area housing is relatively new, or priced </w:t>
            </w:r>
            <w:r>
              <w:rPr>
                <w:rFonts w:ascii="inherit" w:hAnsi="inherit" w:cs="Arial"/>
                <w:color w:val="1A1A1A"/>
              </w:rPr>
              <w:lastRenderedPageBreak/>
              <w:t>well-above the median of metropolitan area single-family housing pricing; area direction of change in quality is improving, and is currently among the most desirable metropolitan area submarkets.</w:t>
            </w:r>
          </w:p>
        </w:tc>
      </w:tr>
      <w:tr w:rsidR="00A00910" w14:paraId="5530ED50" w14:textId="77777777" w:rsidTr="00A00910">
        <w:tc>
          <w:tcPr>
            <w:tcW w:w="1199" w:type="dxa"/>
            <w:shd w:val="clear" w:color="auto" w:fill="FFFFFF"/>
            <w:tcMar>
              <w:top w:w="0" w:type="dxa"/>
              <w:left w:w="108" w:type="dxa"/>
              <w:bottom w:w="0" w:type="dxa"/>
              <w:right w:w="108" w:type="dxa"/>
            </w:tcMar>
            <w:hideMark/>
          </w:tcPr>
          <w:p w14:paraId="2C3CA35A" w14:textId="77777777" w:rsidR="00A00910" w:rsidRDefault="00A00910">
            <w:pPr>
              <w:rPr>
                <w:rFonts w:ascii="inherit" w:hAnsi="inherit" w:cs="Arial"/>
                <w:color w:val="1A1A1A"/>
              </w:rPr>
            </w:pPr>
          </w:p>
        </w:tc>
        <w:tc>
          <w:tcPr>
            <w:tcW w:w="236" w:type="dxa"/>
            <w:shd w:val="clear" w:color="auto" w:fill="FFFFFF"/>
            <w:tcMar>
              <w:top w:w="0" w:type="dxa"/>
              <w:left w:w="108" w:type="dxa"/>
              <w:bottom w:w="0" w:type="dxa"/>
              <w:right w:w="108" w:type="dxa"/>
            </w:tcMar>
            <w:hideMark/>
          </w:tcPr>
          <w:p w14:paraId="2D536C0B" w14:textId="77777777" w:rsidR="00A00910" w:rsidRDefault="00A00910">
            <w:pPr>
              <w:rPr>
                <w:sz w:val="20"/>
                <w:szCs w:val="20"/>
              </w:rPr>
            </w:pPr>
          </w:p>
        </w:tc>
        <w:tc>
          <w:tcPr>
            <w:tcW w:w="7313" w:type="dxa"/>
            <w:shd w:val="clear" w:color="auto" w:fill="FFFFFF"/>
            <w:tcMar>
              <w:top w:w="0" w:type="dxa"/>
              <w:left w:w="108" w:type="dxa"/>
              <w:bottom w:w="0" w:type="dxa"/>
              <w:right w:w="108" w:type="dxa"/>
            </w:tcMar>
            <w:hideMark/>
          </w:tcPr>
          <w:p w14:paraId="7464AC3F" w14:textId="77777777" w:rsidR="00A00910" w:rsidRDefault="00A00910">
            <w:pPr>
              <w:rPr>
                <w:sz w:val="20"/>
                <w:szCs w:val="20"/>
              </w:rPr>
            </w:pPr>
          </w:p>
        </w:tc>
      </w:tr>
      <w:tr w:rsidR="00A00910" w14:paraId="4D854610" w14:textId="77777777" w:rsidTr="00A00910">
        <w:tc>
          <w:tcPr>
            <w:tcW w:w="1199" w:type="dxa"/>
            <w:shd w:val="clear" w:color="auto" w:fill="FFFFFF"/>
            <w:tcMar>
              <w:top w:w="0" w:type="dxa"/>
              <w:left w:w="108" w:type="dxa"/>
              <w:bottom w:w="0" w:type="dxa"/>
              <w:right w:w="108" w:type="dxa"/>
            </w:tcMar>
            <w:hideMark/>
          </w:tcPr>
          <w:p w14:paraId="510CFCCA" w14:textId="77777777" w:rsidR="00A00910" w:rsidRDefault="00A00910">
            <w:pPr>
              <w:pStyle w:val="NormalWeb"/>
              <w:spacing w:before="225" w:beforeAutospacing="0" w:after="150" w:afterAutospacing="0" w:line="360" w:lineRule="atLeast"/>
              <w:jc w:val="center"/>
              <w:textAlignment w:val="baseline"/>
              <w:rPr>
                <w:rFonts w:ascii="inherit" w:hAnsi="inherit" w:cs="Arial"/>
                <w:color w:val="1A1A1A"/>
              </w:rPr>
            </w:pPr>
            <w:r>
              <w:rPr>
                <w:rFonts w:ascii="inherit" w:hAnsi="inherit" w:cs="Arial"/>
                <w:color w:val="1A1A1A"/>
              </w:rPr>
              <w:t>B/B-</w:t>
            </w:r>
          </w:p>
        </w:tc>
        <w:tc>
          <w:tcPr>
            <w:tcW w:w="236" w:type="dxa"/>
            <w:shd w:val="clear" w:color="auto" w:fill="FFFFFF"/>
            <w:tcMar>
              <w:top w:w="0" w:type="dxa"/>
              <w:left w:w="108" w:type="dxa"/>
              <w:bottom w:w="0" w:type="dxa"/>
              <w:right w:w="108" w:type="dxa"/>
            </w:tcMar>
            <w:hideMark/>
          </w:tcPr>
          <w:p w14:paraId="7A4AAC58"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7313" w:type="dxa"/>
            <w:shd w:val="clear" w:color="auto" w:fill="FFFFFF"/>
            <w:tcMar>
              <w:top w:w="0" w:type="dxa"/>
              <w:left w:w="108" w:type="dxa"/>
              <w:bottom w:w="0" w:type="dxa"/>
              <w:right w:w="108" w:type="dxa"/>
            </w:tcMar>
            <w:hideMark/>
          </w:tcPr>
          <w:p w14:paraId="1DC29971"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Good concentration of general employment of all types; the typical neighborhood household is middle income; a good concentration of shopping is located nearby.</w:t>
            </w:r>
          </w:p>
        </w:tc>
      </w:tr>
      <w:tr w:rsidR="00A00910" w14:paraId="65B12A7F" w14:textId="77777777" w:rsidTr="00A00910">
        <w:tc>
          <w:tcPr>
            <w:tcW w:w="1199" w:type="dxa"/>
            <w:shd w:val="clear" w:color="auto" w:fill="FFFFFF"/>
            <w:tcMar>
              <w:top w:w="0" w:type="dxa"/>
              <w:left w:w="108" w:type="dxa"/>
              <w:bottom w:w="0" w:type="dxa"/>
              <w:right w:w="108" w:type="dxa"/>
            </w:tcMar>
            <w:hideMark/>
          </w:tcPr>
          <w:p w14:paraId="0CDDAEA1" w14:textId="77777777" w:rsidR="00A00910" w:rsidRDefault="00A00910">
            <w:pPr>
              <w:rPr>
                <w:rFonts w:ascii="inherit" w:hAnsi="inherit" w:cs="Arial"/>
                <w:color w:val="1A1A1A"/>
              </w:rPr>
            </w:pPr>
          </w:p>
        </w:tc>
        <w:tc>
          <w:tcPr>
            <w:tcW w:w="236" w:type="dxa"/>
            <w:shd w:val="clear" w:color="auto" w:fill="FFFFFF"/>
            <w:tcMar>
              <w:top w:w="0" w:type="dxa"/>
              <w:left w:w="108" w:type="dxa"/>
              <w:bottom w:w="0" w:type="dxa"/>
              <w:right w:w="108" w:type="dxa"/>
            </w:tcMar>
            <w:hideMark/>
          </w:tcPr>
          <w:p w14:paraId="2F810FA9" w14:textId="77777777" w:rsidR="00A00910" w:rsidRDefault="00A00910">
            <w:pPr>
              <w:rPr>
                <w:sz w:val="20"/>
                <w:szCs w:val="20"/>
              </w:rPr>
            </w:pPr>
          </w:p>
        </w:tc>
        <w:tc>
          <w:tcPr>
            <w:tcW w:w="7313" w:type="dxa"/>
            <w:shd w:val="clear" w:color="auto" w:fill="FFFFFF"/>
            <w:tcMar>
              <w:top w:w="0" w:type="dxa"/>
              <w:left w:w="108" w:type="dxa"/>
              <w:bottom w:w="0" w:type="dxa"/>
              <w:right w:w="108" w:type="dxa"/>
            </w:tcMar>
            <w:hideMark/>
          </w:tcPr>
          <w:p w14:paraId="05429094" w14:textId="77777777" w:rsidR="00A00910" w:rsidRDefault="00A00910">
            <w:pPr>
              <w:rPr>
                <w:sz w:val="20"/>
                <w:szCs w:val="20"/>
              </w:rPr>
            </w:pPr>
          </w:p>
        </w:tc>
      </w:tr>
      <w:tr w:rsidR="00A00910" w14:paraId="3301BD1B" w14:textId="77777777" w:rsidTr="00A00910">
        <w:tc>
          <w:tcPr>
            <w:tcW w:w="1199" w:type="dxa"/>
            <w:shd w:val="clear" w:color="auto" w:fill="FFFFFF"/>
            <w:tcMar>
              <w:top w:w="0" w:type="dxa"/>
              <w:left w:w="108" w:type="dxa"/>
              <w:bottom w:w="0" w:type="dxa"/>
              <w:right w:w="108" w:type="dxa"/>
            </w:tcMar>
            <w:hideMark/>
          </w:tcPr>
          <w:p w14:paraId="58B834D5" w14:textId="77777777" w:rsidR="00A00910" w:rsidRDefault="00A00910">
            <w:pPr>
              <w:pStyle w:val="NormalWeb"/>
              <w:spacing w:before="225" w:beforeAutospacing="0" w:after="150" w:afterAutospacing="0" w:line="360" w:lineRule="atLeast"/>
              <w:jc w:val="center"/>
              <w:textAlignment w:val="baseline"/>
              <w:rPr>
                <w:rFonts w:ascii="inherit" w:hAnsi="inherit" w:cs="Arial"/>
                <w:color w:val="1A1A1A"/>
              </w:rPr>
            </w:pPr>
            <w:r>
              <w:rPr>
                <w:rFonts w:ascii="inherit" w:hAnsi="inherit" w:cs="Arial"/>
                <w:color w:val="1A1A1A"/>
              </w:rPr>
              <w:t>C+/C</w:t>
            </w:r>
          </w:p>
        </w:tc>
        <w:tc>
          <w:tcPr>
            <w:tcW w:w="236" w:type="dxa"/>
            <w:shd w:val="clear" w:color="auto" w:fill="FFFFFF"/>
            <w:tcMar>
              <w:top w:w="0" w:type="dxa"/>
              <w:left w:w="108" w:type="dxa"/>
              <w:bottom w:w="0" w:type="dxa"/>
              <w:right w:w="108" w:type="dxa"/>
            </w:tcMar>
            <w:hideMark/>
          </w:tcPr>
          <w:p w14:paraId="2DCFC265"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7313" w:type="dxa"/>
            <w:shd w:val="clear" w:color="auto" w:fill="FFFFFF"/>
            <w:tcMar>
              <w:top w:w="0" w:type="dxa"/>
              <w:left w:w="108" w:type="dxa"/>
              <w:bottom w:w="0" w:type="dxa"/>
              <w:right w:w="108" w:type="dxa"/>
            </w:tcMar>
            <w:hideMark/>
          </w:tcPr>
          <w:p w14:paraId="16616F91"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Older neighborhoods, principally composed of blue-collar households; location provides frontage onto a substantial traffic carrier; employment concentration is generally located further in distance (more than three miles) from the property; area employment is generally oriented toward lower paying retail and blue-collar jobs.</w:t>
            </w:r>
          </w:p>
        </w:tc>
      </w:tr>
      <w:tr w:rsidR="00A00910" w14:paraId="73EC429C" w14:textId="77777777" w:rsidTr="00A00910">
        <w:tc>
          <w:tcPr>
            <w:tcW w:w="1199" w:type="dxa"/>
            <w:shd w:val="clear" w:color="auto" w:fill="FFFFFF"/>
            <w:tcMar>
              <w:top w:w="0" w:type="dxa"/>
              <w:left w:w="108" w:type="dxa"/>
              <w:bottom w:w="0" w:type="dxa"/>
              <w:right w:w="108" w:type="dxa"/>
            </w:tcMar>
            <w:hideMark/>
          </w:tcPr>
          <w:p w14:paraId="64C08DD2" w14:textId="77777777" w:rsidR="00A00910" w:rsidRDefault="00A00910">
            <w:pPr>
              <w:rPr>
                <w:rFonts w:ascii="inherit" w:hAnsi="inherit" w:cs="Arial"/>
                <w:color w:val="1A1A1A"/>
              </w:rPr>
            </w:pPr>
          </w:p>
        </w:tc>
        <w:tc>
          <w:tcPr>
            <w:tcW w:w="236" w:type="dxa"/>
            <w:shd w:val="clear" w:color="auto" w:fill="FFFFFF"/>
            <w:tcMar>
              <w:top w:w="0" w:type="dxa"/>
              <w:left w:w="108" w:type="dxa"/>
              <w:bottom w:w="0" w:type="dxa"/>
              <w:right w:w="108" w:type="dxa"/>
            </w:tcMar>
            <w:hideMark/>
          </w:tcPr>
          <w:p w14:paraId="4A0DA966" w14:textId="77777777" w:rsidR="00A00910" w:rsidRDefault="00A00910">
            <w:pPr>
              <w:rPr>
                <w:sz w:val="20"/>
                <w:szCs w:val="20"/>
              </w:rPr>
            </w:pPr>
          </w:p>
        </w:tc>
        <w:tc>
          <w:tcPr>
            <w:tcW w:w="7313" w:type="dxa"/>
            <w:shd w:val="clear" w:color="auto" w:fill="FFFFFF"/>
            <w:tcMar>
              <w:top w:w="0" w:type="dxa"/>
              <w:left w:w="108" w:type="dxa"/>
              <w:bottom w:w="0" w:type="dxa"/>
              <w:right w:w="108" w:type="dxa"/>
            </w:tcMar>
            <w:hideMark/>
          </w:tcPr>
          <w:p w14:paraId="09288E6B" w14:textId="77777777" w:rsidR="00A00910" w:rsidRDefault="00A00910">
            <w:pPr>
              <w:rPr>
                <w:sz w:val="20"/>
                <w:szCs w:val="20"/>
              </w:rPr>
            </w:pPr>
          </w:p>
        </w:tc>
      </w:tr>
      <w:tr w:rsidR="00A00910" w14:paraId="3914ACDF" w14:textId="77777777" w:rsidTr="00A00910">
        <w:tc>
          <w:tcPr>
            <w:tcW w:w="1199" w:type="dxa"/>
            <w:shd w:val="clear" w:color="auto" w:fill="FFFFFF"/>
            <w:tcMar>
              <w:top w:w="0" w:type="dxa"/>
              <w:left w:w="108" w:type="dxa"/>
              <w:bottom w:w="0" w:type="dxa"/>
              <w:right w:w="108" w:type="dxa"/>
            </w:tcMar>
            <w:hideMark/>
          </w:tcPr>
          <w:p w14:paraId="49C44D29" w14:textId="77777777" w:rsidR="00A00910" w:rsidRDefault="00A00910">
            <w:pPr>
              <w:pStyle w:val="NormalWeb"/>
              <w:spacing w:before="225" w:beforeAutospacing="0" w:after="150" w:afterAutospacing="0" w:line="360" w:lineRule="atLeast"/>
              <w:jc w:val="center"/>
              <w:textAlignment w:val="baseline"/>
              <w:rPr>
                <w:rFonts w:ascii="inherit" w:hAnsi="inherit" w:cs="Arial"/>
                <w:color w:val="1A1A1A"/>
              </w:rPr>
            </w:pPr>
            <w:r>
              <w:rPr>
                <w:rFonts w:ascii="inherit" w:hAnsi="inherit" w:cs="Arial"/>
                <w:color w:val="1A1A1A"/>
              </w:rPr>
              <w:t>C-/D</w:t>
            </w:r>
          </w:p>
        </w:tc>
        <w:tc>
          <w:tcPr>
            <w:tcW w:w="236" w:type="dxa"/>
            <w:shd w:val="clear" w:color="auto" w:fill="FFFFFF"/>
            <w:tcMar>
              <w:top w:w="0" w:type="dxa"/>
              <w:left w:w="108" w:type="dxa"/>
              <w:bottom w:w="0" w:type="dxa"/>
              <w:right w:w="108" w:type="dxa"/>
            </w:tcMar>
            <w:hideMark/>
          </w:tcPr>
          <w:p w14:paraId="0AD10CB8"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p>
        </w:tc>
        <w:tc>
          <w:tcPr>
            <w:tcW w:w="7313" w:type="dxa"/>
            <w:shd w:val="clear" w:color="auto" w:fill="FFFFFF"/>
            <w:tcMar>
              <w:top w:w="0" w:type="dxa"/>
              <w:left w:w="108" w:type="dxa"/>
              <w:bottom w:w="0" w:type="dxa"/>
              <w:right w:w="108" w:type="dxa"/>
            </w:tcMar>
            <w:hideMark/>
          </w:tcPr>
          <w:p w14:paraId="10E194C3" w14:textId="77777777" w:rsidR="00A00910" w:rsidRDefault="00A00910">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Does not provide major street exposure; the surrounding neighborhood is known to be a high-crime area; employment sources within a </w:t>
            </w:r>
            <w:proofErr w:type="gramStart"/>
            <w:r>
              <w:rPr>
                <w:rFonts w:ascii="inherit" w:hAnsi="inherit" w:cs="Arial"/>
                <w:color w:val="1A1A1A"/>
              </w:rPr>
              <w:t>three mile</w:t>
            </w:r>
            <w:proofErr w:type="gramEnd"/>
            <w:r>
              <w:rPr>
                <w:rFonts w:ascii="inherit" w:hAnsi="inherit" w:cs="Arial"/>
                <w:color w:val="1A1A1A"/>
              </w:rPr>
              <w:t xml:space="preserve"> radius are low-pay, or sparse in availability; area demographics tend toward very low income households, typically subsidized.</w:t>
            </w:r>
          </w:p>
        </w:tc>
      </w:tr>
      <w:tr w:rsidR="00A00910" w14:paraId="26E224DB" w14:textId="77777777" w:rsidTr="00A00910">
        <w:tc>
          <w:tcPr>
            <w:tcW w:w="1199" w:type="dxa"/>
            <w:shd w:val="clear" w:color="auto" w:fill="FFFFFF"/>
            <w:tcMar>
              <w:top w:w="0" w:type="dxa"/>
              <w:left w:w="108" w:type="dxa"/>
              <w:bottom w:w="0" w:type="dxa"/>
              <w:right w:w="108" w:type="dxa"/>
            </w:tcMar>
            <w:hideMark/>
          </w:tcPr>
          <w:p w14:paraId="6938AB0B" w14:textId="77777777" w:rsidR="00A00910" w:rsidRDefault="00A00910">
            <w:pPr>
              <w:rPr>
                <w:rFonts w:ascii="inherit" w:hAnsi="inherit" w:cs="Arial"/>
                <w:color w:val="1A1A1A"/>
              </w:rPr>
            </w:pPr>
          </w:p>
        </w:tc>
        <w:tc>
          <w:tcPr>
            <w:tcW w:w="236" w:type="dxa"/>
            <w:shd w:val="clear" w:color="auto" w:fill="FFFFFF"/>
            <w:tcMar>
              <w:top w:w="0" w:type="dxa"/>
              <w:left w:w="108" w:type="dxa"/>
              <w:bottom w:w="0" w:type="dxa"/>
              <w:right w:w="108" w:type="dxa"/>
            </w:tcMar>
            <w:hideMark/>
          </w:tcPr>
          <w:p w14:paraId="3E06C280" w14:textId="77777777" w:rsidR="00A00910" w:rsidRDefault="00A00910">
            <w:pPr>
              <w:rPr>
                <w:sz w:val="20"/>
                <w:szCs w:val="20"/>
              </w:rPr>
            </w:pPr>
          </w:p>
        </w:tc>
        <w:tc>
          <w:tcPr>
            <w:tcW w:w="7313" w:type="dxa"/>
            <w:shd w:val="clear" w:color="auto" w:fill="FFFFFF"/>
            <w:tcMar>
              <w:top w:w="0" w:type="dxa"/>
              <w:left w:w="108" w:type="dxa"/>
              <w:bottom w:w="0" w:type="dxa"/>
              <w:right w:w="108" w:type="dxa"/>
            </w:tcMar>
            <w:hideMark/>
          </w:tcPr>
          <w:p w14:paraId="24608BDB" w14:textId="77777777" w:rsidR="00A00910" w:rsidRDefault="00A00910">
            <w:pPr>
              <w:rPr>
                <w:rFonts w:ascii="Arial" w:hAnsi="Arial" w:cs="Arial"/>
                <w:color w:val="1A1A1A"/>
                <w:sz w:val="24"/>
                <w:szCs w:val="24"/>
              </w:rPr>
            </w:pPr>
          </w:p>
        </w:tc>
      </w:tr>
    </w:tbl>
    <w:p w14:paraId="4CACA64C" w14:textId="77777777" w:rsidR="00A00910" w:rsidRDefault="00A00910" w:rsidP="00A00910">
      <w:pPr>
        <w:pStyle w:val="NormalWeb"/>
        <w:shd w:val="clear" w:color="auto" w:fill="FFFFFF"/>
        <w:spacing w:before="225" w:beforeAutospacing="0" w:after="150" w:afterAutospacing="0" w:line="360" w:lineRule="atLeast"/>
        <w:textAlignment w:val="baseline"/>
        <w:rPr>
          <w:rFonts w:ascii="Arial" w:hAnsi="Arial" w:cs="Arial"/>
          <w:color w:val="1A1A1A"/>
        </w:rPr>
      </w:pPr>
      <w:r>
        <w:rPr>
          <w:rFonts w:ascii="Arial" w:hAnsi="Arial" w:cs="Arial"/>
          <w:color w:val="1A1A1A"/>
        </w:rPr>
        <w:t>Location factors are subject to evolutionary change.  Adjustments in location ratings result from evolution in such factors as:  Area access availability; changes in the employment base; area household demographic composition shifts resulting in a structural change due to economic changes, or city master plan changes related to gentrification.</w:t>
      </w:r>
    </w:p>
    <w:p w14:paraId="305D1F65" w14:textId="77777777" w:rsidR="00A00910" w:rsidRDefault="00A00910" w:rsidP="00A00910">
      <w:pPr>
        <w:pStyle w:val="Heading1"/>
        <w:shd w:val="clear" w:color="auto" w:fill="FFFFFF"/>
        <w:spacing w:before="0" w:beforeAutospacing="0" w:after="0" w:afterAutospacing="0" w:line="288" w:lineRule="atLeast"/>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Negative Apartment Location Attributes</w:t>
      </w:r>
    </w:p>
    <w:p w14:paraId="7F8A39FB" w14:textId="77777777" w:rsidR="00A00910" w:rsidRDefault="00A00910" w:rsidP="00A00910">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Negative location attributes also consider </w:t>
      </w:r>
      <w:r>
        <w:rPr>
          <w:rStyle w:val="Strong"/>
          <w:rFonts w:ascii="inherit" w:eastAsiaTheme="majorEastAsia" w:hAnsi="inherit" w:cs="Arial"/>
          <w:color w:val="1A1A1A"/>
          <w:bdr w:val="none" w:sz="0" w:space="0" w:color="auto" w:frame="1"/>
        </w:rPr>
        <w:t>Submarket, Immediately Surrounding Area,</w:t>
      </w:r>
      <w:r>
        <w:rPr>
          <w:rFonts w:ascii="inherit" w:hAnsi="inherit" w:cs="Arial"/>
          <w:color w:val="1A1A1A"/>
        </w:rPr>
        <w:t> and </w:t>
      </w:r>
      <w:r>
        <w:rPr>
          <w:rStyle w:val="Strong"/>
          <w:rFonts w:ascii="inherit" w:eastAsiaTheme="majorEastAsia" w:hAnsi="inherit" w:cs="Arial"/>
          <w:color w:val="1A1A1A"/>
          <w:bdr w:val="none" w:sz="0" w:space="0" w:color="auto" w:frame="1"/>
        </w:rPr>
        <w:t>Site-Specific</w:t>
      </w:r>
      <w:r>
        <w:rPr>
          <w:rFonts w:ascii="inherit" w:hAnsi="inherit" w:cs="Arial"/>
          <w:color w:val="1A1A1A"/>
        </w:rPr>
        <w:t> concerns as:</w:t>
      </w:r>
    </w:p>
    <w:p w14:paraId="74DF5FA5"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Submarket Characteristics Reducing a Location’s Rating</w:t>
      </w:r>
    </w:p>
    <w:p w14:paraId="38653ABF" w14:textId="77777777" w:rsidR="00A00910" w:rsidRDefault="00A00910" w:rsidP="00A00910">
      <w:pPr>
        <w:numPr>
          <w:ilvl w:val="0"/>
          <w:numId w:val="11"/>
        </w:numPr>
        <w:shd w:val="clear" w:color="auto" w:fill="FFFFFF"/>
        <w:spacing w:after="0" w:line="300" w:lineRule="atLeast"/>
        <w:ind w:left="1095"/>
        <w:textAlignment w:val="baseline"/>
        <w:rPr>
          <w:rFonts w:ascii="inherit" w:hAnsi="inherit" w:cs="Arial"/>
          <w:color w:val="1A1A1A"/>
          <w:sz w:val="24"/>
          <w:szCs w:val="24"/>
        </w:rPr>
      </w:pPr>
      <w:r>
        <w:rPr>
          <w:rFonts w:ascii="inherit" w:hAnsi="inherit" w:cs="Arial"/>
          <w:color w:val="1A1A1A"/>
          <w:bdr w:val="none" w:sz="0" w:space="0" w:color="auto" w:frame="1"/>
        </w:rPr>
        <w:t>Area demographics reflect a disproportionate presence of very low-income households</w:t>
      </w:r>
    </w:p>
    <w:p w14:paraId="1E8B8A54" w14:textId="77777777" w:rsidR="00A00910" w:rsidRDefault="00A00910" w:rsidP="00A00910">
      <w:pPr>
        <w:numPr>
          <w:ilvl w:val="0"/>
          <w:numId w:val="11"/>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Weak availability, and/or quality, of area employment</w:t>
      </w:r>
    </w:p>
    <w:p w14:paraId="6A46834B" w14:textId="77777777" w:rsidR="00A00910" w:rsidRDefault="00A00910" w:rsidP="00A00910">
      <w:pPr>
        <w:numPr>
          <w:ilvl w:val="0"/>
          <w:numId w:val="11"/>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Generally limited, or deteriorated condition of area commercial development and services; functional obsolescence of existing shopping facilities</w:t>
      </w:r>
    </w:p>
    <w:p w14:paraId="2E27B8BA" w14:textId="77777777" w:rsidR="00A00910" w:rsidRDefault="00A00910" w:rsidP="00A00910">
      <w:pPr>
        <w:numPr>
          <w:ilvl w:val="0"/>
          <w:numId w:val="11"/>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Area access is substantially inconvenient</w:t>
      </w:r>
    </w:p>
    <w:p w14:paraId="44E6814D" w14:textId="77777777" w:rsidR="00A00910" w:rsidRDefault="00A00910" w:rsidP="00A00910">
      <w:pPr>
        <w:numPr>
          <w:ilvl w:val="0"/>
          <w:numId w:val="11"/>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High area unemployment relative to metropolitan area statistics</w:t>
      </w:r>
    </w:p>
    <w:p w14:paraId="59FB369F"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Immediate Surrounding Area Characteristics Reducing a Location’s Rating</w:t>
      </w:r>
    </w:p>
    <w:p w14:paraId="156B4ED3" w14:textId="77777777" w:rsidR="00A00910" w:rsidRDefault="00A00910" w:rsidP="00A00910">
      <w:pPr>
        <w:numPr>
          <w:ilvl w:val="0"/>
          <w:numId w:val="12"/>
        </w:numPr>
        <w:shd w:val="clear" w:color="auto" w:fill="FFFFFF"/>
        <w:spacing w:after="0" w:line="300" w:lineRule="atLeast"/>
        <w:ind w:left="1095"/>
        <w:textAlignment w:val="baseline"/>
        <w:rPr>
          <w:rFonts w:ascii="inherit" w:hAnsi="inherit" w:cs="Arial"/>
          <w:color w:val="1A1A1A"/>
          <w:sz w:val="24"/>
          <w:szCs w:val="24"/>
        </w:rPr>
      </w:pPr>
      <w:r>
        <w:rPr>
          <w:rFonts w:ascii="inherit" w:hAnsi="inherit" w:cs="Arial"/>
          <w:color w:val="1A1A1A"/>
          <w:bdr w:val="none" w:sz="0" w:space="0" w:color="auto" w:frame="1"/>
        </w:rPr>
        <w:t>Substantially deteriorated surrounding neighborhood development – housing, and commercial</w:t>
      </w:r>
    </w:p>
    <w:p w14:paraId="50BBBF0E" w14:textId="77777777" w:rsidR="00A00910" w:rsidRDefault="00A00910" w:rsidP="00A00910">
      <w:pPr>
        <w:numPr>
          <w:ilvl w:val="0"/>
          <w:numId w:val="12"/>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lastRenderedPageBreak/>
        <w:t>A "high violent-crime area" designation</w:t>
      </w:r>
    </w:p>
    <w:p w14:paraId="4D9D6416" w14:textId="77777777" w:rsidR="00A00910" w:rsidRDefault="00A00910" w:rsidP="00A00910">
      <w:pPr>
        <w:numPr>
          <w:ilvl w:val="0"/>
          <w:numId w:val="12"/>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High immediate area unemployment relative to metropolitan area statistics</w:t>
      </w:r>
    </w:p>
    <w:p w14:paraId="2A157E54"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Site-Specific Characteristics Reducing a Location’s Rating</w:t>
      </w:r>
    </w:p>
    <w:p w14:paraId="159C2A4B" w14:textId="77777777" w:rsidR="00A00910" w:rsidRDefault="00A00910" w:rsidP="00A00910">
      <w:pPr>
        <w:numPr>
          <w:ilvl w:val="0"/>
          <w:numId w:val="13"/>
        </w:numPr>
        <w:shd w:val="clear" w:color="auto" w:fill="FFFFFF"/>
        <w:spacing w:after="0" w:line="300" w:lineRule="atLeast"/>
        <w:ind w:left="1095" w:firstLine="0"/>
        <w:textAlignment w:val="baseline"/>
        <w:rPr>
          <w:rFonts w:ascii="inherit" w:hAnsi="inherit" w:cs="Arial"/>
          <w:color w:val="1A1A1A"/>
          <w:sz w:val="24"/>
          <w:szCs w:val="24"/>
          <w:bdr w:val="none" w:sz="0" w:space="0" w:color="auto" w:frame="1"/>
        </w:rPr>
      </w:pPr>
      <w:r>
        <w:rPr>
          <w:rFonts w:ascii="inherit" w:hAnsi="inherit" w:cs="Arial"/>
          <w:color w:val="1A1A1A"/>
          <w:bdr w:val="none" w:sz="0" w:space="0" w:color="auto" w:frame="1"/>
        </w:rPr>
        <w:t>Ingress/egress limitation to site accessibility resulting from obstacles, or inconvenience such</w:t>
      </w:r>
    </w:p>
    <w:p w14:paraId="230F478E" w14:textId="77777777" w:rsidR="00A00910" w:rsidRDefault="00A00910" w:rsidP="00A00910">
      <w:pPr>
        <w:shd w:val="clear" w:color="auto" w:fill="FFFFFF"/>
        <w:spacing w:line="300" w:lineRule="atLeast"/>
        <w:ind w:left="1095"/>
        <w:textAlignment w:val="baseline"/>
        <w:rPr>
          <w:rFonts w:ascii="inherit" w:hAnsi="inherit" w:cs="Arial"/>
          <w:color w:val="1A1A1A"/>
          <w:bdr w:val="none" w:sz="0" w:space="0" w:color="auto" w:frame="1"/>
        </w:rPr>
      </w:pPr>
      <w:r>
        <w:rPr>
          <w:rFonts w:ascii="inherit" w:hAnsi="inherit" w:cs="Arial"/>
          <w:color w:val="1A1A1A"/>
          <w:bdr w:val="none" w:sz="0" w:space="0" w:color="auto" w:frame="1"/>
        </w:rPr>
        <w:t>as:</w:t>
      </w:r>
    </w:p>
    <w:p w14:paraId="1C38D0EE" w14:textId="77777777" w:rsidR="00A00910" w:rsidRDefault="00A00910" w:rsidP="00A00910">
      <w:pPr>
        <w:numPr>
          <w:ilvl w:val="1"/>
          <w:numId w:val="14"/>
        </w:numPr>
        <w:shd w:val="clear" w:color="auto" w:fill="FFFFFF"/>
        <w:spacing w:after="0" w:line="300" w:lineRule="atLeast"/>
        <w:ind w:left="2085"/>
        <w:textAlignment w:val="baseline"/>
        <w:rPr>
          <w:rFonts w:ascii="inherit" w:hAnsi="inherit" w:cs="Arial"/>
          <w:color w:val="1A1A1A"/>
        </w:rPr>
      </w:pPr>
      <w:r>
        <w:rPr>
          <w:rFonts w:ascii="inherit" w:hAnsi="inherit" w:cs="Arial"/>
          <w:color w:val="1A1A1A"/>
          <w:bdr w:val="none" w:sz="0" w:space="0" w:color="auto" w:frame="1"/>
        </w:rPr>
        <w:t xml:space="preserve">Presence of a traffic median prohibiting direct </w:t>
      </w:r>
      <w:proofErr w:type="gramStart"/>
      <w:r>
        <w:rPr>
          <w:rFonts w:ascii="inherit" w:hAnsi="inherit" w:cs="Arial"/>
          <w:color w:val="1A1A1A"/>
          <w:bdr w:val="none" w:sz="0" w:space="0" w:color="auto" w:frame="1"/>
        </w:rPr>
        <w:t>access;</w:t>
      </w:r>
      <w:proofErr w:type="gramEnd"/>
      <w:r>
        <w:rPr>
          <w:rFonts w:ascii="inherit" w:hAnsi="inherit" w:cs="Arial"/>
          <w:color w:val="1A1A1A"/>
          <w:bdr w:val="none" w:sz="0" w:space="0" w:color="auto" w:frame="1"/>
        </w:rPr>
        <w:t> </w:t>
      </w:r>
    </w:p>
    <w:p w14:paraId="4AB3F2BB" w14:textId="77777777" w:rsidR="00A00910" w:rsidRDefault="00A00910" w:rsidP="00A00910">
      <w:pPr>
        <w:numPr>
          <w:ilvl w:val="1"/>
          <w:numId w:val="14"/>
        </w:numPr>
        <w:shd w:val="clear" w:color="auto" w:fill="FFFFFF"/>
        <w:spacing w:after="0" w:line="300" w:lineRule="atLeast"/>
        <w:ind w:left="2085"/>
        <w:textAlignment w:val="baseline"/>
        <w:rPr>
          <w:rFonts w:ascii="inherit" w:hAnsi="inherit" w:cs="Arial"/>
          <w:color w:val="1A1A1A"/>
        </w:rPr>
      </w:pPr>
      <w:r>
        <w:rPr>
          <w:rFonts w:ascii="inherit" w:hAnsi="inherit" w:cs="Arial"/>
          <w:color w:val="1A1A1A"/>
          <w:bdr w:val="none" w:sz="0" w:space="0" w:color="auto" w:frame="1"/>
        </w:rPr>
        <w:t>Excessively high drive-by traffic volume resulting in inconvenient access; or</w:t>
      </w:r>
    </w:p>
    <w:p w14:paraId="7473D994" w14:textId="77777777" w:rsidR="00A00910" w:rsidRDefault="00A00910" w:rsidP="00A00910">
      <w:pPr>
        <w:numPr>
          <w:ilvl w:val="1"/>
          <w:numId w:val="14"/>
        </w:numPr>
        <w:shd w:val="clear" w:color="auto" w:fill="FFFFFF"/>
        <w:spacing w:after="0" w:line="300" w:lineRule="atLeast"/>
        <w:ind w:left="2085"/>
        <w:textAlignment w:val="baseline"/>
        <w:rPr>
          <w:rFonts w:ascii="inherit" w:hAnsi="inherit" w:cs="Arial"/>
          <w:color w:val="1A1A1A"/>
        </w:rPr>
      </w:pPr>
      <w:r>
        <w:rPr>
          <w:rFonts w:ascii="inherit" w:hAnsi="inherit" w:cs="Arial"/>
          <w:color w:val="1A1A1A"/>
          <w:bdr w:val="none" w:sz="0" w:space="0" w:color="auto" w:frame="1"/>
        </w:rPr>
        <w:t>Frontage onto a one-way street.</w:t>
      </w:r>
    </w:p>
    <w:p w14:paraId="1B6F0751" w14:textId="77777777" w:rsidR="00A00910" w:rsidRDefault="00A00910" w:rsidP="00A00910">
      <w:pPr>
        <w:numPr>
          <w:ilvl w:val="0"/>
          <w:numId w:val="14"/>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Limitation of street exposure if the property includes frontage onto a major traffic carrier (</w:t>
      </w:r>
      <w:proofErr w:type="spellStart"/>
      <w:r>
        <w:rPr>
          <w:rFonts w:ascii="inherit" w:hAnsi="inherit" w:cs="Arial"/>
          <w:color w:val="1A1A1A"/>
          <w:bdr w:val="none" w:sz="0" w:space="0" w:color="auto" w:frame="1"/>
        </w:rPr>
        <w:t>i.e</w:t>
      </w:r>
      <w:proofErr w:type="spellEnd"/>
      <w:r>
        <w:rPr>
          <w:rFonts w:ascii="inherit" w:hAnsi="inherit" w:cs="Arial"/>
          <w:color w:val="1A1A1A"/>
          <w:bdr w:val="none" w:sz="0" w:space="0" w:color="auto" w:frame="1"/>
        </w:rPr>
        <w:t> a narrow entry, with minimal street frontage).</w:t>
      </w:r>
    </w:p>
    <w:p w14:paraId="0D786E58" w14:textId="77777777" w:rsidR="00A00910" w:rsidRDefault="00A00910" w:rsidP="00A00910">
      <w:pPr>
        <w:numPr>
          <w:ilvl w:val="0"/>
          <w:numId w:val="14"/>
        </w:numPr>
        <w:shd w:val="clear" w:color="auto" w:fill="FFFFFF"/>
        <w:spacing w:after="0" w:line="300" w:lineRule="atLeast"/>
        <w:ind w:left="1095"/>
        <w:textAlignment w:val="baseline"/>
        <w:rPr>
          <w:rFonts w:ascii="inherit" w:hAnsi="inherit" w:cs="Arial"/>
          <w:color w:val="1A1A1A"/>
        </w:rPr>
      </w:pPr>
      <w:r>
        <w:rPr>
          <w:rFonts w:ascii="inherit" w:hAnsi="inherit" w:cs="Arial"/>
          <w:color w:val="1A1A1A"/>
          <w:bdr w:val="none" w:sz="0" w:space="0" w:color="auto" w:frame="1"/>
        </w:rPr>
        <w:t>Limited marketing exposure to prospective resident traffic due to frontage onto a low volume neighborhood street.</w:t>
      </w:r>
    </w:p>
    <w:p w14:paraId="00D1C216" w14:textId="77777777" w:rsidR="00A00910" w:rsidRPr="00A00910" w:rsidRDefault="00A00910" w:rsidP="00CC3B9F">
      <w:pPr>
        <w:shd w:val="clear" w:color="auto" w:fill="FFFFFF"/>
        <w:spacing w:after="0" w:line="288" w:lineRule="atLeast"/>
        <w:jc w:val="center"/>
        <w:textAlignment w:val="baseline"/>
        <w:outlineLvl w:val="0"/>
        <w:rPr>
          <w:rFonts w:ascii="Arial" w:eastAsia="Times New Roman" w:hAnsi="Arial" w:cs="Arial"/>
          <w:color w:val="545454"/>
          <w:spacing w:val="-7"/>
          <w:kern w:val="36"/>
          <w:sz w:val="65"/>
          <w:szCs w:val="65"/>
        </w:rPr>
      </w:pPr>
      <w:r w:rsidRPr="00A00910">
        <w:rPr>
          <w:rFonts w:ascii="Arial" w:eastAsia="Times New Roman" w:hAnsi="Arial" w:cs="Arial"/>
          <w:color w:val="545454"/>
          <w:spacing w:val="-7"/>
          <w:kern w:val="36"/>
          <w:sz w:val="65"/>
          <w:szCs w:val="65"/>
          <w:bdr w:val="none" w:sz="0" w:space="0" w:color="auto" w:frame="1"/>
        </w:rPr>
        <w:t>The Yardi Matrix Context® Apartment Rating System</w:t>
      </w:r>
    </w:p>
    <w:p w14:paraId="0A0F6D7C" w14:textId="77777777" w:rsidR="00A00910" w:rsidRPr="00A00910" w:rsidRDefault="00A00910" w:rsidP="00A00910">
      <w:pPr>
        <w:shd w:val="clear" w:color="auto" w:fill="FFFFFF"/>
        <w:spacing w:before="225" w:after="150"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Data's most important characteristics – accuracy, completeness, and consistency – rely on reasonably like-for-like comparison to be fully usable. This caveat – fully usable status – assumes evaluation references some reasonably standardized basis for comparison.</w:t>
      </w:r>
    </w:p>
    <w:p w14:paraId="0CE7D6F6" w14:textId="77777777" w:rsidR="00A00910" w:rsidRPr="00A00910" w:rsidRDefault="00A00910" w:rsidP="00A00910">
      <w:pPr>
        <w:shd w:val="clear" w:color="auto" w:fill="FFFFFF"/>
        <w:spacing w:after="150"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Yardi Matrix’s patented (United States Patent numbers 7,974,930 and 8,060,450) Context® rating system is the real estate industry's first statistical scoring model for placing relative values on property improvements and locations. The Context® rating recognizes the fact that certain features among properties can make them appear similar when they are only distant cousins – sometimes considerably distant.</w:t>
      </w:r>
    </w:p>
    <w:p w14:paraId="352E6117" w14:textId="77777777" w:rsidR="00A00910" w:rsidRPr="00A00910" w:rsidRDefault="00A00910" w:rsidP="00A00910">
      <w:pPr>
        <w:shd w:val="clear" w:color="auto" w:fill="FFFFFF"/>
        <w:spacing w:after="150"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Context® provides comparison – one property with another, or one location with another – under a reasonably apples-to-apples basis. Recognizing that no two apples are alike, apples of similar type are easily discerned from an orange that might otherwise appear to be an apple.</w:t>
      </w:r>
    </w:p>
    <w:p w14:paraId="4F4F76A6" w14:textId="77777777" w:rsidR="00A00910" w:rsidRPr="00A00910" w:rsidRDefault="00A00910" w:rsidP="00A00910">
      <w:pPr>
        <w:shd w:val="clear" w:color="auto" w:fill="FFFFFF"/>
        <w:spacing w:after="150"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 xml:space="preserve">The Context® rating directly addresses the fact that rental </w:t>
      </w:r>
      <w:proofErr w:type="gramStart"/>
      <w:r w:rsidRPr="00A00910">
        <w:rPr>
          <w:rFonts w:ascii="inherit" w:eastAsia="Times New Roman" w:hAnsi="inherit" w:cs="Arial"/>
          <w:color w:val="1A1A1A"/>
          <w:sz w:val="24"/>
          <w:szCs w:val="24"/>
        </w:rPr>
        <w:t>households</w:t>
      </w:r>
      <w:proofErr w:type="gramEnd"/>
      <w:r w:rsidRPr="00A00910">
        <w:rPr>
          <w:rFonts w:ascii="inherit" w:eastAsia="Times New Roman" w:hAnsi="inherit" w:cs="Arial"/>
          <w:color w:val="1A1A1A"/>
          <w:sz w:val="24"/>
          <w:szCs w:val="24"/>
        </w:rPr>
        <w:t xml:space="preserve"> range considerably within two principal groups: Renters by choice, and; households who rent out of necessity.</w:t>
      </w:r>
    </w:p>
    <w:p w14:paraId="3687A4D8" w14:textId="77777777" w:rsidR="00A00910" w:rsidRPr="00A00910" w:rsidRDefault="00A00910" w:rsidP="00A00910">
      <w:pPr>
        <w:shd w:val="clear" w:color="auto" w:fill="FFFFFF"/>
        <w:spacing w:after="0" w:line="360" w:lineRule="atLeast"/>
        <w:textAlignment w:val="baseline"/>
        <w:rPr>
          <w:rFonts w:ascii="inherit" w:eastAsia="Times New Roman" w:hAnsi="inherit" w:cs="Arial"/>
          <w:color w:val="1A1A1A"/>
          <w:sz w:val="24"/>
          <w:szCs w:val="24"/>
        </w:rPr>
      </w:pPr>
      <w:r w:rsidRPr="00A00910">
        <w:rPr>
          <w:rFonts w:ascii="inherit" w:eastAsia="Times New Roman" w:hAnsi="inherit" w:cs="Arial"/>
          <w:b/>
          <w:bCs/>
          <w:i/>
          <w:iCs/>
          <w:color w:val="1A1A1A"/>
          <w:sz w:val="24"/>
          <w:szCs w:val="24"/>
          <w:bdr w:val="none" w:sz="0" w:space="0" w:color="auto" w:frame="1"/>
        </w:rPr>
        <w:t>Discretionary rental households</w:t>
      </w:r>
      <w:r w:rsidRPr="00A00910">
        <w:rPr>
          <w:rFonts w:ascii="inherit" w:eastAsia="Times New Roman" w:hAnsi="inherit" w:cs="Arial"/>
          <w:color w:val="1A1A1A"/>
          <w:sz w:val="24"/>
          <w:szCs w:val="24"/>
        </w:rPr>
        <w:t xml:space="preserve"> – Renters by choice – have wealth sufficient to </w:t>
      </w:r>
      <w:proofErr w:type="gramStart"/>
      <w:r w:rsidRPr="00A00910">
        <w:rPr>
          <w:rFonts w:ascii="inherit" w:eastAsia="Times New Roman" w:hAnsi="inherit" w:cs="Arial"/>
          <w:color w:val="1A1A1A"/>
          <w:sz w:val="24"/>
          <w:szCs w:val="24"/>
        </w:rPr>
        <w:t>own, but</w:t>
      </w:r>
      <w:proofErr w:type="gramEnd"/>
      <w:r w:rsidRPr="00A00910">
        <w:rPr>
          <w:rFonts w:ascii="inherit" w:eastAsia="Times New Roman" w:hAnsi="inherit" w:cs="Arial"/>
          <w:color w:val="1A1A1A"/>
          <w:sz w:val="24"/>
          <w:szCs w:val="24"/>
        </w:rPr>
        <w:t xml:space="preserve"> have chosen to rent. Discretionary households, most typically a retired couple, or single professional, have chosen the flexibility associated with renting over the obligations of ownership.</w:t>
      </w:r>
    </w:p>
    <w:p w14:paraId="0CCBCF3C" w14:textId="77777777" w:rsidR="00A00910" w:rsidRPr="00A00910" w:rsidRDefault="00A00910" w:rsidP="00A00910">
      <w:pPr>
        <w:shd w:val="clear" w:color="auto" w:fill="FFFFFF"/>
        <w:spacing w:after="0" w:line="360" w:lineRule="atLeast"/>
        <w:textAlignment w:val="baseline"/>
        <w:rPr>
          <w:rFonts w:ascii="inherit" w:eastAsia="Times New Roman" w:hAnsi="inherit" w:cs="Arial"/>
          <w:color w:val="1A1A1A"/>
          <w:sz w:val="24"/>
          <w:szCs w:val="24"/>
        </w:rPr>
      </w:pPr>
      <w:r w:rsidRPr="00A00910">
        <w:rPr>
          <w:rFonts w:ascii="inherit" w:eastAsia="Times New Roman" w:hAnsi="inherit" w:cs="Arial"/>
          <w:b/>
          <w:bCs/>
          <w:i/>
          <w:iCs/>
          <w:color w:val="1A1A1A"/>
          <w:sz w:val="24"/>
          <w:szCs w:val="24"/>
          <w:bdr w:val="none" w:sz="0" w:space="0" w:color="auto" w:frame="1"/>
        </w:rPr>
        <w:t>Households renting out of necessity</w:t>
      </w:r>
      <w:r w:rsidRPr="00A00910">
        <w:rPr>
          <w:rFonts w:ascii="inherit" w:eastAsia="Times New Roman" w:hAnsi="inherit" w:cs="Arial"/>
          <w:color w:val="1A1A1A"/>
          <w:sz w:val="24"/>
          <w:szCs w:val="24"/>
        </w:rPr>
        <w:t> span a range. In descending order, household types can be:</w:t>
      </w:r>
    </w:p>
    <w:p w14:paraId="01D9DF55" w14:textId="77777777" w:rsidR="00A00910" w:rsidRPr="00A00910" w:rsidRDefault="00A00910" w:rsidP="00A00910">
      <w:pPr>
        <w:numPr>
          <w:ilvl w:val="0"/>
          <w:numId w:val="15"/>
        </w:numPr>
        <w:shd w:val="clear" w:color="auto" w:fill="FFFFFF"/>
        <w:spacing w:after="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i/>
          <w:iCs/>
          <w:color w:val="1A1A1A"/>
          <w:sz w:val="24"/>
          <w:szCs w:val="24"/>
          <w:bdr w:val="none" w:sz="0" w:space="0" w:color="auto" w:frame="1"/>
        </w:rPr>
        <w:t>A young professional double-income-no kids, household</w:t>
      </w:r>
      <w:r w:rsidRPr="00A00910">
        <w:rPr>
          <w:rFonts w:ascii="inherit" w:eastAsia="Times New Roman" w:hAnsi="inherit" w:cs="Arial"/>
          <w:color w:val="1A1A1A"/>
          <w:sz w:val="24"/>
          <w:szCs w:val="24"/>
        </w:rPr>
        <w:t xml:space="preserve"> with substantial income, but without wealth needed to acquire a home or </w:t>
      </w:r>
      <w:proofErr w:type="gramStart"/>
      <w:r w:rsidRPr="00A00910">
        <w:rPr>
          <w:rFonts w:ascii="inherit" w:eastAsia="Times New Roman" w:hAnsi="inherit" w:cs="Arial"/>
          <w:color w:val="1A1A1A"/>
          <w:sz w:val="24"/>
          <w:szCs w:val="24"/>
        </w:rPr>
        <w:t>condominium;</w:t>
      </w:r>
      <w:proofErr w:type="gramEnd"/>
    </w:p>
    <w:p w14:paraId="1E596BA4" w14:textId="77777777" w:rsidR="00A00910" w:rsidRPr="00A00910" w:rsidRDefault="00A00910" w:rsidP="00A00910">
      <w:pPr>
        <w:numPr>
          <w:ilvl w:val="0"/>
          <w:numId w:val="15"/>
        </w:numPr>
        <w:shd w:val="clear" w:color="auto" w:fill="FFFFFF"/>
        <w:spacing w:after="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i/>
          <w:iCs/>
          <w:color w:val="1A1A1A"/>
          <w:sz w:val="24"/>
          <w:szCs w:val="24"/>
          <w:bdr w:val="none" w:sz="0" w:space="0" w:color="auto" w:frame="1"/>
        </w:rPr>
        <w:t>Students</w:t>
      </w:r>
      <w:r w:rsidRPr="00A00910">
        <w:rPr>
          <w:rFonts w:ascii="inherit" w:eastAsia="Times New Roman" w:hAnsi="inherit" w:cs="Arial"/>
          <w:color w:val="1A1A1A"/>
          <w:sz w:val="24"/>
          <w:szCs w:val="24"/>
        </w:rPr>
        <w:t>, who also may span a range of income capability, extending from </w:t>
      </w:r>
      <w:r w:rsidRPr="00A00910">
        <w:rPr>
          <w:rFonts w:ascii="inherit" w:eastAsia="Times New Roman" w:hAnsi="inherit" w:cs="Arial"/>
          <w:i/>
          <w:iCs/>
          <w:color w:val="1A1A1A"/>
          <w:sz w:val="24"/>
          <w:szCs w:val="24"/>
          <w:bdr w:val="none" w:sz="0" w:space="0" w:color="auto" w:frame="1"/>
        </w:rPr>
        <w:t>affluent,</w:t>
      </w:r>
      <w:r w:rsidRPr="00A00910">
        <w:rPr>
          <w:rFonts w:ascii="inherit" w:eastAsia="Times New Roman" w:hAnsi="inherit" w:cs="Arial"/>
          <w:color w:val="1A1A1A"/>
          <w:sz w:val="24"/>
          <w:szCs w:val="24"/>
        </w:rPr>
        <w:t> to </w:t>
      </w:r>
      <w:r w:rsidRPr="00A00910">
        <w:rPr>
          <w:rFonts w:ascii="inherit" w:eastAsia="Times New Roman" w:hAnsi="inherit" w:cs="Arial"/>
          <w:i/>
          <w:iCs/>
          <w:color w:val="1A1A1A"/>
          <w:sz w:val="24"/>
          <w:szCs w:val="24"/>
          <w:bdr w:val="none" w:sz="0" w:space="0" w:color="auto" w:frame="1"/>
        </w:rPr>
        <w:t xml:space="preserve">barely getting </w:t>
      </w:r>
      <w:proofErr w:type="gramStart"/>
      <w:r w:rsidRPr="00A00910">
        <w:rPr>
          <w:rFonts w:ascii="inherit" w:eastAsia="Times New Roman" w:hAnsi="inherit" w:cs="Arial"/>
          <w:i/>
          <w:iCs/>
          <w:color w:val="1A1A1A"/>
          <w:sz w:val="24"/>
          <w:szCs w:val="24"/>
          <w:bdr w:val="none" w:sz="0" w:space="0" w:color="auto" w:frame="1"/>
        </w:rPr>
        <w:t>by</w:t>
      </w:r>
      <w:r w:rsidRPr="00A00910">
        <w:rPr>
          <w:rFonts w:ascii="inherit" w:eastAsia="Times New Roman" w:hAnsi="inherit" w:cs="Arial"/>
          <w:color w:val="1A1A1A"/>
          <w:sz w:val="24"/>
          <w:szCs w:val="24"/>
        </w:rPr>
        <w:t>;</w:t>
      </w:r>
      <w:proofErr w:type="gramEnd"/>
    </w:p>
    <w:p w14:paraId="6783290D" w14:textId="77777777" w:rsidR="00A00910" w:rsidRPr="00A00910" w:rsidRDefault="00A00910" w:rsidP="00A00910">
      <w:pPr>
        <w:numPr>
          <w:ilvl w:val="0"/>
          <w:numId w:val="15"/>
        </w:numPr>
        <w:shd w:val="clear" w:color="auto" w:fill="FFFFFF"/>
        <w:spacing w:after="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i/>
          <w:iCs/>
          <w:color w:val="1A1A1A"/>
          <w:sz w:val="24"/>
          <w:szCs w:val="24"/>
          <w:bdr w:val="none" w:sz="0" w:space="0" w:color="auto" w:frame="1"/>
        </w:rPr>
        <w:t>Lower middle-income (“gray collar”) households</w:t>
      </w:r>
      <w:r w:rsidRPr="00A00910">
        <w:rPr>
          <w:rFonts w:ascii="inherit" w:eastAsia="Times New Roman" w:hAnsi="inherit" w:cs="Arial"/>
          <w:color w:val="1A1A1A"/>
          <w:sz w:val="24"/>
          <w:szCs w:val="24"/>
        </w:rPr>
        <w:t> composed of: Office workers; policemen; firemen; technical workers, teachers…</w:t>
      </w:r>
    </w:p>
    <w:p w14:paraId="2DCACA97" w14:textId="77777777" w:rsidR="00A00910" w:rsidRPr="00A00910" w:rsidRDefault="00A00910" w:rsidP="00A00910">
      <w:pPr>
        <w:numPr>
          <w:ilvl w:val="0"/>
          <w:numId w:val="15"/>
        </w:numPr>
        <w:shd w:val="clear" w:color="auto" w:fill="FFFFFF"/>
        <w:spacing w:after="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i/>
          <w:iCs/>
          <w:color w:val="1A1A1A"/>
          <w:sz w:val="24"/>
          <w:szCs w:val="24"/>
          <w:bdr w:val="none" w:sz="0" w:space="0" w:color="auto" w:frame="1"/>
        </w:rPr>
        <w:t>Blue collar households</w:t>
      </w:r>
      <w:r w:rsidRPr="00A00910">
        <w:rPr>
          <w:rFonts w:ascii="inherit" w:eastAsia="Times New Roman" w:hAnsi="inherit" w:cs="Arial"/>
          <w:color w:val="1A1A1A"/>
          <w:sz w:val="24"/>
          <w:szCs w:val="24"/>
        </w:rPr>
        <w:t>, who may barely meet rent demands each month, and who likely pay a disproportionate share of their income toward rent.</w:t>
      </w:r>
    </w:p>
    <w:p w14:paraId="57CAC7CA" w14:textId="77777777" w:rsidR="00A00910" w:rsidRPr="00A00910" w:rsidRDefault="00A00910" w:rsidP="00A00910">
      <w:pPr>
        <w:numPr>
          <w:ilvl w:val="0"/>
          <w:numId w:val="15"/>
        </w:numPr>
        <w:shd w:val="clear" w:color="auto" w:fill="FFFFFF"/>
        <w:spacing w:after="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i/>
          <w:iCs/>
          <w:color w:val="1A1A1A"/>
          <w:sz w:val="24"/>
          <w:szCs w:val="24"/>
          <w:bdr w:val="none" w:sz="0" w:space="0" w:color="auto" w:frame="1"/>
        </w:rPr>
        <w:lastRenderedPageBreak/>
        <w:t>Subsidized households</w:t>
      </w:r>
      <w:r w:rsidRPr="00A00910">
        <w:rPr>
          <w:rFonts w:ascii="inherit" w:eastAsia="Times New Roman" w:hAnsi="inherit" w:cs="Arial"/>
          <w:color w:val="1A1A1A"/>
          <w:sz w:val="24"/>
          <w:szCs w:val="24"/>
        </w:rPr>
        <w:t>, who pay a percentage of household income in rent, with the balance of rent paid through a governmental agency subsidy. Subsidized households, while typically low-income, may extend as well to middle-income households in some high-cost markets, such as New York City.</w:t>
      </w:r>
    </w:p>
    <w:p w14:paraId="195F6E6C" w14:textId="77777777" w:rsidR="00A00910" w:rsidRPr="00A00910" w:rsidRDefault="00A00910" w:rsidP="00A00910">
      <w:pPr>
        <w:numPr>
          <w:ilvl w:val="0"/>
          <w:numId w:val="15"/>
        </w:numPr>
        <w:shd w:val="clear" w:color="auto" w:fill="FFFFFF"/>
        <w:spacing w:after="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i/>
          <w:iCs/>
          <w:color w:val="1A1A1A"/>
          <w:sz w:val="24"/>
          <w:szCs w:val="24"/>
          <w:bdr w:val="none" w:sz="0" w:space="0" w:color="auto" w:frame="1"/>
        </w:rPr>
        <w:t>Military households</w:t>
      </w:r>
      <w:r w:rsidRPr="00A00910">
        <w:rPr>
          <w:rFonts w:ascii="inherit" w:eastAsia="Times New Roman" w:hAnsi="inherit" w:cs="Arial"/>
          <w:color w:val="1A1A1A"/>
          <w:sz w:val="24"/>
          <w:szCs w:val="24"/>
        </w:rPr>
        <w:t>, subject to frequency of relocation.</w:t>
      </w:r>
    </w:p>
    <w:p w14:paraId="7D1BD722" w14:textId="77777777" w:rsidR="00A00910" w:rsidRPr="00A00910" w:rsidRDefault="00A00910" w:rsidP="00A00910">
      <w:pPr>
        <w:shd w:val="clear" w:color="auto" w:fill="FFFFFF"/>
        <w:spacing w:before="225"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These differences can weigh heavily in determining a property's ability to attract specific renter market segments.  The five-star resort serves a very different market than the down-and-outer motel. Apartments are distinguished similarly, but distinctions are often not clearly definitive without investigation.  The Context® rating eliminates that requirement, designating property market positions as:</w:t>
      </w:r>
    </w:p>
    <w:tbl>
      <w:tblPr>
        <w:tblW w:w="2500" w:type="pct"/>
        <w:jc w:val="center"/>
        <w:tblCellMar>
          <w:top w:w="60" w:type="dxa"/>
          <w:left w:w="60" w:type="dxa"/>
          <w:bottom w:w="60" w:type="dxa"/>
          <w:right w:w="60" w:type="dxa"/>
        </w:tblCellMar>
        <w:tblLook w:val="04A0" w:firstRow="1" w:lastRow="0" w:firstColumn="1" w:lastColumn="0" w:noHBand="0" w:noVBand="1"/>
      </w:tblPr>
      <w:tblGrid>
        <w:gridCol w:w="2448"/>
        <w:gridCol w:w="3384"/>
      </w:tblGrid>
      <w:tr w:rsidR="00A00910" w:rsidRPr="00A00910" w14:paraId="69C8F2C4" w14:textId="77777777" w:rsidTr="00A00910">
        <w:trPr>
          <w:jc w:val="center"/>
        </w:trPr>
        <w:tc>
          <w:tcPr>
            <w:tcW w:w="0" w:type="auto"/>
            <w:shd w:val="clear" w:color="auto" w:fill="F0F0F0"/>
            <w:hideMark/>
          </w:tcPr>
          <w:p w14:paraId="30193282" w14:textId="77777777" w:rsidR="00A00910" w:rsidRPr="00A00910" w:rsidRDefault="00A00910" w:rsidP="00A00910">
            <w:pPr>
              <w:spacing w:after="0" w:line="240" w:lineRule="auto"/>
              <w:rPr>
                <w:rFonts w:ascii="Times New Roman" w:eastAsia="Times New Roman" w:hAnsi="Times New Roman" w:cs="Times New Roman"/>
                <w:b/>
                <w:bCs/>
                <w:sz w:val="24"/>
                <w:szCs w:val="24"/>
              </w:rPr>
            </w:pPr>
            <w:r w:rsidRPr="00A00910">
              <w:rPr>
                <w:rFonts w:ascii="Times New Roman" w:eastAsia="Times New Roman" w:hAnsi="Times New Roman" w:cs="Times New Roman"/>
                <w:b/>
                <w:bCs/>
                <w:sz w:val="24"/>
                <w:szCs w:val="24"/>
              </w:rPr>
              <w:t>Market Position</w:t>
            </w:r>
          </w:p>
        </w:tc>
        <w:tc>
          <w:tcPr>
            <w:tcW w:w="0" w:type="auto"/>
            <w:shd w:val="clear" w:color="auto" w:fill="F0F0F0"/>
            <w:hideMark/>
          </w:tcPr>
          <w:p w14:paraId="51B36224" w14:textId="77777777" w:rsidR="00A00910" w:rsidRPr="00A00910" w:rsidRDefault="00A00910" w:rsidP="00A00910">
            <w:pPr>
              <w:spacing w:after="0" w:line="240" w:lineRule="auto"/>
              <w:rPr>
                <w:rFonts w:ascii="Times New Roman" w:eastAsia="Times New Roman" w:hAnsi="Times New Roman" w:cs="Times New Roman"/>
                <w:b/>
                <w:bCs/>
                <w:sz w:val="24"/>
                <w:szCs w:val="24"/>
              </w:rPr>
            </w:pPr>
            <w:r w:rsidRPr="00A00910">
              <w:rPr>
                <w:rFonts w:ascii="Times New Roman" w:eastAsia="Times New Roman" w:hAnsi="Times New Roman" w:cs="Times New Roman"/>
                <w:b/>
                <w:bCs/>
                <w:sz w:val="24"/>
                <w:szCs w:val="24"/>
              </w:rPr>
              <w:t>Improvements Ratings</w:t>
            </w:r>
          </w:p>
        </w:tc>
      </w:tr>
      <w:tr w:rsidR="00A00910" w:rsidRPr="00A00910" w14:paraId="101A2626" w14:textId="77777777" w:rsidTr="00A00910">
        <w:trPr>
          <w:jc w:val="center"/>
        </w:trPr>
        <w:tc>
          <w:tcPr>
            <w:tcW w:w="0" w:type="auto"/>
            <w:shd w:val="clear" w:color="auto" w:fill="F0F0F0"/>
            <w:hideMark/>
          </w:tcPr>
          <w:p w14:paraId="5D16346D"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Discretionary</w:t>
            </w:r>
          </w:p>
        </w:tc>
        <w:tc>
          <w:tcPr>
            <w:tcW w:w="0" w:type="auto"/>
            <w:shd w:val="clear" w:color="auto" w:fill="F0F0F0"/>
            <w:hideMark/>
          </w:tcPr>
          <w:p w14:paraId="37E610AA"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A+ / A</w:t>
            </w:r>
          </w:p>
        </w:tc>
      </w:tr>
      <w:tr w:rsidR="00A00910" w:rsidRPr="00A00910" w14:paraId="05BD1C7D" w14:textId="77777777" w:rsidTr="00A00910">
        <w:trPr>
          <w:jc w:val="center"/>
        </w:trPr>
        <w:tc>
          <w:tcPr>
            <w:tcW w:w="0" w:type="auto"/>
            <w:shd w:val="clear" w:color="auto" w:fill="F0F0F0"/>
            <w:hideMark/>
          </w:tcPr>
          <w:p w14:paraId="563631DB"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High Mid-Range</w:t>
            </w:r>
          </w:p>
        </w:tc>
        <w:tc>
          <w:tcPr>
            <w:tcW w:w="0" w:type="auto"/>
            <w:shd w:val="clear" w:color="auto" w:fill="F0F0F0"/>
            <w:hideMark/>
          </w:tcPr>
          <w:p w14:paraId="78238548"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A- / B+</w:t>
            </w:r>
          </w:p>
        </w:tc>
      </w:tr>
      <w:tr w:rsidR="00A00910" w:rsidRPr="00A00910" w14:paraId="1B182B39" w14:textId="77777777" w:rsidTr="00A00910">
        <w:trPr>
          <w:jc w:val="center"/>
        </w:trPr>
        <w:tc>
          <w:tcPr>
            <w:tcW w:w="0" w:type="auto"/>
            <w:shd w:val="clear" w:color="auto" w:fill="F0F0F0"/>
            <w:hideMark/>
          </w:tcPr>
          <w:p w14:paraId="42FA884E"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Low Mid-Range</w:t>
            </w:r>
          </w:p>
        </w:tc>
        <w:tc>
          <w:tcPr>
            <w:tcW w:w="0" w:type="auto"/>
            <w:shd w:val="clear" w:color="auto" w:fill="F0F0F0"/>
            <w:hideMark/>
          </w:tcPr>
          <w:p w14:paraId="204BE836"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B / B-</w:t>
            </w:r>
          </w:p>
        </w:tc>
      </w:tr>
      <w:tr w:rsidR="00A00910" w:rsidRPr="00A00910" w14:paraId="2F553C5C" w14:textId="77777777" w:rsidTr="00A00910">
        <w:trPr>
          <w:jc w:val="center"/>
        </w:trPr>
        <w:tc>
          <w:tcPr>
            <w:tcW w:w="0" w:type="auto"/>
            <w:shd w:val="clear" w:color="auto" w:fill="F0F0F0"/>
            <w:hideMark/>
          </w:tcPr>
          <w:p w14:paraId="093EE7C0"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Workforce</w:t>
            </w:r>
          </w:p>
        </w:tc>
        <w:tc>
          <w:tcPr>
            <w:tcW w:w="0" w:type="auto"/>
            <w:shd w:val="clear" w:color="auto" w:fill="F0F0F0"/>
            <w:hideMark/>
          </w:tcPr>
          <w:p w14:paraId="4D4D7383" w14:textId="77777777" w:rsidR="00A00910" w:rsidRPr="00A00910" w:rsidRDefault="00A00910" w:rsidP="00A00910">
            <w:pPr>
              <w:spacing w:after="0" w:line="240" w:lineRule="auto"/>
              <w:rPr>
                <w:rFonts w:ascii="Times New Roman" w:eastAsia="Times New Roman" w:hAnsi="Times New Roman" w:cs="Times New Roman"/>
                <w:sz w:val="24"/>
                <w:szCs w:val="24"/>
              </w:rPr>
            </w:pPr>
            <w:r w:rsidRPr="00A00910">
              <w:rPr>
                <w:rFonts w:ascii="Times New Roman" w:eastAsia="Times New Roman" w:hAnsi="Times New Roman" w:cs="Times New Roman"/>
                <w:sz w:val="24"/>
                <w:szCs w:val="24"/>
              </w:rPr>
              <w:t>C+ / C / C- / D</w:t>
            </w:r>
          </w:p>
        </w:tc>
      </w:tr>
    </w:tbl>
    <w:p w14:paraId="73F9721B" w14:textId="77777777" w:rsidR="00A00910" w:rsidRPr="00A00910" w:rsidRDefault="00A00910" w:rsidP="00A00910">
      <w:pPr>
        <w:shd w:val="clear" w:color="auto" w:fill="FFFFFF"/>
        <w:spacing w:before="225" w:after="150"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The value in application of Context® is that standardized data provides consistency; information is more meaningful because there is less uncertainty.  The user can move faster, more efficiently, with more accurate end results.</w:t>
      </w:r>
    </w:p>
    <w:p w14:paraId="439B6A19" w14:textId="77777777" w:rsidR="00A00910" w:rsidRPr="00A00910" w:rsidRDefault="00A00910" w:rsidP="00A00910">
      <w:pPr>
        <w:shd w:val="clear" w:color="auto" w:fill="FFFFFF"/>
        <w:spacing w:before="225"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The Yardi Matrix Context® rating is not intended as a final word concerning a property’s status – either improvements or location.  Rather, the result provides reasonable consistency for comparing one property with another through reference to a consistently applied standard.</w:t>
      </w:r>
    </w:p>
    <w:tbl>
      <w:tblPr>
        <w:tblW w:w="5000" w:type="pct"/>
        <w:shd w:val="clear" w:color="auto" w:fill="FFFFFF"/>
        <w:tblCellMar>
          <w:left w:w="0" w:type="dxa"/>
          <w:right w:w="0" w:type="dxa"/>
        </w:tblCellMar>
        <w:tblLook w:val="04A0" w:firstRow="1" w:lastRow="0" w:firstColumn="1" w:lastColumn="0" w:noHBand="0" w:noVBand="1"/>
      </w:tblPr>
      <w:tblGrid>
        <w:gridCol w:w="6"/>
        <w:gridCol w:w="11658"/>
      </w:tblGrid>
      <w:tr w:rsidR="00A00910" w14:paraId="13774BAD" w14:textId="77777777" w:rsidTr="00A00910">
        <w:tc>
          <w:tcPr>
            <w:tcW w:w="6" w:type="dxa"/>
            <w:shd w:val="clear" w:color="auto" w:fill="FFFFFF"/>
            <w:hideMark/>
          </w:tcPr>
          <w:p w14:paraId="680E17B0" w14:textId="77777777" w:rsidR="00A00910" w:rsidRDefault="00A00910"/>
        </w:tc>
        <w:tc>
          <w:tcPr>
            <w:tcW w:w="0" w:type="auto"/>
            <w:shd w:val="clear" w:color="auto" w:fill="FFFFFF"/>
            <w:hideMark/>
          </w:tcPr>
          <w:p w14:paraId="7FAFB85D" w14:textId="77777777" w:rsidR="00A00910" w:rsidRDefault="00A00910" w:rsidP="00A00910">
            <w:pPr>
              <w:pStyle w:val="Heading1"/>
              <w:spacing w:before="0" w:beforeAutospacing="0" w:after="0" w:afterAutospacing="0" w:line="288" w:lineRule="atLeast"/>
              <w:textAlignment w:val="baseline"/>
              <w:rPr>
                <w:rFonts w:ascii="Arial" w:hAnsi="Arial" w:cs="Arial"/>
                <w:b w:val="0"/>
                <w:bCs w:val="0"/>
                <w:color w:val="545454"/>
                <w:spacing w:val="-7"/>
                <w:sz w:val="65"/>
                <w:szCs w:val="65"/>
              </w:rPr>
            </w:pPr>
            <w:bookmarkStart w:id="0" w:name="418"/>
            <w:bookmarkEnd w:id="0"/>
            <w:r>
              <w:rPr>
                <w:rStyle w:val="titlehead"/>
                <w:rFonts w:ascii="Arial" w:hAnsi="Arial" w:cs="Arial"/>
                <w:b w:val="0"/>
                <w:bCs w:val="0"/>
                <w:color w:val="545454"/>
                <w:spacing w:val="-7"/>
                <w:sz w:val="65"/>
                <w:szCs w:val="65"/>
                <w:bdr w:val="none" w:sz="0" w:space="0" w:color="auto" w:frame="1"/>
              </w:rPr>
              <w:t xml:space="preserve">How We Determine Apartment Improvements </w:t>
            </w:r>
            <w:proofErr w:type="gramStart"/>
            <w:r>
              <w:rPr>
                <w:rStyle w:val="titlehead"/>
                <w:rFonts w:ascii="Arial" w:hAnsi="Arial" w:cs="Arial"/>
                <w:b w:val="0"/>
                <w:bCs w:val="0"/>
                <w:color w:val="545454"/>
                <w:spacing w:val="-7"/>
                <w:sz w:val="65"/>
                <w:szCs w:val="65"/>
                <w:bdr w:val="none" w:sz="0" w:space="0" w:color="auto" w:frame="1"/>
              </w:rPr>
              <w:t>And</w:t>
            </w:r>
            <w:proofErr w:type="gramEnd"/>
            <w:r>
              <w:rPr>
                <w:rStyle w:val="titlehead"/>
                <w:rFonts w:ascii="Arial" w:hAnsi="Arial" w:cs="Arial"/>
                <w:b w:val="0"/>
                <w:bCs w:val="0"/>
                <w:color w:val="545454"/>
                <w:spacing w:val="-7"/>
                <w:sz w:val="65"/>
                <w:szCs w:val="65"/>
                <w:bdr w:val="none" w:sz="0" w:space="0" w:color="auto" w:frame="1"/>
              </w:rPr>
              <w:t xml:space="preserve"> Location Ratings</w:t>
            </w:r>
          </w:p>
          <w:p w14:paraId="1340CA8A" w14:textId="77777777" w:rsidR="00A00910" w:rsidRDefault="00A00910" w:rsidP="00A00910">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rPr>
              <w:t>A </w:t>
            </w:r>
            <w:r>
              <w:rPr>
                <w:rStyle w:val="Strong"/>
                <w:rFonts w:ascii="inherit" w:eastAsiaTheme="majorEastAsia" w:hAnsi="inherit" w:cs="Arial"/>
                <w:color w:val="1A1A1A"/>
                <w:bdr w:val="none" w:sz="0" w:space="0" w:color="auto" w:frame="1"/>
              </w:rPr>
              <w:t>Context</w:t>
            </w:r>
            <w:r>
              <w:rPr>
                <w:rFonts w:ascii="inherit" w:hAnsi="inherit" w:cs="Arial"/>
                <w:color w:val="1A1A1A"/>
                <w:sz w:val="18"/>
                <w:szCs w:val="18"/>
                <w:bdr w:val="none" w:sz="0" w:space="0" w:color="auto" w:frame="1"/>
                <w:vertAlign w:val="superscript"/>
              </w:rPr>
              <w:t>®</w:t>
            </w:r>
            <w:r>
              <w:rPr>
                <w:rFonts w:ascii="inherit" w:hAnsi="inherit" w:cs="Arial"/>
                <w:color w:val="1A1A1A"/>
              </w:rPr>
              <w:t> rating references a series of twelve variables in determining an index applicable to rating property improvements. Twelve additional variables – independent from property improvements characteristics – are considered in determining location rating.</w:t>
            </w:r>
          </w:p>
          <w:p w14:paraId="37A6C243" w14:textId="77777777" w:rsidR="00A00910" w:rsidRDefault="00A00910" w:rsidP="00A00910">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In calculating a "graded index" each variable is assigned a weighted value based on the variable's importance to determining a property's relative desirability, then rated under a scale. A resulting graded index is independently applied to every Metropolitan area 50+ unit apartment community.</w:t>
            </w:r>
          </w:p>
        </w:tc>
      </w:tr>
    </w:tbl>
    <w:p w14:paraId="62E807BE" w14:textId="77777777" w:rsidR="00A00910" w:rsidRPr="00A00910" w:rsidRDefault="00A00910" w:rsidP="00CC3B9F">
      <w:pPr>
        <w:shd w:val="clear" w:color="auto" w:fill="FFFFFF"/>
        <w:spacing w:after="0" w:line="288" w:lineRule="atLeast"/>
        <w:jc w:val="center"/>
        <w:textAlignment w:val="baseline"/>
        <w:outlineLvl w:val="0"/>
        <w:rPr>
          <w:rFonts w:ascii="Arial" w:eastAsia="Times New Roman" w:hAnsi="Arial" w:cs="Arial"/>
          <w:color w:val="545454"/>
          <w:spacing w:val="-7"/>
          <w:kern w:val="36"/>
          <w:sz w:val="65"/>
          <w:szCs w:val="65"/>
        </w:rPr>
      </w:pPr>
      <w:r w:rsidRPr="00A00910">
        <w:rPr>
          <w:rFonts w:ascii="Arial" w:eastAsia="Times New Roman" w:hAnsi="Arial" w:cs="Arial"/>
          <w:color w:val="545454"/>
          <w:spacing w:val="-7"/>
          <w:kern w:val="36"/>
          <w:sz w:val="65"/>
          <w:szCs w:val="65"/>
          <w:bdr w:val="none" w:sz="0" w:space="0" w:color="auto" w:frame="1"/>
        </w:rPr>
        <w:t>How to Make Use of The Context® Apartment Rating Function</w:t>
      </w:r>
    </w:p>
    <w:p w14:paraId="7A7DEFD8" w14:textId="77777777" w:rsidR="00A00910" w:rsidRPr="00A00910" w:rsidRDefault="00A00910" w:rsidP="00A00910">
      <w:pPr>
        <w:shd w:val="clear" w:color="auto" w:fill="FFFFFF"/>
        <w:spacing w:after="0"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Refer to the </w:t>
      </w:r>
      <w:r w:rsidRPr="00A00910">
        <w:rPr>
          <w:rFonts w:ascii="inherit" w:eastAsia="Times New Roman" w:hAnsi="inherit" w:cs="Arial"/>
          <w:b/>
          <w:bCs/>
          <w:color w:val="1A1A1A"/>
          <w:sz w:val="24"/>
          <w:szCs w:val="24"/>
          <w:bdr w:val="none" w:sz="0" w:space="0" w:color="auto" w:frame="1"/>
        </w:rPr>
        <w:t>Context</w:t>
      </w:r>
      <w:r w:rsidRPr="00A00910">
        <w:rPr>
          <w:rFonts w:ascii="inherit" w:eastAsia="Times New Roman" w:hAnsi="inherit" w:cs="Arial"/>
          <w:color w:val="1A1A1A"/>
          <w:sz w:val="18"/>
          <w:szCs w:val="18"/>
          <w:bdr w:val="none" w:sz="0" w:space="0" w:color="auto" w:frame="1"/>
          <w:vertAlign w:val="superscript"/>
        </w:rPr>
        <w:t>®</w:t>
      </w:r>
      <w:r w:rsidRPr="00A00910">
        <w:rPr>
          <w:rFonts w:ascii="inherit" w:eastAsia="Times New Roman" w:hAnsi="inherit" w:cs="Arial"/>
          <w:color w:val="1A1A1A"/>
          <w:sz w:val="24"/>
          <w:szCs w:val="24"/>
        </w:rPr>
        <w:t> function when:</w:t>
      </w:r>
    </w:p>
    <w:p w14:paraId="4C6719EB" w14:textId="77777777" w:rsidR="00A00910" w:rsidRPr="00A00910" w:rsidRDefault="00A00910" w:rsidP="00A00910">
      <w:pPr>
        <w:numPr>
          <w:ilvl w:val="0"/>
          <w:numId w:val="16"/>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Comparing one property with others of similar type is a part of a review, such as:</w:t>
      </w:r>
    </w:p>
    <w:p w14:paraId="2A5A2E4E" w14:textId="77777777" w:rsidR="00A00910" w:rsidRPr="00A00910" w:rsidRDefault="00A00910" w:rsidP="00A00910">
      <w:pPr>
        <w:numPr>
          <w:ilvl w:val="1"/>
          <w:numId w:val="17"/>
        </w:numPr>
        <w:shd w:val="clear" w:color="auto" w:fill="FFFFFF"/>
        <w:spacing w:before="75" w:after="150" w:line="300" w:lineRule="atLeast"/>
        <w:ind w:left="2085"/>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 xml:space="preserve">The most directly comparable sales of other properties during a defined </w:t>
      </w:r>
      <w:proofErr w:type="gramStart"/>
      <w:r w:rsidRPr="00A00910">
        <w:rPr>
          <w:rFonts w:ascii="inherit" w:eastAsia="Times New Roman" w:hAnsi="inherit" w:cs="Arial"/>
          <w:color w:val="1A1A1A"/>
          <w:sz w:val="24"/>
          <w:szCs w:val="24"/>
        </w:rPr>
        <w:t>period;</w:t>
      </w:r>
      <w:proofErr w:type="gramEnd"/>
    </w:p>
    <w:p w14:paraId="60AF2952" w14:textId="77777777" w:rsidR="00A00910" w:rsidRPr="00A00910" w:rsidRDefault="00A00910" w:rsidP="00A00910">
      <w:pPr>
        <w:numPr>
          <w:ilvl w:val="1"/>
          <w:numId w:val="17"/>
        </w:numPr>
        <w:shd w:val="clear" w:color="auto" w:fill="FFFFFF"/>
        <w:spacing w:before="75" w:after="150" w:line="300" w:lineRule="atLeast"/>
        <w:ind w:left="2085"/>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 xml:space="preserve">Selection of properties most competitive with a subject property within the subject property's competitive </w:t>
      </w:r>
      <w:proofErr w:type="gramStart"/>
      <w:r w:rsidRPr="00A00910">
        <w:rPr>
          <w:rFonts w:ascii="inherit" w:eastAsia="Times New Roman" w:hAnsi="inherit" w:cs="Arial"/>
          <w:color w:val="1A1A1A"/>
          <w:sz w:val="24"/>
          <w:szCs w:val="24"/>
        </w:rPr>
        <w:t>zone;</w:t>
      </w:r>
      <w:proofErr w:type="gramEnd"/>
    </w:p>
    <w:p w14:paraId="3AD11777" w14:textId="77777777" w:rsidR="00A00910" w:rsidRPr="00A00910" w:rsidRDefault="00A00910" w:rsidP="00A00910">
      <w:pPr>
        <w:numPr>
          <w:ilvl w:val="0"/>
          <w:numId w:val="17"/>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lastRenderedPageBreak/>
        <w:t xml:space="preserve">Selection of all properties of a particular type </w:t>
      </w:r>
      <w:proofErr w:type="gramStart"/>
      <w:r w:rsidRPr="00A00910">
        <w:rPr>
          <w:rFonts w:ascii="inherit" w:eastAsia="Times New Roman" w:hAnsi="inherit" w:cs="Arial"/>
          <w:color w:val="1A1A1A"/>
          <w:sz w:val="24"/>
          <w:szCs w:val="24"/>
        </w:rPr>
        <w:t>( i.e.</w:t>
      </w:r>
      <w:proofErr w:type="gramEnd"/>
      <w:r w:rsidRPr="00A00910">
        <w:rPr>
          <w:rFonts w:ascii="inherit" w:eastAsia="Times New Roman" w:hAnsi="inherit" w:cs="Arial"/>
          <w:color w:val="1A1A1A"/>
          <w:sz w:val="24"/>
          <w:szCs w:val="24"/>
        </w:rPr>
        <w:t xml:space="preserve"> only "A" category rated properties) is of interest;</w:t>
      </w:r>
    </w:p>
    <w:p w14:paraId="027E008F" w14:textId="77777777" w:rsidR="00A00910" w:rsidRPr="00A00910" w:rsidRDefault="00A00910" w:rsidP="00A00910">
      <w:pPr>
        <w:numPr>
          <w:ilvl w:val="0"/>
          <w:numId w:val="17"/>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Selecting an envisioned perfect property from metropolitan area apartment inventory when only a generalized range of characteristics - defined as most-desirable - is known.</w:t>
      </w:r>
    </w:p>
    <w:p w14:paraId="36E816A3" w14:textId="77777777" w:rsidR="00A00910" w:rsidRPr="00A00910" w:rsidRDefault="00A00910" w:rsidP="00A00910">
      <w:pPr>
        <w:shd w:val="clear" w:color="auto" w:fill="FFFFFF"/>
        <w:spacing w:line="360" w:lineRule="atLeast"/>
        <w:textAlignment w:val="baseline"/>
        <w:rPr>
          <w:rFonts w:ascii="inherit" w:eastAsia="Times New Roman" w:hAnsi="inherit" w:cs="Arial"/>
          <w:color w:val="1A1A1A"/>
          <w:sz w:val="24"/>
          <w:szCs w:val="24"/>
        </w:rPr>
      </w:pPr>
      <w:r w:rsidRPr="00A00910">
        <w:rPr>
          <w:rFonts w:ascii="inherit" w:eastAsia="Times New Roman" w:hAnsi="inherit" w:cs="Arial"/>
          <w:color w:val="1A1A1A"/>
          <w:sz w:val="24"/>
          <w:szCs w:val="24"/>
        </w:rPr>
        <w:t>The </w:t>
      </w:r>
      <w:r w:rsidRPr="00A00910">
        <w:rPr>
          <w:rFonts w:ascii="inherit" w:eastAsia="Times New Roman" w:hAnsi="inherit" w:cs="Arial"/>
          <w:b/>
          <w:bCs/>
          <w:color w:val="1A1A1A"/>
          <w:sz w:val="24"/>
          <w:szCs w:val="24"/>
          <w:bdr w:val="none" w:sz="0" w:space="0" w:color="auto" w:frame="1"/>
        </w:rPr>
        <w:t>Context</w:t>
      </w:r>
      <w:r w:rsidRPr="00A00910">
        <w:rPr>
          <w:rFonts w:ascii="inherit" w:eastAsia="Times New Roman" w:hAnsi="inherit" w:cs="Arial"/>
          <w:color w:val="1A1A1A"/>
          <w:sz w:val="18"/>
          <w:szCs w:val="18"/>
          <w:bdr w:val="none" w:sz="0" w:space="0" w:color="auto" w:frame="1"/>
          <w:vertAlign w:val="superscript"/>
        </w:rPr>
        <w:t>®</w:t>
      </w:r>
      <w:r w:rsidRPr="00A00910">
        <w:rPr>
          <w:rFonts w:ascii="inherit" w:eastAsia="Times New Roman" w:hAnsi="inherit" w:cs="Arial"/>
          <w:color w:val="1A1A1A"/>
          <w:sz w:val="24"/>
          <w:szCs w:val="24"/>
        </w:rPr>
        <w:t> rating system, the commercial real estate industry’s only objectively defined method for comparing one property, or property’s location, with other properties of similar type, is protected by United States Patents – 7,977,930 and 8,060,450.</w:t>
      </w:r>
    </w:p>
    <w:p w14:paraId="15F3FE7F" w14:textId="77777777" w:rsidR="00A00910" w:rsidRDefault="00A00910" w:rsidP="00CC3B9F">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How We Report Multifamily Rental Market Conditions</w:t>
      </w:r>
    </w:p>
    <w:p w14:paraId="4C77140B"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Multifamily rental market conditions are reported at two levels: Rental rates and concessions; and market occupancy. These components of the Rental Market are surveyed, and reported, as:</w:t>
      </w:r>
    </w:p>
    <w:p w14:paraId="0F48D5E5"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Rental Rate Reporting</w:t>
      </w:r>
    </w:p>
    <w:p w14:paraId="78427B3E" w14:textId="7BF04057" w:rsidR="00A00910" w:rsidRDefault="00A00910" w:rsidP="00A00910">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Rental rates are gathered as a prospective renter by telephone survey, then reported in both </w:t>
      </w:r>
      <w:r>
        <w:rPr>
          <w:rStyle w:val="Strong"/>
          <w:rFonts w:ascii="inherit" w:eastAsiaTheme="majorEastAsia" w:hAnsi="inherit" w:cs="Arial"/>
          <w:color w:val="1A1A1A"/>
          <w:bdr w:val="none" w:sz="0" w:space="0" w:color="auto" w:frame="1"/>
        </w:rPr>
        <w:t>Actual</w:t>
      </w:r>
      <w:r>
        <w:rPr>
          <w:rFonts w:ascii="inherit" w:hAnsi="inherit" w:cs="Arial"/>
          <w:color w:val="1A1A1A"/>
        </w:rPr>
        <w:t>, and </w:t>
      </w:r>
      <w:r>
        <w:rPr>
          <w:rStyle w:val="Strong"/>
          <w:rFonts w:ascii="inherit" w:eastAsiaTheme="majorEastAsia" w:hAnsi="inherit" w:cs="Arial"/>
          <w:color w:val="1A1A1A"/>
          <w:bdr w:val="none" w:sz="0" w:space="0" w:color="auto" w:frame="1"/>
        </w:rPr>
        <w:t>Market Rate</w:t>
      </w:r>
      <w:r>
        <w:rPr>
          <w:rFonts w:ascii="inherit" w:hAnsi="inherit" w:cs="Arial"/>
          <w:color w:val="1A1A1A"/>
        </w:rPr>
        <w:t xml:space="preserve">, formats. The market rate is an actual rate, adjusted to apply an apples-to-apples comparison. </w:t>
      </w:r>
    </w:p>
    <w:p w14:paraId="297EFD8C"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Rental Concessions</w:t>
      </w:r>
    </w:p>
    <w:p w14:paraId="07D1BFCD"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Rental rate concessions are gathered as a prospective renter, by telephone survey, and are representative of promotional offerings made available to prospective residents at the time a survey was completed. When complete, surveys are tabulated to provide a representation of concessions in effect during the survey period.</w:t>
      </w:r>
    </w:p>
    <w:p w14:paraId="6505BE55" w14:textId="77777777" w:rsidR="00A00910" w:rsidRDefault="00A00910" w:rsidP="00CC3B9F">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How We Survey Apartment Rental Concessions</w:t>
      </w:r>
    </w:p>
    <w:p w14:paraId="2863ABDB" w14:textId="77777777" w:rsidR="00A00910" w:rsidRDefault="00A00910" w:rsidP="00A00910">
      <w:pPr>
        <w:pStyle w:val="Heading2"/>
        <w:shd w:val="clear" w:color="auto" w:fill="FFFFFF"/>
        <w:spacing w:before="168" w:after="120" w:line="288" w:lineRule="atLeast"/>
        <w:textAlignment w:val="baseline"/>
        <w:rPr>
          <w:rFonts w:ascii="Open Sans" w:hAnsi="Open Sans" w:cs="Open Sans"/>
          <w:b/>
          <w:bCs/>
          <w:color w:val="1A1A1A"/>
          <w:sz w:val="41"/>
          <w:szCs w:val="41"/>
        </w:rPr>
      </w:pPr>
      <w:r>
        <w:rPr>
          <w:rFonts w:ascii="Open Sans" w:hAnsi="Open Sans" w:cs="Open Sans"/>
          <w:color w:val="1A1A1A"/>
          <w:sz w:val="41"/>
          <w:szCs w:val="41"/>
        </w:rPr>
        <w:t>Our Concessions Survey Format</w:t>
      </w:r>
    </w:p>
    <w:p w14:paraId="12C4B665"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Status of rental promotional activity in the form of concessions offered to induce rental is assessed three times annually by telephone survey among competitively rented (market/rate) properties of 50 units and larger in size. The survey is taken as if the caller were a renter. Survey periods </w:t>
      </w:r>
      <w:proofErr w:type="gramStart"/>
      <w:r>
        <w:rPr>
          <w:rFonts w:ascii="inherit" w:hAnsi="inherit" w:cs="Arial"/>
          <w:color w:val="1A1A1A"/>
        </w:rPr>
        <w:t>include:</w:t>
      </w:r>
      <w:proofErr w:type="gramEnd"/>
      <w:r>
        <w:rPr>
          <w:rFonts w:ascii="inherit" w:hAnsi="inherit" w:cs="Arial"/>
          <w:color w:val="1A1A1A"/>
        </w:rPr>
        <w:t xml:space="preserve"> January/February; May/June; September/October. As rental promotions are dynamic - flexible in timing, duration, and depth - survey results illustrate the relative extent of concessions offered on-average during a specific period.</w:t>
      </w:r>
    </w:p>
    <w:p w14:paraId="1F95FF42"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Excluded Properties</w:t>
      </w:r>
    </w:p>
    <w:p w14:paraId="586E5427"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Properties operated under a fully/subsidized format for the benefit of low-income households - consequently not subject to rental market dynamics - are not included in the survey.</w:t>
      </w:r>
    </w:p>
    <w:p w14:paraId="1B9F3975" w14:textId="77777777" w:rsidR="00A00910" w:rsidRDefault="00A00910" w:rsidP="00A00910">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lastRenderedPageBreak/>
        <w:t>Included Properties</w:t>
      </w:r>
    </w:p>
    <w:p w14:paraId="466BF673" w14:textId="77777777" w:rsidR="00A00910" w:rsidRDefault="00A00910" w:rsidP="00A00910">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All market/rate properties of 50 units and larger in size are included in the concessions survey. Partially subsidized properties, in which a portion of low-income households are included in the rental mix, are surveyed for concessions and rental rates.</w:t>
      </w:r>
    </w:p>
    <w:p w14:paraId="3A473B7D" w14:textId="77777777" w:rsidR="00BA0F9A" w:rsidRDefault="00BA0F9A" w:rsidP="00CC3B9F">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How We Define Apartment Rental Rates</w:t>
      </w:r>
    </w:p>
    <w:p w14:paraId="59C20CCA" w14:textId="77777777" w:rsidR="00BA0F9A" w:rsidRDefault="00BA0F9A" w:rsidP="00BA0F9A">
      <w:pPr>
        <w:pStyle w:val="Heading2"/>
        <w:shd w:val="clear" w:color="auto" w:fill="FFFFFF"/>
        <w:spacing w:before="168" w:after="120" w:line="288" w:lineRule="atLeast"/>
        <w:textAlignment w:val="baseline"/>
        <w:rPr>
          <w:rFonts w:ascii="Open Sans" w:hAnsi="Open Sans" w:cs="Open Sans"/>
          <w:b/>
          <w:bCs/>
          <w:color w:val="1A1A1A"/>
          <w:sz w:val="41"/>
          <w:szCs w:val="41"/>
        </w:rPr>
      </w:pPr>
      <w:r>
        <w:rPr>
          <w:rFonts w:ascii="Open Sans" w:hAnsi="Open Sans" w:cs="Open Sans"/>
          <w:color w:val="1A1A1A"/>
          <w:sz w:val="41"/>
          <w:szCs w:val="41"/>
        </w:rPr>
        <w:t>Our Rent Definitions</w:t>
      </w:r>
    </w:p>
    <w:p w14:paraId="04718E2F" w14:textId="77777777" w:rsidR="00BA0F9A" w:rsidRDefault="00BA0F9A" w:rsidP="00BA0F9A">
      <w:pPr>
        <w:pStyle w:val="NormalWeb"/>
        <w:shd w:val="clear" w:color="auto" w:fill="FFFFFF"/>
        <w:spacing w:before="0" w:beforeAutospacing="0" w:after="0" w:afterAutospacing="0" w:line="360" w:lineRule="atLeast"/>
        <w:textAlignment w:val="baseline"/>
        <w:rPr>
          <w:rFonts w:ascii="inherit" w:hAnsi="inherit" w:cs="Arial"/>
          <w:color w:val="1A1A1A"/>
        </w:rPr>
      </w:pPr>
      <w:r>
        <w:rPr>
          <w:rFonts w:ascii="inherit" w:hAnsi="inherit" w:cs="Arial"/>
          <w:color w:val="1A1A1A"/>
        </w:rPr>
        <w:t>Rental rates are illustrated under two formats - </w:t>
      </w:r>
      <w:r>
        <w:rPr>
          <w:rStyle w:val="Strong"/>
          <w:rFonts w:ascii="inherit" w:eastAsiaTheme="majorEastAsia" w:hAnsi="inherit" w:cs="Arial"/>
          <w:color w:val="1A1A1A"/>
          <w:bdr w:val="none" w:sz="0" w:space="0" w:color="auto" w:frame="1"/>
        </w:rPr>
        <w:t>Actual</w:t>
      </w:r>
      <w:r>
        <w:rPr>
          <w:rFonts w:ascii="inherit" w:hAnsi="inherit" w:cs="Arial"/>
          <w:color w:val="1A1A1A"/>
        </w:rPr>
        <w:t> and </w:t>
      </w:r>
      <w:r>
        <w:rPr>
          <w:rStyle w:val="Strong"/>
          <w:rFonts w:ascii="inherit" w:eastAsiaTheme="majorEastAsia" w:hAnsi="inherit" w:cs="Arial"/>
          <w:color w:val="1A1A1A"/>
          <w:bdr w:val="none" w:sz="0" w:space="0" w:color="auto" w:frame="1"/>
        </w:rPr>
        <w:t>Market Standard</w:t>
      </w:r>
      <w:r>
        <w:rPr>
          <w:rFonts w:ascii="inherit" w:hAnsi="inherit" w:cs="Arial"/>
          <w:color w:val="1A1A1A"/>
        </w:rPr>
        <w:t>; each format can be referenced independently in data illustration. The two formats define as:</w:t>
      </w:r>
    </w:p>
    <w:p w14:paraId="13684AAA" w14:textId="77777777" w:rsidR="00BA0F9A" w:rsidRDefault="00BA0F9A" w:rsidP="00BA0F9A">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Actual Rent (Street Rent)</w:t>
      </w:r>
      <w:r>
        <w:rPr>
          <w:rFonts w:ascii="inherit" w:hAnsi="inherit" w:cs="Arial"/>
          <w:color w:val="1A1A1A"/>
        </w:rPr>
        <w:t> - The rate a property charges residents to occupy an apartment. No adjustments are applied.</w:t>
      </w:r>
    </w:p>
    <w:p w14:paraId="230507F8" w14:textId="77777777" w:rsidR="00BA0F9A" w:rsidRDefault="00BA0F9A" w:rsidP="00BA0F9A">
      <w:pPr>
        <w:pStyle w:val="NormalWeb"/>
        <w:shd w:val="clear" w:color="auto" w:fill="FFFFFF"/>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Market Standard Rent</w:t>
      </w:r>
      <w:r>
        <w:rPr>
          <w:rFonts w:ascii="inherit" w:hAnsi="inherit" w:cs="Arial"/>
          <w:color w:val="1A1A1A"/>
        </w:rPr>
        <w:t xml:space="preserve"> - Rents are adjusted from Actual rents. Adjustments reflect the condition that apartment rental rates among floorplans of the same type vary from property-to-property </w:t>
      </w:r>
      <w:proofErr w:type="gramStart"/>
      <w:r>
        <w:rPr>
          <w:rFonts w:ascii="inherit" w:hAnsi="inherit" w:cs="Arial"/>
          <w:color w:val="1A1A1A"/>
        </w:rPr>
        <w:t>as a consequence of</w:t>
      </w:r>
      <w:proofErr w:type="gramEnd"/>
      <w:r>
        <w:rPr>
          <w:rFonts w:ascii="inherit" w:hAnsi="inherit" w:cs="Arial"/>
          <w:color w:val="1A1A1A"/>
        </w:rPr>
        <w:t xml:space="preserve"> qualitative characteristics influencing desirability, and/or elements of tangible (quantifiable) value included in rental rates. When elements of tangible value are included in a property's rents those elements are recognized in the form of deductions from, or additions to, actual rents to define a Market Standard rental rate.</w:t>
      </w:r>
    </w:p>
    <w:p w14:paraId="130F6F04"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The Market Standard rent places all properties on a similar plane, eliminating readily quantifiable inequalities (utilities, washers &amp; dryers, direct-access garages, fireplaces) included in rental rates, and adding adjustments when residents pay water, sewer, or trash collection expenses, adjusting rents to a common-denominator. This Market Standard rent adjustment allows direct comparison of a submarket's rents with other </w:t>
      </w:r>
      <w:proofErr w:type="gramStart"/>
      <w:r>
        <w:rPr>
          <w:rFonts w:ascii="inherit" w:hAnsi="inherit" w:cs="Arial"/>
          <w:color w:val="1A1A1A"/>
        </w:rPr>
        <w:t>submarkets, or</w:t>
      </w:r>
      <w:proofErr w:type="gramEnd"/>
      <w:r>
        <w:rPr>
          <w:rFonts w:ascii="inherit" w:hAnsi="inherit" w:cs="Arial"/>
          <w:color w:val="1A1A1A"/>
        </w:rPr>
        <w:t xml:space="preserve"> adjusts individual unit type rents to a basis allowing more direct comparison with other units of the same type serving a submarket.</w:t>
      </w:r>
    </w:p>
    <w:tbl>
      <w:tblPr>
        <w:tblW w:w="5000" w:type="pct"/>
        <w:shd w:val="clear" w:color="auto" w:fill="FFFFFF"/>
        <w:tblCellMar>
          <w:left w:w="0" w:type="dxa"/>
          <w:right w:w="0" w:type="dxa"/>
        </w:tblCellMar>
        <w:tblLook w:val="04A0" w:firstRow="1" w:lastRow="0" w:firstColumn="1" w:lastColumn="0" w:noHBand="0" w:noVBand="1"/>
      </w:tblPr>
      <w:tblGrid>
        <w:gridCol w:w="6"/>
        <w:gridCol w:w="11658"/>
      </w:tblGrid>
      <w:tr w:rsidR="00BA0F9A" w14:paraId="03358D6C" w14:textId="77777777" w:rsidTr="00BA0F9A">
        <w:tc>
          <w:tcPr>
            <w:tcW w:w="6" w:type="dxa"/>
            <w:shd w:val="clear" w:color="auto" w:fill="FFFFFF"/>
            <w:hideMark/>
          </w:tcPr>
          <w:p w14:paraId="6518DACA" w14:textId="77777777" w:rsidR="00BA0F9A" w:rsidRDefault="00BA0F9A"/>
        </w:tc>
        <w:tc>
          <w:tcPr>
            <w:tcW w:w="0" w:type="auto"/>
            <w:shd w:val="clear" w:color="auto" w:fill="FFFFFF"/>
            <w:hideMark/>
          </w:tcPr>
          <w:p w14:paraId="058E538C" w14:textId="77777777" w:rsidR="00BA0F9A" w:rsidRDefault="00BA0F9A" w:rsidP="0019246C">
            <w:pPr>
              <w:pStyle w:val="Heading1"/>
              <w:spacing w:before="0" w:beforeAutospacing="0" w:after="0" w:afterAutospacing="0" w:line="288" w:lineRule="atLeast"/>
              <w:jc w:val="center"/>
              <w:textAlignment w:val="baseline"/>
              <w:rPr>
                <w:rFonts w:ascii="Arial" w:hAnsi="Arial" w:cs="Arial"/>
                <w:b w:val="0"/>
                <w:bCs w:val="0"/>
                <w:color w:val="545454"/>
                <w:spacing w:val="-7"/>
                <w:sz w:val="65"/>
                <w:szCs w:val="65"/>
              </w:rPr>
            </w:pPr>
            <w:bookmarkStart w:id="1" w:name="425"/>
            <w:bookmarkEnd w:id="1"/>
            <w:r>
              <w:rPr>
                <w:rStyle w:val="titlehead"/>
                <w:rFonts w:ascii="Arial" w:hAnsi="Arial" w:cs="Arial"/>
                <w:b w:val="0"/>
                <w:bCs w:val="0"/>
                <w:color w:val="545454"/>
                <w:spacing w:val="-7"/>
                <w:sz w:val="65"/>
                <w:szCs w:val="65"/>
                <w:bdr w:val="none" w:sz="0" w:space="0" w:color="auto" w:frame="1"/>
              </w:rPr>
              <w:t>How We Determine a Multi-Family Market Standard Rent</w:t>
            </w:r>
          </w:p>
          <w:p w14:paraId="4027E55F" w14:textId="77777777" w:rsidR="00BA0F9A" w:rsidRDefault="00BA0F9A" w:rsidP="00BA0F9A">
            <w:pPr>
              <w:pStyle w:val="NormalWeb"/>
              <w:spacing w:before="0" w:beforeAutospacing="0" w:after="0" w:afterAutospacing="0" w:line="360" w:lineRule="atLeast"/>
              <w:textAlignment w:val="baseline"/>
              <w:rPr>
                <w:rFonts w:ascii="inherit" w:hAnsi="inherit" w:cs="Arial"/>
                <w:color w:val="1A1A1A"/>
              </w:rPr>
            </w:pPr>
            <w:r>
              <w:rPr>
                <w:rStyle w:val="Strong"/>
                <w:rFonts w:ascii="inherit" w:eastAsiaTheme="majorEastAsia" w:hAnsi="inherit" w:cs="Arial"/>
                <w:color w:val="1A1A1A"/>
                <w:bdr w:val="none" w:sz="0" w:space="0" w:color="auto" w:frame="1"/>
              </w:rPr>
              <w:t>Actual </w:t>
            </w:r>
            <w:r>
              <w:rPr>
                <w:rFonts w:ascii="inherit" w:hAnsi="inherit" w:cs="Arial"/>
                <w:color w:val="1A1A1A"/>
              </w:rPr>
              <w:t>rents convert to </w:t>
            </w:r>
            <w:r>
              <w:rPr>
                <w:rStyle w:val="Strong"/>
                <w:rFonts w:ascii="inherit" w:eastAsiaTheme="majorEastAsia" w:hAnsi="inherit" w:cs="Arial"/>
                <w:color w:val="1A1A1A"/>
                <w:bdr w:val="none" w:sz="0" w:space="0" w:color="auto" w:frame="1"/>
              </w:rPr>
              <w:t>Market Standard</w:t>
            </w:r>
            <w:r>
              <w:rPr>
                <w:rFonts w:ascii="inherit" w:hAnsi="inherit" w:cs="Arial"/>
                <w:color w:val="1A1A1A"/>
              </w:rPr>
              <w:t> rents by eliminating variances attributable to tangible elements adding readily identifiable rental value. This includes deductions from, and/or additions to, </w:t>
            </w:r>
            <w:r>
              <w:rPr>
                <w:rStyle w:val="Strong"/>
                <w:rFonts w:ascii="inherit" w:eastAsiaTheme="majorEastAsia" w:hAnsi="inherit" w:cs="Arial"/>
                <w:color w:val="1A1A1A"/>
                <w:bdr w:val="none" w:sz="0" w:space="0" w:color="auto" w:frame="1"/>
              </w:rPr>
              <w:t>Actual</w:t>
            </w:r>
            <w:r>
              <w:rPr>
                <w:rFonts w:ascii="inherit" w:hAnsi="inherit" w:cs="Arial"/>
                <w:color w:val="1A1A1A"/>
              </w:rPr>
              <w:t> rents as:</w:t>
            </w:r>
          </w:p>
          <w:p w14:paraId="55973A3D" w14:textId="77777777" w:rsidR="00BA0F9A" w:rsidRDefault="00BA0F9A" w:rsidP="00BA0F9A">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Deductions From Actual Rental Rates</w:t>
            </w:r>
          </w:p>
          <w:p w14:paraId="25A21000" w14:textId="77777777" w:rsidR="00BA0F9A" w:rsidRDefault="00BA0F9A" w:rsidP="00BA0F9A">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rPr>
              <w:t>Elements deducted from actual rents when </w:t>
            </w:r>
            <w:r>
              <w:rPr>
                <w:rStyle w:val="Strong"/>
                <w:rFonts w:ascii="inherit" w:eastAsiaTheme="majorEastAsia" w:hAnsi="inherit" w:cs="Arial"/>
                <w:color w:val="1A1A1A"/>
                <w:bdr w:val="none" w:sz="0" w:space="0" w:color="auto" w:frame="1"/>
              </w:rPr>
              <w:t>Market Standard</w:t>
            </w:r>
            <w:r>
              <w:rPr>
                <w:rFonts w:ascii="inherit" w:hAnsi="inherit" w:cs="Arial"/>
                <w:color w:val="1A1A1A"/>
              </w:rPr>
              <w:t> rental rate comparisons are required, include:</w:t>
            </w:r>
          </w:p>
          <w:p w14:paraId="554CA1AC" w14:textId="77777777" w:rsidR="00BA0F9A" w:rsidRDefault="00BA0F9A" w:rsidP="00BA0F9A">
            <w:pPr>
              <w:numPr>
                <w:ilvl w:val="0"/>
                <w:numId w:val="18"/>
              </w:numPr>
              <w:spacing w:before="75" w:after="150" w:line="300" w:lineRule="atLeast"/>
              <w:ind w:left="1095"/>
              <w:textAlignment w:val="baseline"/>
              <w:rPr>
                <w:rFonts w:ascii="inherit" w:hAnsi="inherit" w:cs="Arial"/>
                <w:color w:val="1A1A1A"/>
              </w:rPr>
            </w:pPr>
            <w:r>
              <w:rPr>
                <w:rFonts w:ascii="inherit" w:hAnsi="inherit" w:cs="Arial"/>
                <w:color w:val="1A1A1A"/>
              </w:rPr>
              <w:t>Electric utilities are included in rents</w:t>
            </w:r>
          </w:p>
          <w:p w14:paraId="77E31CDF" w14:textId="77777777" w:rsidR="00BA0F9A" w:rsidRDefault="00BA0F9A" w:rsidP="00BA0F9A">
            <w:pPr>
              <w:numPr>
                <w:ilvl w:val="0"/>
                <w:numId w:val="18"/>
              </w:numPr>
              <w:spacing w:before="75" w:after="150" w:line="300" w:lineRule="atLeast"/>
              <w:ind w:left="1095"/>
              <w:textAlignment w:val="baseline"/>
              <w:rPr>
                <w:rFonts w:ascii="inherit" w:hAnsi="inherit" w:cs="Arial"/>
                <w:color w:val="1A1A1A"/>
              </w:rPr>
            </w:pPr>
            <w:r>
              <w:rPr>
                <w:rFonts w:ascii="inherit" w:hAnsi="inherit" w:cs="Arial"/>
                <w:color w:val="1A1A1A"/>
              </w:rPr>
              <w:t>Furniture is provided by the property as a component of occupancy</w:t>
            </w:r>
          </w:p>
          <w:p w14:paraId="5ED78B99" w14:textId="77777777" w:rsidR="00BA0F9A" w:rsidRDefault="00BA0F9A" w:rsidP="00BA0F9A">
            <w:pPr>
              <w:numPr>
                <w:ilvl w:val="0"/>
                <w:numId w:val="18"/>
              </w:numPr>
              <w:spacing w:before="75" w:after="150" w:line="300" w:lineRule="atLeast"/>
              <w:ind w:left="1095"/>
              <w:textAlignment w:val="baseline"/>
              <w:rPr>
                <w:rFonts w:ascii="inherit" w:hAnsi="inherit" w:cs="Arial"/>
                <w:color w:val="1A1A1A"/>
              </w:rPr>
            </w:pPr>
            <w:r>
              <w:rPr>
                <w:rFonts w:ascii="inherit" w:hAnsi="inherit" w:cs="Arial"/>
                <w:color w:val="1A1A1A"/>
              </w:rPr>
              <w:t>A direct-access garage to the apartment unit is standard, or an assigned, enclosed garage is included in rents charged</w:t>
            </w:r>
          </w:p>
          <w:p w14:paraId="0E135EB4" w14:textId="77777777" w:rsidR="00BA0F9A" w:rsidRDefault="00BA0F9A" w:rsidP="00BA0F9A">
            <w:pPr>
              <w:numPr>
                <w:ilvl w:val="0"/>
                <w:numId w:val="18"/>
              </w:numPr>
              <w:spacing w:before="75" w:after="150" w:line="300" w:lineRule="atLeast"/>
              <w:ind w:left="1095"/>
              <w:textAlignment w:val="baseline"/>
              <w:rPr>
                <w:rFonts w:ascii="inherit" w:hAnsi="inherit" w:cs="Arial"/>
                <w:color w:val="1A1A1A"/>
              </w:rPr>
            </w:pPr>
            <w:r>
              <w:rPr>
                <w:rFonts w:ascii="inherit" w:hAnsi="inherit" w:cs="Arial"/>
                <w:color w:val="1A1A1A"/>
              </w:rPr>
              <w:t>In-unit washers and dryers are included</w:t>
            </w:r>
          </w:p>
          <w:p w14:paraId="1824C502" w14:textId="77777777" w:rsidR="00BA0F9A" w:rsidRDefault="00BA0F9A" w:rsidP="00BA0F9A">
            <w:pPr>
              <w:numPr>
                <w:ilvl w:val="0"/>
                <w:numId w:val="18"/>
              </w:numPr>
              <w:spacing w:before="75" w:after="150" w:line="300" w:lineRule="atLeast"/>
              <w:ind w:left="1095"/>
              <w:textAlignment w:val="baseline"/>
              <w:rPr>
                <w:rFonts w:ascii="inherit" w:hAnsi="inherit" w:cs="Arial"/>
                <w:color w:val="1A1A1A"/>
              </w:rPr>
            </w:pPr>
            <w:r>
              <w:rPr>
                <w:rFonts w:ascii="inherit" w:hAnsi="inherit" w:cs="Arial"/>
                <w:color w:val="1A1A1A"/>
              </w:rPr>
              <w:lastRenderedPageBreak/>
              <w:t>A wood-burning or gas fireplace is provided</w:t>
            </w:r>
          </w:p>
          <w:p w14:paraId="55A6983F" w14:textId="77777777" w:rsidR="00BA0F9A" w:rsidRDefault="00BA0F9A" w:rsidP="00BA0F9A">
            <w:pPr>
              <w:spacing w:after="0" w:line="240" w:lineRule="auto"/>
              <w:textAlignment w:val="baseline"/>
              <w:rPr>
                <w:rFonts w:ascii="Arial" w:hAnsi="Arial" w:cs="Arial"/>
                <w:color w:val="1A1A1A"/>
              </w:rPr>
            </w:pPr>
            <w:r>
              <w:rPr>
                <w:rFonts w:ascii="Arial" w:hAnsi="Arial" w:cs="Arial"/>
                <w:color w:val="1A1A1A"/>
              </w:rPr>
              <w:t xml:space="preserve">These tangible elements directly affect rental value based on providing utility over and above base rent. This </w:t>
            </w:r>
            <w:proofErr w:type="gramStart"/>
            <w:r>
              <w:rPr>
                <w:rFonts w:ascii="Arial" w:hAnsi="Arial" w:cs="Arial"/>
                <w:color w:val="1A1A1A"/>
              </w:rPr>
              <w:t>is in contrast to</w:t>
            </w:r>
            <w:proofErr w:type="gramEnd"/>
            <w:r>
              <w:rPr>
                <w:rFonts w:ascii="Arial" w:hAnsi="Arial" w:cs="Arial"/>
                <w:color w:val="1A1A1A"/>
              </w:rPr>
              <w:t xml:space="preserve"> qualitative desirability of more intangible elements such as attractive finishing detail and amenities. Removal of the tangible element would be expected to result in reduction of the apartment's rental rate; addition of the element will result in an increased rental rate. Deductions are applied in converting an Actual rent to a Market Standard rent as:</w:t>
            </w:r>
          </w:p>
          <w:p w14:paraId="732B7D67" w14:textId="77777777" w:rsidR="00BA0F9A" w:rsidRDefault="00BA0F9A" w:rsidP="00BA0F9A">
            <w:pPr>
              <w:textAlignment w:val="baseline"/>
              <w:rPr>
                <w:rFonts w:ascii="Arial" w:hAnsi="Arial" w:cs="Arial"/>
                <w:color w:val="1A1A1A"/>
              </w:rPr>
            </w:pPr>
          </w:p>
          <w:tbl>
            <w:tblPr>
              <w:tblW w:w="0" w:type="auto"/>
              <w:jc w:val="center"/>
              <w:tblCellMar>
                <w:top w:w="60" w:type="dxa"/>
                <w:left w:w="60" w:type="dxa"/>
                <w:bottom w:w="60" w:type="dxa"/>
                <w:right w:w="60" w:type="dxa"/>
              </w:tblCellMar>
              <w:tblLook w:val="04A0" w:firstRow="1" w:lastRow="0" w:firstColumn="1" w:lastColumn="0" w:noHBand="0" w:noVBand="1"/>
            </w:tblPr>
            <w:tblGrid>
              <w:gridCol w:w="2771"/>
              <w:gridCol w:w="878"/>
              <w:gridCol w:w="455"/>
              <w:gridCol w:w="567"/>
              <w:gridCol w:w="567"/>
              <w:gridCol w:w="567"/>
            </w:tblGrid>
            <w:tr w:rsidR="00BA0F9A" w14:paraId="77C024BF" w14:textId="77777777" w:rsidTr="00BA0F9A">
              <w:trPr>
                <w:jc w:val="center"/>
              </w:trPr>
              <w:tc>
                <w:tcPr>
                  <w:tcW w:w="0" w:type="auto"/>
                  <w:gridSpan w:val="6"/>
                  <w:shd w:val="clear" w:color="auto" w:fill="auto"/>
                  <w:vAlign w:val="center"/>
                  <w:hideMark/>
                </w:tcPr>
                <w:p w14:paraId="6676D46C" w14:textId="77777777" w:rsidR="00BA0F9A" w:rsidRDefault="00BA0F9A">
                  <w:pPr>
                    <w:jc w:val="center"/>
                    <w:rPr>
                      <w:rFonts w:ascii="Times New Roman" w:hAnsi="Times New Roman" w:cs="Times New Roman"/>
                      <w:b/>
                      <w:bCs/>
                    </w:rPr>
                  </w:pPr>
                  <w:r>
                    <w:rPr>
                      <w:b/>
                      <w:bCs/>
                    </w:rPr>
                    <w:t>Unit Type/Number of Bedrooms</w:t>
                  </w:r>
                </w:p>
              </w:tc>
            </w:tr>
            <w:tr w:rsidR="00BA0F9A" w14:paraId="2BA6805F" w14:textId="77777777" w:rsidTr="00BA0F9A">
              <w:trPr>
                <w:jc w:val="center"/>
              </w:trPr>
              <w:tc>
                <w:tcPr>
                  <w:tcW w:w="0" w:type="auto"/>
                  <w:shd w:val="clear" w:color="auto" w:fill="auto"/>
                  <w:vAlign w:val="center"/>
                  <w:hideMark/>
                </w:tcPr>
                <w:p w14:paraId="214EBAB6" w14:textId="77777777" w:rsidR="00BA0F9A" w:rsidRDefault="00BA0F9A">
                  <w:pPr>
                    <w:rPr>
                      <w:b/>
                      <w:bCs/>
                    </w:rPr>
                  </w:pPr>
                  <w:r>
                    <w:rPr>
                      <w:b/>
                      <w:bCs/>
                    </w:rPr>
                    <w:t>Characteristic</w:t>
                  </w:r>
                </w:p>
              </w:tc>
              <w:tc>
                <w:tcPr>
                  <w:tcW w:w="0" w:type="auto"/>
                  <w:shd w:val="clear" w:color="auto" w:fill="auto"/>
                  <w:vAlign w:val="center"/>
                  <w:hideMark/>
                </w:tcPr>
                <w:p w14:paraId="645D8D64" w14:textId="77777777" w:rsidR="00BA0F9A" w:rsidRDefault="00BA0F9A">
                  <w:pPr>
                    <w:jc w:val="center"/>
                    <w:rPr>
                      <w:b/>
                      <w:bCs/>
                    </w:rPr>
                  </w:pPr>
                  <w:proofErr w:type="gramStart"/>
                  <w:r>
                    <w:rPr>
                      <w:b/>
                      <w:bCs/>
                    </w:rPr>
                    <w:t>Studio</w:t>
                  </w:r>
                  <w:r>
                    <w:rPr>
                      <w:rFonts w:ascii="inherit" w:hAnsi="inherit"/>
                      <w:b/>
                      <w:bCs/>
                      <w:sz w:val="18"/>
                      <w:szCs w:val="18"/>
                      <w:bdr w:val="none" w:sz="0" w:space="0" w:color="auto" w:frame="1"/>
                      <w:vertAlign w:val="superscript"/>
                    </w:rPr>
                    <w:t>(</w:t>
                  </w:r>
                  <w:proofErr w:type="gramEnd"/>
                  <w:r>
                    <w:rPr>
                      <w:rFonts w:ascii="inherit" w:hAnsi="inherit"/>
                      <w:b/>
                      <w:bCs/>
                      <w:sz w:val="18"/>
                      <w:szCs w:val="18"/>
                      <w:bdr w:val="none" w:sz="0" w:space="0" w:color="auto" w:frame="1"/>
                      <w:vertAlign w:val="superscript"/>
                    </w:rPr>
                    <w:t>1)</w:t>
                  </w:r>
                </w:p>
              </w:tc>
              <w:tc>
                <w:tcPr>
                  <w:tcW w:w="0" w:type="auto"/>
                  <w:shd w:val="clear" w:color="auto" w:fill="auto"/>
                  <w:vAlign w:val="center"/>
                  <w:hideMark/>
                </w:tcPr>
                <w:p w14:paraId="740614C9" w14:textId="77777777" w:rsidR="00BA0F9A" w:rsidRDefault="00BA0F9A">
                  <w:pPr>
                    <w:jc w:val="center"/>
                    <w:rPr>
                      <w:b/>
                      <w:bCs/>
                    </w:rPr>
                  </w:pPr>
                  <w:r>
                    <w:rPr>
                      <w:b/>
                      <w:bCs/>
                    </w:rPr>
                    <w:t>1</w:t>
                  </w:r>
                </w:p>
              </w:tc>
              <w:tc>
                <w:tcPr>
                  <w:tcW w:w="0" w:type="auto"/>
                  <w:shd w:val="clear" w:color="auto" w:fill="auto"/>
                  <w:vAlign w:val="center"/>
                  <w:hideMark/>
                </w:tcPr>
                <w:p w14:paraId="28584C98" w14:textId="77777777" w:rsidR="00BA0F9A" w:rsidRDefault="00BA0F9A">
                  <w:pPr>
                    <w:jc w:val="center"/>
                    <w:rPr>
                      <w:b/>
                      <w:bCs/>
                    </w:rPr>
                  </w:pPr>
                  <w:r>
                    <w:rPr>
                      <w:b/>
                      <w:bCs/>
                    </w:rPr>
                    <w:t>2</w:t>
                  </w:r>
                </w:p>
              </w:tc>
              <w:tc>
                <w:tcPr>
                  <w:tcW w:w="0" w:type="auto"/>
                  <w:shd w:val="clear" w:color="auto" w:fill="auto"/>
                  <w:vAlign w:val="center"/>
                  <w:hideMark/>
                </w:tcPr>
                <w:p w14:paraId="5E7F3A82" w14:textId="77777777" w:rsidR="00BA0F9A" w:rsidRDefault="00BA0F9A">
                  <w:pPr>
                    <w:jc w:val="center"/>
                    <w:rPr>
                      <w:b/>
                      <w:bCs/>
                    </w:rPr>
                  </w:pPr>
                  <w:r>
                    <w:rPr>
                      <w:b/>
                      <w:bCs/>
                    </w:rPr>
                    <w:t>3</w:t>
                  </w:r>
                </w:p>
              </w:tc>
              <w:tc>
                <w:tcPr>
                  <w:tcW w:w="0" w:type="auto"/>
                  <w:shd w:val="clear" w:color="auto" w:fill="auto"/>
                  <w:vAlign w:val="center"/>
                  <w:hideMark/>
                </w:tcPr>
                <w:p w14:paraId="51F47E84" w14:textId="77777777" w:rsidR="00BA0F9A" w:rsidRDefault="00BA0F9A">
                  <w:pPr>
                    <w:jc w:val="center"/>
                    <w:rPr>
                      <w:b/>
                      <w:bCs/>
                    </w:rPr>
                  </w:pPr>
                  <w:r>
                    <w:rPr>
                      <w:b/>
                      <w:bCs/>
                    </w:rPr>
                    <w:t>4</w:t>
                  </w:r>
                </w:p>
              </w:tc>
            </w:tr>
            <w:tr w:rsidR="00BA0F9A" w14:paraId="4B7A4EBA" w14:textId="77777777" w:rsidTr="00BA0F9A">
              <w:trPr>
                <w:jc w:val="center"/>
              </w:trPr>
              <w:tc>
                <w:tcPr>
                  <w:tcW w:w="0" w:type="auto"/>
                  <w:shd w:val="clear" w:color="auto" w:fill="auto"/>
                  <w:hideMark/>
                </w:tcPr>
                <w:p w14:paraId="2D977E00" w14:textId="77777777" w:rsidR="00BA0F9A" w:rsidRDefault="00BA0F9A">
                  <w:r>
                    <w:t>Electric Utilities</w:t>
                  </w:r>
                  <w:r>
                    <w:br/>
                  </w:r>
                  <w:r>
                    <w:br/>
                    <w:t xml:space="preserve">Metering </w:t>
                  </w:r>
                  <w:proofErr w:type="gramStart"/>
                  <w:r>
                    <w:t>Central</w:t>
                  </w:r>
                  <w:r>
                    <w:rPr>
                      <w:rFonts w:ascii="inherit" w:hAnsi="inherit"/>
                      <w:sz w:val="18"/>
                      <w:szCs w:val="18"/>
                      <w:bdr w:val="none" w:sz="0" w:space="0" w:color="auto" w:frame="1"/>
                      <w:vertAlign w:val="superscript"/>
                    </w:rPr>
                    <w:t>(</w:t>
                  </w:r>
                  <w:proofErr w:type="gramEnd"/>
                  <w:r>
                    <w:rPr>
                      <w:rFonts w:ascii="inherit" w:hAnsi="inherit"/>
                      <w:sz w:val="18"/>
                      <w:szCs w:val="18"/>
                      <w:bdr w:val="none" w:sz="0" w:space="0" w:color="auto" w:frame="1"/>
                      <w:vertAlign w:val="superscript"/>
                    </w:rPr>
                    <w:t>2)</w:t>
                  </w:r>
                </w:p>
              </w:tc>
              <w:tc>
                <w:tcPr>
                  <w:tcW w:w="0" w:type="auto"/>
                  <w:shd w:val="clear" w:color="auto" w:fill="auto"/>
                  <w:vAlign w:val="bottom"/>
                  <w:hideMark/>
                </w:tcPr>
                <w:p w14:paraId="27C99666" w14:textId="77777777" w:rsidR="00BA0F9A" w:rsidRDefault="00BA0F9A">
                  <w:pPr>
                    <w:jc w:val="right"/>
                  </w:pPr>
                  <w:r>
                    <w:t>$55</w:t>
                  </w:r>
                </w:p>
              </w:tc>
              <w:tc>
                <w:tcPr>
                  <w:tcW w:w="0" w:type="auto"/>
                  <w:shd w:val="clear" w:color="auto" w:fill="auto"/>
                  <w:vAlign w:val="bottom"/>
                  <w:hideMark/>
                </w:tcPr>
                <w:p w14:paraId="7B9B9D12" w14:textId="77777777" w:rsidR="00BA0F9A" w:rsidRDefault="00BA0F9A">
                  <w:pPr>
                    <w:jc w:val="right"/>
                  </w:pPr>
                  <w:r>
                    <w:t>$85</w:t>
                  </w:r>
                </w:p>
              </w:tc>
              <w:tc>
                <w:tcPr>
                  <w:tcW w:w="0" w:type="auto"/>
                  <w:shd w:val="clear" w:color="auto" w:fill="auto"/>
                  <w:vAlign w:val="bottom"/>
                  <w:hideMark/>
                </w:tcPr>
                <w:p w14:paraId="1BE5A976" w14:textId="77777777" w:rsidR="00BA0F9A" w:rsidRDefault="00BA0F9A">
                  <w:pPr>
                    <w:jc w:val="right"/>
                  </w:pPr>
                  <w:r>
                    <w:t>$120</w:t>
                  </w:r>
                </w:p>
              </w:tc>
              <w:tc>
                <w:tcPr>
                  <w:tcW w:w="0" w:type="auto"/>
                  <w:shd w:val="clear" w:color="auto" w:fill="auto"/>
                  <w:vAlign w:val="bottom"/>
                  <w:hideMark/>
                </w:tcPr>
                <w:p w14:paraId="54A2D953" w14:textId="77777777" w:rsidR="00BA0F9A" w:rsidRDefault="00BA0F9A">
                  <w:pPr>
                    <w:jc w:val="right"/>
                  </w:pPr>
                  <w:r>
                    <w:t>$135</w:t>
                  </w:r>
                </w:p>
              </w:tc>
              <w:tc>
                <w:tcPr>
                  <w:tcW w:w="0" w:type="auto"/>
                  <w:shd w:val="clear" w:color="auto" w:fill="auto"/>
                  <w:vAlign w:val="bottom"/>
                  <w:hideMark/>
                </w:tcPr>
                <w:p w14:paraId="06782D9B" w14:textId="77777777" w:rsidR="00BA0F9A" w:rsidRDefault="00BA0F9A">
                  <w:pPr>
                    <w:jc w:val="right"/>
                  </w:pPr>
                  <w:r>
                    <w:t>$150</w:t>
                  </w:r>
                </w:p>
              </w:tc>
            </w:tr>
            <w:tr w:rsidR="00BA0F9A" w14:paraId="5F1406A2" w14:textId="77777777" w:rsidTr="00BA0F9A">
              <w:trPr>
                <w:jc w:val="center"/>
              </w:trPr>
              <w:tc>
                <w:tcPr>
                  <w:tcW w:w="0" w:type="auto"/>
                  <w:shd w:val="clear" w:color="auto" w:fill="auto"/>
                  <w:hideMark/>
                </w:tcPr>
                <w:p w14:paraId="2E2B10FC" w14:textId="77777777" w:rsidR="00BA0F9A" w:rsidRDefault="00BA0F9A">
                  <w:r>
                    <w:t xml:space="preserve">Partially </w:t>
                  </w:r>
                  <w:proofErr w:type="gramStart"/>
                  <w:r>
                    <w:t>Metered</w:t>
                  </w:r>
                  <w:r>
                    <w:rPr>
                      <w:rFonts w:ascii="inherit" w:hAnsi="inherit"/>
                      <w:sz w:val="18"/>
                      <w:szCs w:val="18"/>
                      <w:bdr w:val="none" w:sz="0" w:space="0" w:color="auto" w:frame="1"/>
                      <w:vertAlign w:val="superscript"/>
                    </w:rPr>
                    <w:t>(</w:t>
                  </w:r>
                  <w:proofErr w:type="gramEnd"/>
                  <w:r>
                    <w:rPr>
                      <w:rFonts w:ascii="inherit" w:hAnsi="inherit"/>
                      <w:sz w:val="18"/>
                      <w:szCs w:val="18"/>
                      <w:bdr w:val="none" w:sz="0" w:space="0" w:color="auto" w:frame="1"/>
                      <w:vertAlign w:val="superscript"/>
                    </w:rPr>
                    <w:t>3)</w:t>
                  </w:r>
                </w:p>
              </w:tc>
              <w:tc>
                <w:tcPr>
                  <w:tcW w:w="0" w:type="auto"/>
                  <w:shd w:val="clear" w:color="auto" w:fill="auto"/>
                  <w:hideMark/>
                </w:tcPr>
                <w:p w14:paraId="45375E1A" w14:textId="77777777" w:rsidR="00BA0F9A" w:rsidRDefault="00BA0F9A">
                  <w:pPr>
                    <w:jc w:val="right"/>
                  </w:pPr>
                  <w:r>
                    <w:t>45</w:t>
                  </w:r>
                </w:p>
              </w:tc>
              <w:tc>
                <w:tcPr>
                  <w:tcW w:w="0" w:type="auto"/>
                  <w:shd w:val="clear" w:color="auto" w:fill="auto"/>
                  <w:hideMark/>
                </w:tcPr>
                <w:p w14:paraId="7821DB04" w14:textId="77777777" w:rsidR="00BA0F9A" w:rsidRDefault="00BA0F9A">
                  <w:pPr>
                    <w:jc w:val="right"/>
                  </w:pPr>
                  <w:r>
                    <w:t>70</w:t>
                  </w:r>
                </w:p>
              </w:tc>
              <w:tc>
                <w:tcPr>
                  <w:tcW w:w="0" w:type="auto"/>
                  <w:shd w:val="clear" w:color="auto" w:fill="auto"/>
                  <w:hideMark/>
                </w:tcPr>
                <w:p w14:paraId="45DC24E9" w14:textId="77777777" w:rsidR="00BA0F9A" w:rsidRDefault="00BA0F9A">
                  <w:pPr>
                    <w:jc w:val="right"/>
                  </w:pPr>
                  <w:r>
                    <w:t>80</w:t>
                  </w:r>
                </w:p>
              </w:tc>
              <w:tc>
                <w:tcPr>
                  <w:tcW w:w="0" w:type="auto"/>
                  <w:shd w:val="clear" w:color="auto" w:fill="auto"/>
                  <w:hideMark/>
                </w:tcPr>
                <w:p w14:paraId="2980CD3F" w14:textId="77777777" w:rsidR="00BA0F9A" w:rsidRDefault="00BA0F9A">
                  <w:pPr>
                    <w:jc w:val="right"/>
                  </w:pPr>
                  <w:r>
                    <w:t>90</w:t>
                  </w:r>
                </w:p>
              </w:tc>
              <w:tc>
                <w:tcPr>
                  <w:tcW w:w="0" w:type="auto"/>
                  <w:shd w:val="clear" w:color="auto" w:fill="auto"/>
                  <w:hideMark/>
                </w:tcPr>
                <w:p w14:paraId="4D4EB21E" w14:textId="77777777" w:rsidR="00BA0F9A" w:rsidRDefault="00BA0F9A">
                  <w:pPr>
                    <w:jc w:val="right"/>
                  </w:pPr>
                  <w:r>
                    <w:t>100</w:t>
                  </w:r>
                </w:p>
              </w:tc>
            </w:tr>
            <w:tr w:rsidR="00BA0F9A" w14:paraId="361BD9E9" w14:textId="77777777" w:rsidTr="00BA0F9A">
              <w:trPr>
                <w:jc w:val="center"/>
              </w:trPr>
              <w:tc>
                <w:tcPr>
                  <w:tcW w:w="0" w:type="auto"/>
                  <w:shd w:val="clear" w:color="auto" w:fill="auto"/>
                  <w:hideMark/>
                </w:tcPr>
                <w:p w14:paraId="1E4F579C" w14:textId="77777777" w:rsidR="00BA0F9A" w:rsidRDefault="00BA0F9A">
                  <w:r>
                    <w:t xml:space="preserve">In-Unit Washer and </w:t>
                  </w:r>
                  <w:proofErr w:type="gramStart"/>
                  <w:r>
                    <w:t>Dryer</w:t>
                  </w:r>
                  <w:r>
                    <w:rPr>
                      <w:rFonts w:ascii="inherit" w:hAnsi="inherit"/>
                      <w:sz w:val="18"/>
                      <w:szCs w:val="18"/>
                      <w:bdr w:val="none" w:sz="0" w:space="0" w:color="auto" w:frame="1"/>
                      <w:vertAlign w:val="superscript"/>
                    </w:rPr>
                    <w:t>(</w:t>
                  </w:r>
                  <w:proofErr w:type="gramEnd"/>
                  <w:r>
                    <w:rPr>
                      <w:rFonts w:ascii="inherit" w:hAnsi="inherit"/>
                      <w:sz w:val="18"/>
                      <w:szCs w:val="18"/>
                      <w:bdr w:val="none" w:sz="0" w:space="0" w:color="auto" w:frame="1"/>
                      <w:vertAlign w:val="superscript"/>
                    </w:rPr>
                    <w:t>4)</w:t>
                  </w:r>
                </w:p>
              </w:tc>
              <w:tc>
                <w:tcPr>
                  <w:tcW w:w="0" w:type="auto"/>
                  <w:shd w:val="clear" w:color="auto" w:fill="auto"/>
                  <w:hideMark/>
                </w:tcPr>
                <w:p w14:paraId="64E0BE95" w14:textId="77777777" w:rsidR="00BA0F9A" w:rsidRDefault="00BA0F9A">
                  <w:pPr>
                    <w:jc w:val="right"/>
                  </w:pPr>
                  <w:r>
                    <w:t>25</w:t>
                  </w:r>
                </w:p>
              </w:tc>
              <w:tc>
                <w:tcPr>
                  <w:tcW w:w="0" w:type="auto"/>
                  <w:shd w:val="clear" w:color="auto" w:fill="auto"/>
                  <w:hideMark/>
                </w:tcPr>
                <w:p w14:paraId="1CFC3BD6" w14:textId="77777777" w:rsidR="00BA0F9A" w:rsidRDefault="00BA0F9A">
                  <w:pPr>
                    <w:jc w:val="right"/>
                  </w:pPr>
                  <w:r>
                    <w:t>25</w:t>
                  </w:r>
                </w:p>
              </w:tc>
              <w:tc>
                <w:tcPr>
                  <w:tcW w:w="0" w:type="auto"/>
                  <w:shd w:val="clear" w:color="auto" w:fill="auto"/>
                  <w:hideMark/>
                </w:tcPr>
                <w:p w14:paraId="13905530" w14:textId="77777777" w:rsidR="00BA0F9A" w:rsidRDefault="00BA0F9A">
                  <w:pPr>
                    <w:jc w:val="right"/>
                  </w:pPr>
                  <w:r>
                    <w:t>25</w:t>
                  </w:r>
                </w:p>
              </w:tc>
              <w:tc>
                <w:tcPr>
                  <w:tcW w:w="0" w:type="auto"/>
                  <w:shd w:val="clear" w:color="auto" w:fill="auto"/>
                  <w:hideMark/>
                </w:tcPr>
                <w:p w14:paraId="2320E11D" w14:textId="77777777" w:rsidR="00BA0F9A" w:rsidRDefault="00BA0F9A">
                  <w:pPr>
                    <w:jc w:val="right"/>
                  </w:pPr>
                  <w:r>
                    <w:t>25</w:t>
                  </w:r>
                </w:p>
              </w:tc>
              <w:tc>
                <w:tcPr>
                  <w:tcW w:w="0" w:type="auto"/>
                  <w:shd w:val="clear" w:color="auto" w:fill="auto"/>
                  <w:hideMark/>
                </w:tcPr>
                <w:p w14:paraId="3F68E4BC" w14:textId="77777777" w:rsidR="00BA0F9A" w:rsidRDefault="00BA0F9A">
                  <w:pPr>
                    <w:jc w:val="right"/>
                  </w:pPr>
                  <w:r>
                    <w:t>25</w:t>
                  </w:r>
                </w:p>
              </w:tc>
            </w:tr>
            <w:tr w:rsidR="00BA0F9A" w14:paraId="2DDAD882" w14:textId="77777777" w:rsidTr="00BA0F9A">
              <w:trPr>
                <w:jc w:val="center"/>
              </w:trPr>
              <w:tc>
                <w:tcPr>
                  <w:tcW w:w="0" w:type="auto"/>
                  <w:shd w:val="clear" w:color="auto" w:fill="auto"/>
                  <w:hideMark/>
                </w:tcPr>
                <w:p w14:paraId="6583A2C6" w14:textId="77777777" w:rsidR="00BA0F9A" w:rsidRDefault="00BA0F9A">
                  <w:r>
                    <w:t>Woodburning/Gas Fireplace</w:t>
                  </w:r>
                </w:p>
              </w:tc>
              <w:tc>
                <w:tcPr>
                  <w:tcW w:w="0" w:type="auto"/>
                  <w:shd w:val="clear" w:color="auto" w:fill="auto"/>
                  <w:hideMark/>
                </w:tcPr>
                <w:p w14:paraId="06086BB0" w14:textId="77777777" w:rsidR="00BA0F9A" w:rsidRDefault="00BA0F9A">
                  <w:pPr>
                    <w:jc w:val="right"/>
                  </w:pPr>
                  <w:r>
                    <w:t>-</w:t>
                  </w:r>
                </w:p>
              </w:tc>
              <w:tc>
                <w:tcPr>
                  <w:tcW w:w="0" w:type="auto"/>
                  <w:shd w:val="clear" w:color="auto" w:fill="auto"/>
                  <w:hideMark/>
                </w:tcPr>
                <w:p w14:paraId="0C17E5AE" w14:textId="77777777" w:rsidR="00BA0F9A" w:rsidRDefault="00BA0F9A">
                  <w:pPr>
                    <w:jc w:val="right"/>
                  </w:pPr>
                  <w:r>
                    <w:t>15</w:t>
                  </w:r>
                </w:p>
              </w:tc>
              <w:tc>
                <w:tcPr>
                  <w:tcW w:w="0" w:type="auto"/>
                  <w:shd w:val="clear" w:color="auto" w:fill="auto"/>
                  <w:hideMark/>
                </w:tcPr>
                <w:p w14:paraId="0BD2F42B" w14:textId="77777777" w:rsidR="00BA0F9A" w:rsidRDefault="00BA0F9A">
                  <w:pPr>
                    <w:jc w:val="right"/>
                  </w:pPr>
                  <w:r>
                    <w:t>15</w:t>
                  </w:r>
                </w:p>
              </w:tc>
              <w:tc>
                <w:tcPr>
                  <w:tcW w:w="0" w:type="auto"/>
                  <w:shd w:val="clear" w:color="auto" w:fill="auto"/>
                  <w:hideMark/>
                </w:tcPr>
                <w:p w14:paraId="36EDD2B0" w14:textId="77777777" w:rsidR="00BA0F9A" w:rsidRDefault="00BA0F9A">
                  <w:pPr>
                    <w:jc w:val="right"/>
                  </w:pPr>
                  <w:r>
                    <w:t>15</w:t>
                  </w:r>
                </w:p>
              </w:tc>
              <w:tc>
                <w:tcPr>
                  <w:tcW w:w="0" w:type="auto"/>
                  <w:shd w:val="clear" w:color="auto" w:fill="auto"/>
                  <w:hideMark/>
                </w:tcPr>
                <w:p w14:paraId="5CB88533" w14:textId="77777777" w:rsidR="00BA0F9A" w:rsidRDefault="00BA0F9A">
                  <w:pPr>
                    <w:jc w:val="right"/>
                  </w:pPr>
                  <w:r>
                    <w:t>15</w:t>
                  </w:r>
                </w:p>
              </w:tc>
            </w:tr>
            <w:tr w:rsidR="00BA0F9A" w14:paraId="2BF23B24" w14:textId="77777777" w:rsidTr="00BA0F9A">
              <w:trPr>
                <w:jc w:val="center"/>
              </w:trPr>
              <w:tc>
                <w:tcPr>
                  <w:tcW w:w="0" w:type="auto"/>
                  <w:shd w:val="clear" w:color="auto" w:fill="auto"/>
                  <w:hideMark/>
                </w:tcPr>
                <w:p w14:paraId="3FB0CB0B" w14:textId="77777777" w:rsidR="00BA0F9A" w:rsidRDefault="00BA0F9A">
                  <w:r>
                    <w:t>Direct Access (to unit) Garage</w:t>
                  </w:r>
                </w:p>
              </w:tc>
              <w:tc>
                <w:tcPr>
                  <w:tcW w:w="0" w:type="auto"/>
                  <w:shd w:val="clear" w:color="auto" w:fill="auto"/>
                  <w:hideMark/>
                </w:tcPr>
                <w:p w14:paraId="7C6A3A56" w14:textId="77777777" w:rsidR="00BA0F9A" w:rsidRDefault="00BA0F9A">
                  <w:pPr>
                    <w:jc w:val="right"/>
                  </w:pPr>
                  <w:r>
                    <w:t>-</w:t>
                  </w:r>
                </w:p>
              </w:tc>
              <w:tc>
                <w:tcPr>
                  <w:tcW w:w="0" w:type="auto"/>
                  <w:shd w:val="clear" w:color="auto" w:fill="auto"/>
                  <w:hideMark/>
                </w:tcPr>
                <w:p w14:paraId="124CF12D" w14:textId="77777777" w:rsidR="00BA0F9A" w:rsidRDefault="00BA0F9A">
                  <w:pPr>
                    <w:jc w:val="right"/>
                  </w:pPr>
                  <w:r>
                    <w:t>70</w:t>
                  </w:r>
                </w:p>
              </w:tc>
              <w:tc>
                <w:tcPr>
                  <w:tcW w:w="0" w:type="auto"/>
                  <w:shd w:val="clear" w:color="auto" w:fill="auto"/>
                  <w:hideMark/>
                </w:tcPr>
                <w:p w14:paraId="2CCD0F9C" w14:textId="77777777" w:rsidR="00BA0F9A" w:rsidRDefault="00BA0F9A">
                  <w:pPr>
                    <w:jc w:val="right"/>
                  </w:pPr>
                  <w:r>
                    <w:t>70</w:t>
                  </w:r>
                </w:p>
              </w:tc>
              <w:tc>
                <w:tcPr>
                  <w:tcW w:w="0" w:type="auto"/>
                  <w:shd w:val="clear" w:color="auto" w:fill="auto"/>
                  <w:hideMark/>
                </w:tcPr>
                <w:p w14:paraId="51DC995B" w14:textId="77777777" w:rsidR="00BA0F9A" w:rsidRDefault="00BA0F9A">
                  <w:pPr>
                    <w:jc w:val="right"/>
                  </w:pPr>
                  <w:r>
                    <w:t>70</w:t>
                  </w:r>
                </w:p>
              </w:tc>
              <w:tc>
                <w:tcPr>
                  <w:tcW w:w="0" w:type="auto"/>
                  <w:shd w:val="clear" w:color="auto" w:fill="auto"/>
                  <w:hideMark/>
                </w:tcPr>
                <w:p w14:paraId="16F40F0E" w14:textId="77777777" w:rsidR="00BA0F9A" w:rsidRDefault="00BA0F9A">
                  <w:pPr>
                    <w:jc w:val="right"/>
                  </w:pPr>
                  <w:r>
                    <w:t>70</w:t>
                  </w:r>
                </w:p>
              </w:tc>
            </w:tr>
            <w:tr w:rsidR="00BA0F9A" w14:paraId="0040F631" w14:textId="77777777" w:rsidTr="00BA0F9A">
              <w:trPr>
                <w:jc w:val="center"/>
              </w:trPr>
              <w:tc>
                <w:tcPr>
                  <w:tcW w:w="0" w:type="auto"/>
                  <w:shd w:val="clear" w:color="auto" w:fill="auto"/>
                  <w:hideMark/>
                </w:tcPr>
                <w:p w14:paraId="06D3B09E" w14:textId="77777777" w:rsidR="00BA0F9A" w:rsidRDefault="00BA0F9A">
                  <w:r>
                    <w:t>Furnished Unit</w:t>
                  </w:r>
                </w:p>
              </w:tc>
              <w:tc>
                <w:tcPr>
                  <w:tcW w:w="0" w:type="auto"/>
                  <w:shd w:val="clear" w:color="auto" w:fill="auto"/>
                  <w:hideMark/>
                </w:tcPr>
                <w:p w14:paraId="022B5D64" w14:textId="77777777" w:rsidR="00BA0F9A" w:rsidRDefault="00BA0F9A">
                  <w:pPr>
                    <w:jc w:val="right"/>
                  </w:pPr>
                  <w:r>
                    <w:t>20</w:t>
                  </w:r>
                </w:p>
              </w:tc>
              <w:tc>
                <w:tcPr>
                  <w:tcW w:w="0" w:type="auto"/>
                  <w:shd w:val="clear" w:color="auto" w:fill="auto"/>
                  <w:hideMark/>
                </w:tcPr>
                <w:p w14:paraId="54AA7D73" w14:textId="77777777" w:rsidR="00BA0F9A" w:rsidRDefault="00BA0F9A">
                  <w:pPr>
                    <w:jc w:val="right"/>
                  </w:pPr>
                  <w:r>
                    <w:t>20</w:t>
                  </w:r>
                </w:p>
              </w:tc>
              <w:tc>
                <w:tcPr>
                  <w:tcW w:w="0" w:type="auto"/>
                  <w:shd w:val="clear" w:color="auto" w:fill="auto"/>
                  <w:hideMark/>
                </w:tcPr>
                <w:p w14:paraId="2B9B807E" w14:textId="77777777" w:rsidR="00BA0F9A" w:rsidRDefault="00BA0F9A">
                  <w:pPr>
                    <w:jc w:val="right"/>
                  </w:pPr>
                  <w:r>
                    <w:t>20</w:t>
                  </w:r>
                </w:p>
              </w:tc>
              <w:tc>
                <w:tcPr>
                  <w:tcW w:w="0" w:type="auto"/>
                  <w:shd w:val="clear" w:color="auto" w:fill="auto"/>
                  <w:hideMark/>
                </w:tcPr>
                <w:p w14:paraId="079D38D8" w14:textId="77777777" w:rsidR="00BA0F9A" w:rsidRDefault="00BA0F9A">
                  <w:pPr>
                    <w:jc w:val="right"/>
                  </w:pPr>
                  <w:r>
                    <w:t>20</w:t>
                  </w:r>
                </w:p>
              </w:tc>
              <w:tc>
                <w:tcPr>
                  <w:tcW w:w="0" w:type="auto"/>
                  <w:shd w:val="clear" w:color="auto" w:fill="auto"/>
                  <w:hideMark/>
                </w:tcPr>
                <w:p w14:paraId="359A6C7E" w14:textId="77777777" w:rsidR="00BA0F9A" w:rsidRDefault="00BA0F9A">
                  <w:pPr>
                    <w:jc w:val="right"/>
                  </w:pPr>
                  <w:r>
                    <w:t>20</w:t>
                  </w:r>
                </w:p>
              </w:tc>
            </w:tr>
          </w:tbl>
          <w:p w14:paraId="5731762A" w14:textId="77777777" w:rsidR="00BA0F9A" w:rsidRDefault="00BA0F9A" w:rsidP="00BA0F9A">
            <w:pPr>
              <w:pStyle w:val="Heading3"/>
              <w:spacing w:before="168" w:after="120" w:line="288" w:lineRule="atLeast"/>
              <w:textAlignment w:val="baseline"/>
              <w:rPr>
                <w:rFonts w:ascii="Arial" w:hAnsi="Arial" w:cs="Arial"/>
                <w:color w:val="2B76A9"/>
                <w:sz w:val="30"/>
                <w:szCs w:val="30"/>
              </w:rPr>
            </w:pPr>
            <w:r>
              <w:rPr>
                <w:rFonts w:ascii="Arial" w:hAnsi="Arial" w:cs="Arial"/>
                <w:b/>
                <w:bCs/>
                <w:color w:val="2B76A9"/>
                <w:sz w:val="30"/>
                <w:szCs w:val="30"/>
              </w:rPr>
              <w:t>Notes</w:t>
            </w:r>
          </w:p>
          <w:p w14:paraId="1F8F0439" w14:textId="77777777" w:rsidR="00BA0F9A" w:rsidRDefault="00BA0F9A" w:rsidP="00BA0F9A">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sz w:val="18"/>
                <w:szCs w:val="18"/>
                <w:bdr w:val="none" w:sz="0" w:space="0" w:color="auto" w:frame="1"/>
                <w:vertAlign w:val="superscript"/>
              </w:rPr>
              <w:t>(1)</w:t>
            </w:r>
            <w:r>
              <w:rPr>
                <w:rFonts w:ascii="inherit" w:hAnsi="inherit" w:cs="Arial"/>
                <w:color w:val="1A1A1A"/>
              </w:rPr>
              <w:t> Efficiency apartment unit deductions are assigned the same value as Studio floor plan deductions.</w:t>
            </w:r>
          </w:p>
          <w:p w14:paraId="4CA1D433" w14:textId="77777777" w:rsidR="00BA0F9A" w:rsidRDefault="00BA0F9A" w:rsidP="00BA0F9A">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sz w:val="18"/>
                <w:szCs w:val="18"/>
                <w:bdr w:val="none" w:sz="0" w:space="0" w:color="auto" w:frame="1"/>
                <w:vertAlign w:val="superscript"/>
              </w:rPr>
              <w:t>(</w:t>
            </w:r>
            <w:proofErr w:type="gramStart"/>
            <w:r>
              <w:rPr>
                <w:rFonts w:ascii="inherit" w:hAnsi="inherit" w:cs="Arial"/>
                <w:color w:val="1A1A1A"/>
                <w:sz w:val="18"/>
                <w:szCs w:val="18"/>
                <w:bdr w:val="none" w:sz="0" w:space="0" w:color="auto" w:frame="1"/>
                <w:vertAlign w:val="superscript"/>
              </w:rPr>
              <w:t>2)</w:t>
            </w:r>
            <w:r>
              <w:rPr>
                <w:rFonts w:ascii="inherit" w:hAnsi="inherit" w:cs="Arial"/>
                <w:color w:val="1A1A1A"/>
              </w:rPr>
              <w:t>Property</w:t>
            </w:r>
            <w:proofErr w:type="gramEnd"/>
            <w:r>
              <w:rPr>
                <w:rFonts w:ascii="inherit" w:hAnsi="inherit" w:cs="Arial"/>
                <w:color w:val="1A1A1A"/>
              </w:rPr>
              <w:t xml:space="preserve"> pays expense for all electric utility usage.</w:t>
            </w:r>
          </w:p>
          <w:p w14:paraId="77568C07" w14:textId="77777777" w:rsidR="00BA0F9A" w:rsidRDefault="00BA0F9A" w:rsidP="00BA0F9A">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sz w:val="18"/>
                <w:szCs w:val="18"/>
                <w:bdr w:val="none" w:sz="0" w:space="0" w:color="auto" w:frame="1"/>
                <w:vertAlign w:val="superscript"/>
              </w:rPr>
              <w:t>(3) </w:t>
            </w:r>
            <w:r>
              <w:rPr>
                <w:rFonts w:ascii="inherit" w:hAnsi="inherit" w:cs="Arial"/>
                <w:color w:val="1A1A1A"/>
              </w:rPr>
              <w:t xml:space="preserve">Property provides air conditioning only. Residents pay individually metered electric expense for heat, </w:t>
            </w:r>
            <w:proofErr w:type="gramStart"/>
            <w:r>
              <w:rPr>
                <w:rFonts w:ascii="inherit" w:hAnsi="inherit" w:cs="Arial"/>
                <w:color w:val="1A1A1A"/>
              </w:rPr>
              <w:t>lights</w:t>
            </w:r>
            <w:proofErr w:type="gramEnd"/>
            <w:r>
              <w:rPr>
                <w:rFonts w:ascii="inherit" w:hAnsi="inherit" w:cs="Arial"/>
                <w:color w:val="1A1A1A"/>
              </w:rPr>
              <w:t xml:space="preserve"> and plug-ins.</w:t>
            </w:r>
          </w:p>
          <w:p w14:paraId="4E46F123" w14:textId="77777777" w:rsidR="00BA0F9A" w:rsidRDefault="00BA0F9A" w:rsidP="00BA0F9A">
            <w:pPr>
              <w:pStyle w:val="NormalWeb"/>
              <w:spacing w:before="0" w:beforeAutospacing="0" w:after="0" w:afterAutospacing="0" w:line="360" w:lineRule="atLeast"/>
              <w:textAlignment w:val="baseline"/>
              <w:rPr>
                <w:rFonts w:ascii="inherit" w:hAnsi="inherit" w:cs="Arial"/>
                <w:color w:val="1A1A1A"/>
              </w:rPr>
            </w:pPr>
            <w:r>
              <w:rPr>
                <w:rFonts w:ascii="inherit" w:hAnsi="inherit" w:cs="Arial"/>
                <w:color w:val="1A1A1A"/>
                <w:sz w:val="18"/>
                <w:szCs w:val="18"/>
                <w:bdr w:val="none" w:sz="0" w:space="0" w:color="auto" w:frame="1"/>
                <w:vertAlign w:val="superscript"/>
              </w:rPr>
              <w:t>(4) </w:t>
            </w:r>
            <w:r>
              <w:rPr>
                <w:rFonts w:ascii="inherit" w:hAnsi="inherit" w:cs="Arial"/>
                <w:color w:val="1A1A1A"/>
              </w:rPr>
              <w:t>No distinction is attributed to type (stacked, or side-by-side, units), or size (full-size, or three-quarter size) of washer/dryer units. This amenity assumes washers and dryers are included with each apartment, and that apartment rents reflect that advantage.</w:t>
            </w:r>
          </w:p>
          <w:p w14:paraId="129DAAA7" w14:textId="77777777" w:rsidR="00BA0F9A" w:rsidRDefault="00BA0F9A" w:rsidP="00BA0F9A">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Additions To Street Rental Rates</w:t>
            </w:r>
          </w:p>
          <w:p w14:paraId="45A88177" w14:textId="77777777" w:rsidR="00BA0F9A" w:rsidRDefault="00BA0F9A" w:rsidP="00BA0F9A">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When the resident is made responsible for payment of trash collection, water, or sewer charges either through a RUBS (Resident Utilities Billing System), or direct metering, this condition is to the Actual rent, resulting in adjustment to a "Market Standard" rental rate.</w:t>
            </w:r>
          </w:p>
          <w:p w14:paraId="6C7B7FEE" w14:textId="77777777" w:rsidR="00BA0F9A" w:rsidRDefault="00BA0F9A" w:rsidP="00BA0F9A">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Additions to Actual rental rates result from inclusion of water, sewer and trash collection charges paid by residents, as:</w:t>
            </w:r>
          </w:p>
          <w:tbl>
            <w:tblPr>
              <w:tblW w:w="0" w:type="auto"/>
              <w:jc w:val="center"/>
              <w:tblCellMar>
                <w:top w:w="60" w:type="dxa"/>
                <w:left w:w="60" w:type="dxa"/>
                <w:bottom w:w="60" w:type="dxa"/>
                <w:right w:w="60" w:type="dxa"/>
              </w:tblCellMar>
              <w:tblLook w:val="04A0" w:firstRow="1" w:lastRow="0" w:firstColumn="1" w:lastColumn="0" w:noHBand="0" w:noVBand="1"/>
            </w:tblPr>
            <w:tblGrid>
              <w:gridCol w:w="1554"/>
              <w:gridCol w:w="878"/>
              <w:gridCol w:w="455"/>
              <w:gridCol w:w="455"/>
              <w:gridCol w:w="455"/>
              <w:gridCol w:w="455"/>
            </w:tblGrid>
            <w:tr w:rsidR="00BA0F9A" w14:paraId="4C1DCEB8" w14:textId="77777777" w:rsidTr="00BA0F9A">
              <w:trPr>
                <w:jc w:val="center"/>
              </w:trPr>
              <w:tc>
                <w:tcPr>
                  <w:tcW w:w="0" w:type="auto"/>
                  <w:gridSpan w:val="6"/>
                  <w:shd w:val="clear" w:color="auto" w:fill="auto"/>
                  <w:vAlign w:val="center"/>
                  <w:hideMark/>
                </w:tcPr>
                <w:p w14:paraId="58E7B529" w14:textId="77777777" w:rsidR="00BA0F9A" w:rsidRDefault="00BA0F9A">
                  <w:pPr>
                    <w:jc w:val="center"/>
                    <w:rPr>
                      <w:rFonts w:ascii="Times New Roman" w:hAnsi="Times New Roman" w:cs="Times New Roman"/>
                      <w:b/>
                      <w:bCs/>
                    </w:rPr>
                  </w:pPr>
                  <w:r>
                    <w:rPr>
                      <w:b/>
                      <w:bCs/>
                    </w:rPr>
                    <w:t>Unit Type/Number of Bedrooms</w:t>
                  </w:r>
                </w:p>
              </w:tc>
            </w:tr>
            <w:tr w:rsidR="00BA0F9A" w14:paraId="53116E57" w14:textId="77777777" w:rsidTr="00BA0F9A">
              <w:trPr>
                <w:jc w:val="center"/>
              </w:trPr>
              <w:tc>
                <w:tcPr>
                  <w:tcW w:w="0" w:type="auto"/>
                  <w:shd w:val="clear" w:color="auto" w:fill="auto"/>
                  <w:vAlign w:val="center"/>
                  <w:hideMark/>
                </w:tcPr>
                <w:p w14:paraId="2E90471B" w14:textId="77777777" w:rsidR="00BA0F9A" w:rsidRDefault="00BA0F9A">
                  <w:pPr>
                    <w:jc w:val="center"/>
                    <w:rPr>
                      <w:b/>
                      <w:bCs/>
                    </w:rPr>
                  </w:pPr>
                  <w:r>
                    <w:rPr>
                      <w:b/>
                      <w:bCs/>
                    </w:rPr>
                    <w:t>Service</w:t>
                  </w:r>
                </w:p>
              </w:tc>
              <w:tc>
                <w:tcPr>
                  <w:tcW w:w="0" w:type="auto"/>
                  <w:shd w:val="clear" w:color="auto" w:fill="auto"/>
                  <w:vAlign w:val="center"/>
                  <w:hideMark/>
                </w:tcPr>
                <w:p w14:paraId="70049D9D" w14:textId="77777777" w:rsidR="00BA0F9A" w:rsidRDefault="00BA0F9A">
                  <w:pPr>
                    <w:jc w:val="center"/>
                    <w:rPr>
                      <w:b/>
                      <w:bCs/>
                    </w:rPr>
                  </w:pPr>
                  <w:proofErr w:type="gramStart"/>
                  <w:r>
                    <w:rPr>
                      <w:b/>
                      <w:bCs/>
                    </w:rPr>
                    <w:t>Studio</w:t>
                  </w:r>
                  <w:r>
                    <w:rPr>
                      <w:rFonts w:ascii="inherit" w:hAnsi="inherit"/>
                      <w:b/>
                      <w:bCs/>
                      <w:sz w:val="18"/>
                      <w:szCs w:val="18"/>
                      <w:bdr w:val="none" w:sz="0" w:space="0" w:color="auto" w:frame="1"/>
                      <w:vertAlign w:val="superscript"/>
                    </w:rPr>
                    <w:t>(</w:t>
                  </w:r>
                  <w:proofErr w:type="gramEnd"/>
                  <w:r>
                    <w:rPr>
                      <w:rFonts w:ascii="inherit" w:hAnsi="inherit"/>
                      <w:b/>
                      <w:bCs/>
                      <w:sz w:val="18"/>
                      <w:szCs w:val="18"/>
                      <w:bdr w:val="none" w:sz="0" w:space="0" w:color="auto" w:frame="1"/>
                      <w:vertAlign w:val="superscript"/>
                    </w:rPr>
                    <w:t>1)</w:t>
                  </w:r>
                </w:p>
              </w:tc>
              <w:tc>
                <w:tcPr>
                  <w:tcW w:w="0" w:type="auto"/>
                  <w:shd w:val="clear" w:color="auto" w:fill="auto"/>
                  <w:vAlign w:val="center"/>
                  <w:hideMark/>
                </w:tcPr>
                <w:p w14:paraId="7C1F82D2" w14:textId="77777777" w:rsidR="00BA0F9A" w:rsidRDefault="00BA0F9A">
                  <w:pPr>
                    <w:jc w:val="center"/>
                    <w:rPr>
                      <w:b/>
                      <w:bCs/>
                    </w:rPr>
                  </w:pPr>
                  <w:r>
                    <w:rPr>
                      <w:b/>
                      <w:bCs/>
                    </w:rPr>
                    <w:t>1</w:t>
                  </w:r>
                </w:p>
              </w:tc>
              <w:tc>
                <w:tcPr>
                  <w:tcW w:w="0" w:type="auto"/>
                  <w:shd w:val="clear" w:color="auto" w:fill="auto"/>
                  <w:vAlign w:val="center"/>
                  <w:hideMark/>
                </w:tcPr>
                <w:p w14:paraId="5FEABCFB" w14:textId="77777777" w:rsidR="00BA0F9A" w:rsidRDefault="00BA0F9A">
                  <w:pPr>
                    <w:jc w:val="center"/>
                    <w:rPr>
                      <w:b/>
                      <w:bCs/>
                    </w:rPr>
                  </w:pPr>
                  <w:r>
                    <w:rPr>
                      <w:b/>
                      <w:bCs/>
                    </w:rPr>
                    <w:t>2</w:t>
                  </w:r>
                </w:p>
              </w:tc>
              <w:tc>
                <w:tcPr>
                  <w:tcW w:w="0" w:type="auto"/>
                  <w:shd w:val="clear" w:color="auto" w:fill="auto"/>
                  <w:vAlign w:val="center"/>
                  <w:hideMark/>
                </w:tcPr>
                <w:p w14:paraId="4B60CB6A" w14:textId="77777777" w:rsidR="00BA0F9A" w:rsidRDefault="00BA0F9A">
                  <w:pPr>
                    <w:jc w:val="center"/>
                    <w:rPr>
                      <w:b/>
                      <w:bCs/>
                    </w:rPr>
                  </w:pPr>
                  <w:r>
                    <w:rPr>
                      <w:b/>
                      <w:bCs/>
                    </w:rPr>
                    <w:t>3</w:t>
                  </w:r>
                </w:p>
              </w:tc>
              <w:tc>
                <w:tcPr>
                  <w:tcW w:w="0" w:type="auto"/>
                  <w:shd w:val="clear" w:color="auto" w:fill="auto"/>
                  <w:vAlign w:val="center"/>
                  <w:hideMark/>
                </w:tcPr>
                <w:p w14:paraId="5B68805E" w14:textId="77777777" w:rsidR="00BA0F9A" w:rsidRDefault="00BA0F9A">
                  <w:pPr>
                    <w:jc w:val="center"/>
                    <w:rPr>
                      <w:b/>
                      <w:bCs/>
                    </w:rPr>
                  </w:pPr>
                  <w:r>
                    <w:rPr>
                      <w:b/>
                      <w:bCs/>
                    </w:rPr>
                    <w:t>4</w:t>
                  </w:r>
                </w:p>
              </w:tc>
            </w:tr>
            <w:tr w:rsidR="00BA0F9A" w14:paraId="10F39E27" w14:textId="77777777" w:rsidTr="00BA0F9A">
              <w:trPr>
                <w:jc w:val="center"/>
              </w:trPr>
              <w:tc>
                <w:tcPr>
                  <w:tcW w:w="0" w:type="auto"/>
                  <w:shd w:val="clear" w:color="auto" w:fill="auto"/>
                  <w:hideMark/>
                </w:tcPr>
                <w:p w14:paraId="5EC2D16D" w14:textId="77777777" w:rsidR="00BA0F9A" w:rsidRDefault="00BA0F9A">
                  <w:r>
                    <w:t>Water</w:t>
                  </w:r>
                </w:p>
              </w:tc>
              <w:tc>
                <w:tcPr>
                  <w:tcW w:w="0" w:type="auto"/>
                  <w:shd w:val="clear" w:color="auto" w:fill="auto"/>
                  <w:hideMark/>
                </w:tcPr>
                <w:p w14:paraId="72E929EC" w14:textId="77777777" w:rsidR="00BA0F9A" w:rsidRDefault="00BA0F9A">
                  <w:pPr>
                    <w:jc w:val="right"/>
                  </w:pPr>
                  <w:r>
                    <w:t>$15</w:t>
                  </w:r>
                </w:p>
              </w:tc>
              <w:tc>
                <w:tcPr>
                  <w:tcW w:w="0" w:type="auto"/>
                  <w:shd w:val="clear" w:color="auto" w:fill="auto"/>
                  <w:hideMark/>
                </w:tcPr>
                <w:p w14:paraId="75FA2F14" w14:textId="77777777" w:rsidR="00BA0F9A" w:rsidRDefault="00BA0F9A">
                  <w:pPr>
                    <w:jc w:val="right"/>
                  </w:pPr>
                  <w:r>
                    <w:t>$20</w:t>
                  </w:r>
                </w:p>
              </w:tc>
              <w:tc>
                <w:tcPr>
                  <w:tcW w:w="0" w:type="auto"/>
                  <w:shd w:val="clear" w:color="auto" w:fill="auto"/>
                  <w:hideMark/>
                </w:tcPr>
                <w:p w14:paraId="19ED0549" w14:textId="77777777" w:rsidR="00BA0F9A" w:rsidRDefault="00BA0F9A">
                  <w:pPr>
                    <w:jc w:val="right"/>
                  </w:pPr>
                  <w:r>
                    <w:t>$25</w:t>
                  </w:r>
                </w:p>
              </w:tc>
              <w:tc>
                <w:tcPr>
                  <w:tcW w:w="0" w:type="auto"/>
                  <w:shd w:val="clear" w:color="auto" w:fill="auto"/>
                  <w:hideMark/>
                </w:tcPr>
                <w:p w14:paraId="34F06E1A" w14:textId="77777777" w:rsidR="00BA0F9A" w:rsidRDefault="00BA0F9A">
                  <w:pPr>
                    <w:jc w:val="right"/>
                  </w:pPr>
                  <w:r>
                    <w:t>$30</w:t>
                  </w:r>
                </w:p>
              </w:tc>
              <w:tc>
                <w:tcPr>
                  <w:tcW w:w="0" w:type="auto"/>
                  <w:shd w:val="clear" w:color="auto" w:fill="auto"/>
                  <w:hideMark/>
                </w:tcPr>
                <w:p w14:paraId="06BCB836" w14:textId="77777777" w:rsidR="00BA0F9A" w:rsidRDefault="00BA0F9A">
                  <w:pPr>
                    <w:jc w:val="right"/>
                  </w:pPr>
                  <w:r>
                    <w:t>$35</w:t>
                  </w:r>
                </w:p>
              </w:tc>
            </w:tr>
            <w:tr w:rsidR="00BA0F9A" w14:paraId="7DDA18B0" w14:textId="77777777" w:rsidTr="00BA0F9A">
              <w:trPr>
                <w:jc w:val="center"/>
              </w:trPr>
              <w:tc>
                <w:tcPr>
                  <w:tcW w:w="0" w:type="auto"/>
                  <w:shd w:val="clear" w:color="auto" w:fill="auto"/>
                  <w:hideMark/>
                </w:tcPr>
                <w:p w14:paraId="6D06E9EC" w14:textId="77777777" w:rsidR="00BA0F9A" w:rsidRDefault="00BA0F9A">
                  <w:r>
                    <w:lastRenderedPageBreak/>
                    <w:t>Sewer</w:t>
                  </w:r>
                </w:p>
              </w:tc>
              <w:tc>
                <w:tcPr>
                  <w:tcW w:w="0" w:type="auto"/>
                  <w:shd w:val="clear" w:color="auto" w:fill="auto"/>
                  <w:hideMark/>
                </w:tcPr>
                <w:p w14:paraId="3D4905EF" w14:textId="77777777" w:rsidR="00BA0F9A" w:rsidRDefault="00BA0F9A">
                  <w:pPr>
                    <w:jc w:val="right"/>
                  </w:pPr>
                  <w:r>
                    <w:t>15</w:t>
                  </w:r>
                </w:p>
              </w:tc>
              <w:tc>
                <w:tcPr>
                  <w:tcW w:w="0" w:type="auto"/>
                  <w:shd w:val="clear" w:color="auto" w:fill="auto"/>
                  <w:hideMark/>
                </w:tcPr>
                <w:p w14:paraId="35757DC3" w14:textId="77777777" w:rsidR="00BA0F9A" w:rsidRDefault="00BA0F9A">
                  <w:pPr>
                    <w:jc w:val="right"/>
                  </w:pPr>
                  <w:r>
                    <w:t>20</w:t>
                  </w:r>
                </w:p>
              </w:tc>
              <w:tc>
                <w:tcPr>
                  <w:tcW w:w="0" w:type="auto"/>
                  <w:shd w:val="clear" w:color="auto" w:fill="auto"/>
                  <w:hideMark/>
                </w:tcPr>
                <w:p w14:paraId="776676CE" w14:textId="77777777" w:rsidR="00BA0F9A" w:rsidRDefault="00BA0F9A">
                  <w:pPr>
                    <w:jc w:val="right"/>
                  </w:pPr>
                  <w:r>
                    <w:t>25</w:t>
                  </w:r>
                </w:p>
              </w:tc>
              <w:tc>
                <w:tcPr>
                  <w:tcW w:w="0" w:type="auto"/>
                  <w:shd w:val="clear" w:color="auto" w:fill="auto"/>
                  <w:hideMark/>
                </w:tcPr>
                <w:p w14:paraId="30E8BC4A" w14:textId="77777777" w:rsidR="00BA0F9A" w:rsidRDefault="00BA0F9A">
                  <w:pPr>
                    <w:jc w:val="right"/>
                  </w:pPr>
                  <w:r>
                    <w:t>30</w:t>
                  </w:r>
                </w:p>
              </w:tc>
              <w:tc>
                <w:tcPr>
                  <w:tcW w:w="0" w:type="auto"/>
                  <w:shd w:val="clear" w:color="auto" w:fill="auto"/>
                  <w:hideMark/>
                </w:tcPr>
                <w:p w14:paraId="6B8C3BAC" w14:textId="77777777" w:rsidR="00BA0F9A" w:rsidRDefault="00BA0F9A">
                  <w:pPr>
                    <w:jc w:val="right"/>
                  </w:pPr>
                  <w:r>
                    <w:t>35</w:t>
                  </w:r>
                </w:p>
              </w:tc>
            </w:tr>
            <w:tr w:rsidR="00BA0F9A" w14:paraId="5B1BBE82" w14:textId="77777777" w:rsidTr="00BA0F9A">
              <w:trPr>
                <w:jc w:val="center"/>
              </w:trPr>
              <w:tc>
                <w:tcPr>
                  <w:tcW w:w="0" w:type="auto"/>
                  <w:shd w:val="clear" w:color="auto" w:fill="auto"/>
                  <w:hideMark/>
                </w:tcPr>
                <w:p w14:paraId="32F204A9" w14:textId="77777777" w:rsidR="00BA0F9A" w:rsidRDefault="00BA0F9A">
                  <w:r>
                    <w:t>Trash Collection</w:t>
                  </w:r>
                </w:p>
              </w:tc>
              <w:tc>
                <w:tcPr>
                  <w:tcW w:w="0" w:type="auto"/>
                  <w:shd w:val="clear" w:color="auto" w:fill="auto"/>
                  <w:hideMark/>
                </w:tcPr>
                <w:p w14:paraId="09A99074" w14:textId="77777777" w:rsidR="00BA0F9A" w:rsidRDefault="00BA0F9A">
                  <w:pPr>
                    <w:jc w:val="right"/>
                  </w:pPr>
                  <w:r>
                    <w:t>8</w:t>
                  </w:r>
                </w:p>
              </w:tc>
              <w:tc>
                <w:tcPr>
                  <w:tcW w:w="0" w:type="auto"/>
                  <w:shd w:val="clear" w:color="auto" w:fill="auto"/>
                  <w:hideMark/>
                </w:tcPr>
                <w:p w14:paraId="49176970" w14:textId="77777777" w:rsidR="00BA0F9A" w:rsidRDefault="00BA0F9A">
                  <w:pPr>
                    <w:jc w:val="right"/>
                  </w:pPr>
                  <w:r>
                    <w:t>8</w:t>
                  </w:r>
                </w:p>
              </w:tc>
              <w:tc>
                <w:tcPr>
                  <w:tcW w:w="0" w:type="auto"/>
                  <w:shd w:val="clear" w:color="auto" w:fill="auto"/>
                  <w:hideMark/>
                </w:tcPr>
                <w:p w14:paraId="2234C97A" w14:textId="77777777" w:rsidR="00BA0F9A" w:rsidRDefault="00BA0F9A">
                  <w:pPr>
                    <w:jc w:val="right"/>
                  </w:pPr>
                  <w:r>
                    <w:t>10</w:t>
                  </w:r>
                </w:p>
              </w:tc>
              <w:tc>
                <w:tcPr>
                  <w:tcW w:w="0" w:type="auto"/>
                  <w:shd w:val="clear" w:color="auto" w:fill="auto"/>
                  <w:hideMark/>
                </w:tcPr>
                <w:p w14:paraId="5E22145A" w14:textId="77777777" w:rsidR="00BA0F9A" w:rsidRDefault="00BA0F9A">
                  <w:pPr>
                    <w:jc w:val="right"/>
                  </w:pPr>
                  <w:r>
                    <w:t>12</w:t>
                  </w:r>
                </w:p>
              </w:tc>
              <w:tc>
                <w:tcPr>
                  <w:tcW w:w="0" w:type="auto"/>
                  <w:shd w:val="clear" w:color="auto" w:fill="auto"/>
                  <w:hideMark/>
                </w:tcPr>
                <w:p w14:paraId="5C73A207" w14:textId="77777777" w:rsidR="00BA0F9A" w:rsidRDefault="00BA0F9A">
                  <w:pPr>
                    <w:jc w:val="right"/>
                  </w:pPr>
                  <w:r>
                    <w:t>15</w:t>
                  </w:r>
                </w:p>
              </w:tc>
            </w:tr>
          </w:tbl>
          <w:p w14:paraId="52686481" w14:textId="77777777" w:rsidR="00BA0F9A" w:rsidRDefault="00BA0F9A" w:rsidP="00BA0F9A">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Studio and efficiency apartment charges apply the same values</w:t>
            </w:r>
          </w:p>
          <w:p w14:paraId="09E49C8E" w14:textId="77777777" w:rsidR="00BA0F9A" w:rsidRDefault="00BA0F9A" w:rsidP="00BA0F9A">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Example Market Standard Rent Calculation</w:t>
            </w:r>
          </w:p>
          <w:p w14:paraId="2256B872" w14:textId="77777777" w:rsidR="00BA0F9A" w:rsidRDefault="00BA0F9A" w:rsidP="00BA0F9A">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A </w:t>
            </w:r>
            <w:proofErr w:type="gramStart"/>
            <w:r>
              <w:rPr>
                <w:rFonts w:ascii="inherit" w:hAnsi="inherit" w:cs="Arial"/>
                <w:color w:val="1A1A1A"/>
              </w:rPr>
              <w:t>three bedroom</w:t>
            </w:r>
            <w:proofErr w:type="gramEnd"/>
            <w:r>
              <w:rPr>
                <w:rFonts w:ascii="inherit" w:hAnsi="inherit" w:cs="Arial"/>
                <w:color w:val="1A1A1A"/>
              </w:rPr>
              <w:t xml:space="preserve"> apartment renting for $1,000 per month, incorporating a direct access garage, a fireplace and a washer/dryer set would have a Market Standard rent of $890 per month after deducting $110 per month for rent-sensitive characteristics. If the household also pays for water/sewer and trash collection charges the Market Standard rent will add $72, the resulting Market Standard rent - $962 - is calculated as:</w:t>
            </w:r>
          </w:p>
          <w:tbl>
            <w:tblPr>
              <w:tblW w:w="0" w:type="auto"/>
              <w:jc w:val="center"/>
              <w:tblCellMar>
                <w:top w:w="60" w:type="dxa"/>
                <w:left w:w="60" w:type="dxa"/>
                <w:bottom w:w="60" w:type="dxa"/>
                <w:right w:w="60" w:type="dxa"/>
              </w:tblCellMar>
              <w:tblLook w:val="04A0" w:firstRow="1" w:lastRow="0" w:firstColumn="1" w:lastColumn="0" w:noHBand="0" w:noVBand="1"/>
            </w:tblPr>
            <w:tblGrid>
              <w:gridCol w:w="3087"/>
              <w:gridCol w:w="674"/>
              <w:gridCol w:w="735"/>
            </w:tblGrid>
            <w:tr w:rsidR="00BA0F9A" w14:paraId="7210303C" w14:textId="77777777" w:rsidTr="00BA0F9A">
              <w:trPr>
                <w:jc w:val="center"/>
              </w:trPr>
              <w:tc>
                <w:tcPr>
                  <w:tcW w:w="0" w:type="auto"/>
                  <w:shd w:val="clear" w:color="auto" w:fill="auto"/>
                  <w:vAlign w:val="center"/>
                  <w:hideMark/>
                </w:tcPr>
                <w:p w14:paraId="73EEC47A" w14:textId="77777777" w:rsidR="00BA0F9A" w:rsidRDefault="00BA0F9A">
                  <w:pPr>
                    <w:jc w:val="center"/>
                    <w:rPr>
                      <w:rFonts w:ascii="Times New Roman" w:hAnsi="Times New Roman" w:cs="Times New Roman"/>
                      <w:b/>
                      <w:bCs/>
                    </w:rPr>
                  </w:pPr>
                  <w:r>
                    <w:rPr>
                      <w:b/>
                      <w:bCs/>
                    </w:rPr>
                    <w:t>Actual Rent</w:t>
                  </w:r>
                </w:p>
              </w:tc>
              <w:tc>
                <w:tcPr>
                  <w:tcW w:w="0" w:type="auto"/>
                  <w:shd w:val="clear" w:color="auto" w:fill="auto"/>
                  <w:vAlign w:val="center"/>
                  <w:hideMark/>
                </w:tcPr>
                <w:p w14:paraId="29F47F12" w14:textId="77777777" w:rsidR="00BA0F9A" w:rsidRDefault="00BA0F9A">
                  <w:pPr>
                    <w:jc w:val="center"/>
                    <w:rPr>
                      <w:b/>
                      <w:bCs/>
                    </w:rPr>
                  </w:pPr>
                  <w:r>
                    <w:rPr>
                      <w:b/>
                      <w:bCs/>
                    </w:rPr>
                    <w:t> </w:t>
                  </w:r>
                </w:p>
              </w:tc>
              <w:tc>
                <w:tcPr>
                  <w:tcW w:w="0" w:type="auto"/>
                  <w:shd w:val="clear" w:color="auto" w:fill="auto"/>
                  <w:vAlign w:val="center"/>
                  <w:hideMark/>
                </w:tcPr>
                <w:p w14:paraId="23BBAE08" w14:textId="77777777" w:rsidR="00BA0F9A" w:rsidRDefault="00BA0F9A">
                  <w:pPr>
                    <w:jc w:val="center"/>
                    <w:rPr>
                      <w:b/>
                      <w:bCs/>
                    </w:rPr>
                  </w:pPr>
                  <w:r>
                    <w:rPr>
                      <w:b/>
                      <w:bCs/>
                    </w:rPr>
                    <w:t>$1,000</w:t>
                  </w:r>
                </w:p>
              </w:tc>
            </w:tr>
            <w:tr w:rsidR="00BA0F9A" w14:paraId="0770CCEC" w14:textId="77777777" w:rsidTr="00BA0F9A">
              <w:trPr>
                <w:jc w:val="center"/>
              </w:trPr>
              <w:tc>
                <w:tcPr>
                  <w:tcW w:w="0" w:type="auto"/>
                  <w:gridSpan w:val="3"/>
                  <w:shd w:val="clear" w:color="auto" w:fill="auto"/>
                  <w:vAlign w:val="center"/>
                  <w:hideMark/>
                </w:tcPr>
                <w:p w14:paraId="72176B00" w14:textId="77777777" w:rsidR="00BA0F9A" w:rsidRDefault="00BA0F9A">
                  <w:pPr>
                    <w:rPr>
                      <w:b/>
                      <w:bCs/>
                    </w:rPr>
                  </w:pPr>
                  <w:r>
                    <w:rPr>
                      <w:b/>
                      <w:bCs/>
                    </w:rPr>
                    <w:t>Deductions From Rent</w:t>
                  </w:r>
                </w:p>
              </w:tc>
            </w:tr>
            <w:tr w:rsidR="00BA0F9A" w14:paraId="2FC77E65" w14:textId="77777777" w:rsidTr="00BA0F9A">
              <w:trPr>
                <w:jc w:val="center"/>
              </w:trPr>
              <w:tc>
                <w:tcPr>
                  <w:tcW w:w="0" w:type="auto"/>
                  <w:shd w:val="clear" w:color="auto" w:fill="auto"/>
                  <w:hideMark/>
                </w:tcPr>
                <w:p w14:paraId="0D723F32" w14:textId="77777777" w:rsidR="00BA0F9A" w:rsidRDefault="00BA0F9A">
                  <w:r>
                    <w:t>Direct Access Garage</w:t>
                  </w:r>
                </w:p>
              </w:tc>
              <w:tc>
                <w:tcPr>
                  <w:tcW w:w="0" w:type="auto"/>
                  <w:shd w:val="clear" w:color="auto" w:fill="auto"/>
                  <w:hideMark/>
                </w:tcPr>
                <w:p w14:paraId="72EF233F" w14:textId="77777777" w:rsidR="00BA0F9A" w:rsidRDefault="00BA0F9A">
                  <w:pPr>
                    <w:jc w:val="right"/>
                  </w:pPr>
                  <w:r>
                    <w:t>$&lt;70&gt;</w:t>
                  </w:r>
                </w:p>
              </w:tc>
              <w:tc>
                <w:tcPr>
                  <w:tcW w:w="0" w:type="auto"/>
                  <w:shd w:val="clear" w:color="auto" w:fill="auto"/>
                  <w:vAlign w:val="center"/>
                  <w:hideMark/>
                </w:tcPr>
                <w:p w14:paraId="5B283008" w14:textId="77777777" w:rsidR="00BA0F9A" w:rsidRDefault="00BA0F9A">
                  <w:pPr>
                    <w:jc w:val="right"/>
                  </w:pPr>
                  <w:r>
                    <w:t> </w:t>
                  </w:r>
                </w:p>
              </w:tc>
            </w:tr>
            <w:tr w:rsidR="00BA0F9A" w14:paraId="569481C0" w14:textId="77777777" w:rsidTr="00BA0F9A">
              <w:trPr>
                <w:jc w:val="center"/>
              </w:trPr>
              <w:tc>
                <w:tcPr>
                  <w:tcW w:w="0" w:type="auto"/>
                  <w:shd w:val="clear" w:color="auto" w:fill="auto"/>
                  <w:hideMark/>
                </w:tcPr>
                <w:p w14:paraId="1348BA37" w14:textId="77777777" w:rsidR="00BA0F9A" w:rsidRDefault="00BA0F9A">
                  <w:r>
                    <w:t>Washer and Dryer</w:t>
                  </w:r>
                </w:p>
              </w:tc>
              <w:tc>
                <w:tcPr>
                  <w:tcW w:w="0" w:type="auto"/>
                  <w:shd w:val="clear" w:color="auto" w:fill="auto"/>
                  <w:hideMark/>
                </w:tcPr>
                <w:p w14:paraId="681C9B6E" w14:textId="77777777" w:rsidR="00BA0F9A" w:rsidRDefault="00BA0F9A">
                  <w:pPr>
                    <w:jc w:val="right"/>
                  </w:pPr>
                  <w:r>
                    <w:t>&lt;25&gt;</w:t>
                  </w:r>
                </w:p>
              </w:tc>
              <w:tc>
                <w:tcPr>
                  <w:tcW w:w="0" w:type="auto"/>
                  <w:shd w:val="clear" w:color="auto" w:fill="auto"/>
                  <w:vAlign w:val="center"/>
                  <w:hideMark/>
                </w:tcPr>
                <w:p w14:paraId="2C83C7CB" w14:textId="77777777" w:rsidR="00BA0F9A" w:rsidRDefault="00BA0F9A">
                  <w:pPr>
                    <w:jc w:val="right"/>
                  </w:pPr>
                  <w:r>
                    <w:t> </w:t>
                  </w:r>
                </w:p>
              </w:tc>
            </w:tr>
            <w:tr w:rsidR="00BA0F9A" w14:paraId="63242019" w14:textId="77777777" w:rsidTr="00BA0F9A">
              <w:trPr>
                <w:jc w:val="center"/>
              </w:trPr>
              <w:tc>
                <w:tcPr>
                  <w:tcW w:w="0" w:type="auto"/>
                  <w:shd w:val="clear" w:color="auto" w:fill="auto"/>
                  <w:hideMark/>
                </w:tcPr>
                <w:p w14:paraId="1A4275C6" w14:textId="77777777" w:rsidR="00BA0F9A" w:rsidRDefault="00BA0F9A">
                  <w:r>
                    <w:t>Fireplace</w:t>
                  </w:r>
                </w:p>
              </w:tc>
              <w:tc>
                <w:tcPr>
                  <w:tcW w:w="0" w:type="auto"/>
                  <w:shd w:val="clear" w:color="auto" w:fill="auto"/>
                  <w:hideMark/>
                </w:tcPr>
                <w:p w14:paraId="02ACEA4D" w14:textId="77777777" w:rsidR="00BA0F9A" w:rsidRDefault="00BA0F9A">
                  <w:pPr>
                    <w:jc w:val="right"/>
                  </w:pPr>
                  <w:r>
                    <w:t>&lt;15&gt;</w:t>
                  </w:r>
                </w:p>
              </w:tc>
              <w:tc>
                <w:tcPr>
                  <w:tcW w:w="0" w:type="auto"/>
                  <w:shd w:val="clear" w:color="auto" w:fill="auto"/>
                  <w:hideMark/>
                </w:tcPr>
                <w:p w14:paraId="3EA53662" w14:textId="77777777" w:rsidR="00BA0F9A" w:rsidRDefault="00BA0F9A">
                  <w:pPr>
                    <w:jc w:val="right"/>
                  </w:pPr>
                  <w:r>
                    <w:t>&lt;110&gt;</w:t>
                  </w:r>
                </w:p>
              </w:tc>
            </w:tr>
            <w:tr w:rsidR="00BA0F9A" w14:paraId="4D22E09C" w14:textId="77777777" w:rsidTr="00BA0F9A">
              <w:trPr>
                <w:jc w:val="center"/>
              </w:trPr>
              <w:tc>
                <w:tcPr>
                  <w:tcW w:w="0" w:type="auto"/>
                  <w:gridSpan w:val="3"/>
                  <w:shd w:val="clear" w:color="auto" w:fill="auto"/>
                  <w:vAlign w:val="center"/>
                  <w:hideMark/>
                </w:tcPr>
                <w:p w14:paraId="7BF04F65" w14:textId="77777777" w:rsidR="00BA0F9A" w:rsidRDefault="00BA0F9A">
                  <w:pPr>
                    <w:rPr>
                      <w:b/>
                      <w:bCs/>
                    </w:rPr>
                  </w:pPr>
                  <w:r>
                    <w:rPr>
                      <w:b/>
                      <w:bCs/>
                    </w:rPr>
                    <w:t>Additions To Rent</w:t>
                  </w:r>
                </w:p>
              </w:tc>
            </w:tr>
            <w:tr w:rsidR="00BA0F9A" w14:paraId="7F64FFD3" w14:textId="77777777" w:rsidTr="00BA0F9A">
              <w:trPr>
                <w:jc w:val="center"/>
              </w:trPr>
              <w:tc>
                <w:tcPr>
                  <w:tcW w:w="0" w:type="auto"/>
                  <w:shd w:val="clear" w:color="auto" w:fill="auto"/>
                  <w:hideMark/>
                </w:tcPr>
                <w:p w14:paraId="4E0F9185" w14:textId="77777777" w:rsidR="00BA0F9A" w:rsidRDefault="00BA0F9A">
                  <w:r>
                    <w:t xml:space="preserve">Water/Sewer Paid </w:t>
                  </w:r>
                  <w:proofErr w:type="gramStart"/>
                  <w:r>
                    <w:t>By</w:t>
                  </w:r>
                  <w:proofErr w:type="gramEnd"/>
                  <w:r>
                    <w:t xml:space="preserve"> Resident</w:t>
                  </w:r>
                </w:p>
              </w:tc>
              <w:tc>
                <w:tcPr>
                  <w:tcW w:w="0" w:type="auto"/>
                  <w:shd w:val="clear" w:color="auto" w:fill="auto"/>
                  <w:hideMark/>
                </w:tcPr>
                <w:p w14:paraId="464E74C8" w14:textId="77777777" w:rsidR="00BA0F9A" w:rsidRDefault="00BA0F9A">
                  <w:pPr>
                    <w:jc w:val="right"/>
                  </w:pPr>
                  <w:r>
                    <w:t>$60</w:t>
                  </w:r>
                </w:p>
              </w:tc>
              <w:tc>
                <w:tcPr>
                  <w:tcW w:w="0" w:type="auto"/>
                  <w:shd w:val="clear" w:color="auto" w:fill="auto"/>
                  <w:vAlign w:val="center"/>
                  <w:hideMark/>
                </w:tcPr>
                <w:p w14:paraId="4AE2F1D9" w14:textId="77777777" w:rsidR="00BA0F9A" w:rsidRDefault="00BA0F9A">
                  <w:pPr>
                    <w:jc w:val="right"/>
                  </w:pPr>
                  <w:r>
                    <w:t> </w:t>
                  </w:r>
                </w:p>
              </w:tc>
            </w:tr>
            <w:tr w:rsidR="00BA0F9A" w14:paraId="0D53A26C" w14:textId="77777777" w:rsidTr="00BA0F9A">
              <w:trPr>
                <w:jc w:val="center"/>
              </w:trPr>
              <w:tc>
                <w:tcPr>
                  <w:tcW w:w="0" w:type="auto"/>
                  <w:shd w:val="clear" w:color="auto" w:fill="auto"/>
                  <w:hideMark/>
                </w:tcPr>
                <w:p w14:paraId="60B7345E" w14:textId="77777777" w:rsidR="00BA0F9A" w:rsidRDefault="00BA0F9A">
                  <w:r>
                    <w:t xml:space="preserve">Trash Collection Paid </w:t>
                  </w:r>
                  <w:proofErr w:type="gramStart"/>
                  <w:r>
                    <w:t>By</w:t>
                  </w:r>
                  <w:proofErr w:type="gramEnd"/>
                  <w:r>
                    <w:t xml:space="preserve"> Resident</w:t>
                  </w:r>
                </w:p>
              </w:tc>
              <w:tc>
                <w:tcPr>
                  <w:tcW w:w="0" w:type="auto"/>
                  <w:tcBorders>
                    <w:bottom w:val="single" w:sz="6" w:space="0" w:color="000000"/>
                  </w:tcBorders>
                  <w:shd w:val="clear" w:color="auto" w:fill="auto"/>
                  <w:vAlign w:val="center"/>
                  <w:hideMark/>
                </w:tcPr>
                <w:p w14:paraId="6F60D795" w14:textId="77777777" w:rsidR="00BA0F9A" w:rsidRDefault="00BA0F9A">
                  <w:pPr>
                    <w:jc w:val="right"/>
                  </w:pPr>
                  <w:r>
                    <w:t>12</w:t>
                  </w:r>
                </w:p>
              </w:tc>
              <w:tc>
                <w:tcPr>
                  <w:tcW w:w="0" w:type="auto"/>
                  <w:tcBorders>
                    <w:bottom w:val="single" w:sz="6" w:space="0" w:color="000000"/>
                  </w:tcBorders>
                  <w:shd w:val="clear" w:color="auto" w:fill="auto"/>
                  <w:vAlign w:val="center"/>
                  <w:hideMark/>
                </w:tcPr>
                <w:p w14:paraId="713B5C5F" w14:textId="77777777" w:rsidR="00BA0F9A" w:rsidRDefault="00BA0F9A">
                  <w:pPr>
                    <w:jc w:val="right"/>
                  </w:pPr>
                  <w:r>
                    <w:t>72</w:t>
                  </w:r>
                </w:p>
              </w:tc>
            </w:tr>
            <w:tr w:rsidR="00BA0F9A" w14:paraId="1B68524F" w14:textId="77777777" w:rsidTr="00BA0F9A">
              <w:trPr>
                <w:jc w:val="center"/>
              </w:trPr>
              <w:tc>
                <w:tcPr>
                  <w:tcW w:w="0" w:type="auto"/>
                  <w:shd w:val="clear" w:color="auto" w:fill="auto"/>
                  <w:hideMark/>
                </w:tcPr>
                <w:p w14:paraId="5C8AD117" w14:textId="77777777" w:rsidR="00BA0F9A" w:rsidRDefault="00BA0F9A">
                  <w:r>
                    <w:t>Market Standard Rent</w:t>
                  </w:r>
                </w:p>
              </w:tc>
              <w:tc>
                <w:tcPr>
                  <w:tcW w:w="0" w:type="auto"/>
                  <w:shd w:val="clear" w:color="auto" w:fill="auto"/>
                  <w:vAlign w:val="center"/>
                  <w:hideMark/>
                </w:tcPr>
                <w:p w14:paraId="5484409D" w14:textId="77777777" w:rsidR="00BA0F9A" w:rsidRDefault="00BA0F9A">
                  <w:pPr>
                    <w:jc w:val="right"/>
                  </w:pPr>
                  <w:r>
                    <w:t> </w:t>
                  </w:r>
                </w:p>
              </w:tc>
              <w:tc>
                <w:tcPr>
                  <w:tcW w:w="0" w:type="auto"/>
                  <w:shd w:val="clear" w:color="auto" w:fill="auto"/>
                  <w:hideMark/>
                </w:tcPr>
                <w:p w14:paraId="70AF9808" w14:textId="77777777" w:rsidR="00BA0F9A" w:rsidRDefault="00BA0F9A">
                  <w:pPr>
                    <w:jc w:val="right"/>
                  </w:pPr>
                  <w:r>
                    <w:t>$962</w:t>
                  </w:r>
                </w:p>
              </w:tc>
            </w:tr>
          </w:tbl>
          <w:p w14:paraId="0C2A6DA7" w14:textId="77777777" w:rsidR="00BA0F9A" w:rsidRDefault="00BA0F9A" w:rsidP="00BA0F9A">
            <w:pPr>
              <w:pStyle w:val="Heading2"/>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 xml:space="preserve">When No Adjustment </w:t>
            </w:r>
            <w:proofErr w:type="gramStart"/>
            <w:r>
              <w:rPr>
                <w:rFonts w:ascii="Open Sans" w:hAnsi="Open Sans" w:cs="Open Sans"/>
                <w:color w:val="1A1A1A"/>
                <w:sz w:val="41"/>
                <w:szCs w:val="41"/>
              </w:rPr>
              <w:t>To</w:t>
            </w:r>
            <w:proofErr w:type="gramEnd"/>
            <w:r>
              <w:rPr>
                <w:rFonts w:ascii="Open Sans" w:hAnsi="Open Sans" w:cs="Open Sans"/>
                <w:color w:val="1A1A1A"/>
                <w:sz w:val="41"/>
                <w:szCs w:val="41"/>
              </w:rPr>
              <w:t xml:space="preserve"> Competitive Rents Is Made</w:t>
            </w:r>
          </w:p>
          <w:p w14:paraId="52BD680C" w14:textId="77777777" w:rsidR="00BA0F9A" w:rsidRDefault="00BA0F9A" w:rsidP="00BA0F9A">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Relative characteristics of property improvements and location influence a property's relative desirability. In combination with quality of property management, these factors dominate property-to-property rental rate variances when all other considerations relating to utility are essentially equal.</w:t>
            </w:r>
          </w:p>
          <w:p w14:paraId="474D8008" w14:textId="77777777" w:rsidR="00BA0F9A" w:rsidRDefault="00BA0F9A" w:rsidP="00BA0F9A">
            <w:pPr>
              <w:pStyle w:val="NormalWeb"/>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Such attractive details as above-standard living rooms ceiling heights, polished granite kitchen counter tops, hardwood floors, ceramic tile kitchen entry flooring, and the presence (or lack) of balconies or patios are not considered in rental rate adjustments. These features are recognized as rent-sensitive extensions of a property's perceived </w:t>
            </w:r>
            <w:proofErr w:type="gramStart"/>
            <w:r>
              <w:rPr>
                <w:rFonts w:ascii="inherit" w:hAnsi="inherit" w:cs="Arial"/>
                <w:color w:val="1A1A1A"/>
              </w:rPr>
              <w:t>desirability, but</w:t>
            </w:r>
            <w:proofErr w:type="gramEnd"/>
            <w:r>
              <w:rPr>
                <w:rFonts w:ascii="inherit" w:hAnsi="inherit" w:cs="Arial"/>
                <w:color w:val="1A1A1A"/>
              </w:rPr>
              <w:t xml:space="preserve"> are not assumed to have definitive utilitarian value applicable to rental rate adjustments. Relative values of these recognized desirable characteristics are qualitative, consequently are not treated in the manner of a utilitarian adjustment which has a directly quantifiable effect on rents.</w:t>
            </w:r>
          </w:p>
        </w:tc>
      </w:tr>
    </w:tbl>
    <w:p w14:paraId="2D873265" w14:textId="77777777" w:rsidR="0019246C" w:rsidRDefault="0019246C" w:rsidP="00BA0F9A">
      <w:pPr>
        <w:pStyle w:val="Heading1"/>
        <w:shd w:val="clear" w:color="auto" w:fill="FFFFFF"/>
        <w:spacing w:before="0" w:beforeAutospacing="0" w:after="0" w:afterAutospacing="0" w:line="288" w:lineRule="atLeast"/>
        <w:textAlignment w:val="baseline"/>
        <w:rPr>
          <w:rStyle w:val="titlehead"/>
          <w:rFonts w:ascii="Arial" w:hAnsi="Arial" w:cs="Arial"/>
          <w:b w:val="0"/>
          <w:bCs w:val="0"/>
          <w:color w:val="545454"/>
          <w:spacing w:val="-7"/>
          <w:sz w:val="65"/>
          <w:szCs w:val="65"/>
          <w:bdr w:val="none" w:sz="0" w:space="0" w:color="auto" w:frame="1"/>
        </w:rPr>
      </w:pPr>
    </w:p>
    <w:p w14:paraId="14346B33" w14:textId="00F40C44" w:rsidR="00BA0F9A" w:rsidRDefault="00BA0F9A" w:rsidP="00BA0F9A">
      <w:pPr>
        <w:pStyle w:val="Heading1"/>
        <w:shd w:val="clear" w:color="auto" w:fill="FFFFFF"/>
        <w:spacing w:before="0" w:beforeAutospacing="0" w:after="0" w:afterAutospacing="0" w:line="288" w:lineRule="atLeast"/>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lastRenderedPageBreak/>
        <w:t>Apartment Rental Rate Uses</w:t>
      </w:r>
    </w:p>
    <w:p w14:paraId="3A014B29"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Reference is made to apartment rental rates when:</w:t>
      </w:r>
    </w:p>
    <w:p w14:paraId="5EAD303F" w14:textId="77777777" w:rsidR="00BA0F9A" w:rsidRDefault="00BA0F9A" w:rsidP="00BA0F9A">
      <w:pPr>
        <w:numPr>
          <w:ilvl w:val="0"/>
          <w:numId w:val="19"/>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Defining a property's income potential</w:t>
      </w:r>
      <w:r>
        <w:rPr>
          <w:rFonts w:ascii="inherit" w:hAnsi="inherit" w:cs="Arial"/>
          <w:color w:val="1A1A1A"/>
        </w:rPr>
        <w:t xml:space="preserve">, when a property appears to be </w:t>
      </w:r>
      <w:proofErr w:type="spellStart"/>
      <w:r>
        <w:rPr>
          <w:rFonts w:ascii="inherit" w:hAnsi="inherit" w:cs="Arial"/>
          <w:color w:val="1A1A1A"/>
        </w:rPr>
        <w:t>under utilized</w:t>
      </w:r>
      <w:proofErr w:type="spellEnd"/>
      <w:r>
        <w:rPr>
          <w:rFonts w:ascii="inherit" w:hAnsi="inherit" w:cs="Arial"/>
          <w:color w:val="1A1A1A"/>
        </w:rPr>
        <w:t xml:space="preserve"> in comparison with its competitors (see Asset Manager report</w:t>
      </w:r>
      <w:proofErr w:type="gramStart"/>
      <w:r>
        <w:rPr>
          <w:rFonts w:ascii="inherit" w:hAnsi="inherit" w:cs="Arial"/>
          <w:color w:val="1A1A1A"/>
        </w:rPr>
        <w:t>);</w:t>
      </w:r>
      <w:proofErr w:type="gramEnd"/>
    </w:p>
    <w:p w14:paraId="3520BE40" w14:textId="77777777" w:rsidR="00BA0F9A" w:rsidRDefault="00BA0F9A" w:rsidP="00BA0F9A">
      <w:pPr>
        <w:numPr>
          <w:ilvl w:val="0"/>
          <w:numId w:val="19"/>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Comparing a property’s operations to submarket competitors</w:t>
      </w:r>
      <w:r>
        <w:rPr>
          <w:rFonts w:ascii="inherit" w:hAnsi="inherit" w:cs="Arial"/>
          <w:color w:val="1A1A1A"/>
        </w:rPr>
        <w:t>, placing the subject property into </w:t>
      </w:r>
      <w:r>
        <w:rPr>
          <w:rStyle w:val="Strong"/>
          <w:rFonts w:ascii="inherit" w:hAnsi="inherit" w:cs="Arial"/>
          <w:color w:val="1A1A1A"/>
          <w:bdr w:val="none" w:sz="0" w:space="0" w:color="auto" w:frame="1"/>
        </w:rPr>
        <w:t>Context</w:t>
      </w:r>
      <w:r>
        <w:rPr>
          <w:rFonts w:ascii="inherit" w:hAnsi="inherit" w:cs="Arial"/>
          <w:color w:val="1A1A1A"/>
        </w:rPr>
        <w:t> with competitive communities (see Asset Manager report</w:t>
      </w:r>
      <w:proofErr w:type="gramStart"/>
      <w:r>
        <w:rPr>
          <w:rFonts w:ascii="inherit" w:hAnsi="inherit" w:cs="Arial"/>
          <w:color w:val="1A1A1A"/>
        </w:rPr>
        <w:t>);</w:t>
      </w:r>
      <w:proofErr w:type="gramEnd"/>
    </w:p>
    <w:p w14:paraId="442F5D2A" w14:textId="77777777" w:rsidR="00BA0F9A" w:rsidRDefault="00BA0F9A" w:rsidP="00BA0F9A">
      <w:pPr>
        <w:numPr>
          <w:ilvl w:val="0"/>
          <w:numId w:val="19"/>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Comparing a submarket's relative market strength</w:t>
      </w:r>
      <w:r>
        <w:rPr>
          <w:rFonts w:ascii="inherit" w:hAnsi="inherit" w:cs="Arial"/>
          <w:color w:val="1A1A1A"/>
        </w:rPr>
        <w:t xml:space="preserve"> (in rental rate terms) in comparison with other submarkets, or the metropolitan area as a whole (see </w:t>
      </w:r>
      <w:proofErr w:type="spellStart"/>
      <w:r>
        <w:rPr>
          <w:rFonts w:ascii="inherit" w:hAnsi="inherit" w:cs="Arial"/>
          <w:color w:val="1A1A1A"/>
        </w:rPr>
        <w:t>Pace</w:t>
      </w:r>
      <w:proofErr w:type="spellEnd"/>
      <w:r>
        <w:rPr>
          <w:rFonts w:ascii="inherit" w:hAnsi="inherit" w:cs="Arial"/>
          <w:color w:val="1A1A1A"/>
        </w:rPr>
        <w:t xml:space="preserve"> report</w:t>
      </w:r>
      <w:proofErr w:type="gramStart"/>
      <w:r>
        <w:rPr>
          <w:rFonts w:ascii="inherit" w:hAnsi="inherit" w:cs="Arial"/>
          <w:color w:val="1A1A1A"/>
        </w:rPr>
        <w:t>);</w:t>
      </w:r>
      <w:proofErr w:type="gramEnd"/>
    </w:p>
    <w:p w14:paraId="6815EBC6" w14:textId="77777777" w:rsidR="00BA0F9A" w:rsidRDefault="00BA0F9A" w:rsidP="00BA0F9A">
      <w:pPr>
        <w:numPr>
          <w:ilvl w:val="0"/>
          <w:numId w:val="19"/>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Defining a market/submarket environment</w:t>
      </w:r>
      <w:r>
        <w:rPr>
          <w:rFonts w:ascii="inherit" w:hAnsi="inherit" w:cs="Arial"/>
          <w:color w:val="1A1A1A"/>
        </w:rPr>
        <w:t> (</w:t>
      </w:r>
      <w:proofErr w:type="gramStart"/>
      <w:r>
        <w:rPr>
          <w:rFonts w:ascii="inherit" w:hAnsi="inherit" w:cs="Arial"/>
          <w:color w:val="1A1A1A"/>
        </w:rPr>
        <w:t>i.e.</w:t>
      </w:r>
      <w:proofErr w:type="gramEnd"/>
      <w:r>
        <w:rPr>
          <w:rFonts w:ascii="inherit" w:hAnsi="inherit" w:cs="Arial"/>
          <w:color w:val="1A1A1A"/>
        </w:rPr>
        <w:t xml:space="preserve"> low, high and average rental rates), setting aside concerns relating to specific properties (see Array or Pace report);</w:t>
      </w:r>
    </w:p>
    <w:p w14:paraId="2C02EAC4" w14:textId="77777777" w:rsidR="00BA0F9A" w:rsidRDefault="00BA0F9A" w:rsidP="00BA0F9A">
      <w:pPr>
        <w:numPr>
          <w:ilvl w:val="0"/>
          <w:numId w:val="19"/>
        </w:numPr>
        <w:shd w:val="clear" w:color="auto" w:fill="FFFFFF"/>
        <w:spacing w:after="0" w:line="300" w:lineRule="atLeast"/>
        <w:ind w:left="1095"/>
        <w:textAlignment w:val="baseline"/>
        <w:rPr>
          <w:rFonts w:ascii="inherit" w:hAnsi="inherit" w:cs="Arial"/>
          <w:color w:val="1A1A1A"/>
        </w:rPr>
      </w:pPr>
      <w:r>
        <w:rPr>
          <w:rStyle w:val="Strong"/>
          <w:rFonts w:ascii="inherit" w:hAnsi="inherit" w:cs="Arial"/>
          <w:color w:val="1A1A1A"/>
          <w:bdr w:val="none" w:sz="0" w:space="0" w:color="auto" w:frame="1"/>
        </w:rPr>
        <w:t>Comparing a subject property's Rental rates with competitive property rents</w:t>
      </w:r>
      <w:r>
        <w:rPr>
          <w:rFonts w:ascii="inherit" w:hAnsi="inherit" w:cs="Arial"/>
          <w:color w:val="1A1A1A"/>
        </w:rPr>
        <w:t> – This property-to-property comparison illustrates both Actual and Market Standard rental rates among compared properties to a subject property’s rental rates (see Orbit and Asset Manager reports).</w:t>
      </w:r>
    </w:p>
    <w:p w14:paraId="06F520E5"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As the two applications of reference – Property-Related and Market Related – are concerned, rents are represented as either Actual or Market Standard as:</w:t>
      </w:r>
    </w:p>
    <w:p w14:paraId="04FBB3CE" w14:textId="77777777" w:rsidR="00BA0F9A" w:rsidRDefault="00BA0F9A" w:rsidP="00BA0F9A">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Property-Specific Rent Illustrations</w:t>
      </w:r>
    </w:p>
    <w:p w14:paraId="472DABAB"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Property-specific rental rate comparisons provide:</w:t>
      </w:r>
    </w:p>
    <w:p w14:paraId="3E1FA40D" w14:textId="77777777" w:rsidR="00BA0F9A" w:rsidRDefault="00BA0F9A" w:rsidP="00BA0F9A">
      <w:pPr>
        <w:pStyle w:val="NormalWeb"/>
        <w:shd w:val="clear" w:color="auto" w:fill="FFFFFF"/>
        <w:spacing w:before="0" w:beforeAutospacing="0" w:after="0" w:afterAutospacing="0" w:line="360" w:lineRule="atLeast"/>
        <w:ind w:left="240" w:right="240"/>
        <w:textAlignment w:val="baseline"/>
        <w:rPr>
          <w:rFonts w:ascii="inherit" w:hAnsi="inherit" w:cs="Arial"/>
          <w:color w:val="1A1A1A"/>
        </w:rPr>
      </w:pPr>
      <w:r>
        <w:rPr>
          <w:rStyle w:val="Strong"/>
          <w:rFonts w:ascii="inherit" w:eastAsiaTheme="majorEastAsia" w:hAnsi="inherit" w:cs="Arial"/>
          <w:color w:val="1A1A1A"/>
          <w:bdr w:val="none" w:sz="0" w:space="0" w:color="auto" w:frame="1"/>
        </w:rPr>
        <w:t>Unit-by-Unit</w:t>
      </w:r>
      <w:r>
        <w:rPr>
          <w:rFonts w:ascii="inherit" w:hAnsi="inherit" w:cs="Arial"/>
          <w:color w:val="1A1A1A"/>
        </w:rPr>
        <w:t> – When a unit-by-unit rent comparison is made, rental rates of a particular unit type are compared with all units of the same type serving the submarket. This comparison relates the selected floorplan's rents to rents among competitive properties under either an Actual, or Market Standard, rent.</w:t>
      </w:r>
    </w:p>
    <w:p w14:paraId="5EE553E6" w14:textId="77777777" w:rsidR="00BA0F9A" w:rsidRDefault="00BA0F9A" w:rsidP="00BA0F9A">
      <w:pPr>
        <w:pStyle w:val="NormalWeb"/>
        <w:shd w:val="clear" w:color="auto" w:fill="FFFFFF"/>
        <w:spacing w:before="0" w:beforeAutospacing="0" w:after="0" w:afterAutospacing="0" w:line="360" w:lineRule="atLeast"/>
        <w:ind w:left="240" w:right="240"/>
        <w:textAlignment w:val="baseline"/>
        <w:rPr>
          <w:rFonts w:ascii="inherit" w:hAnsi="inherit" w:cs="Arial"/>
          <w:color w:val="1A1A1A"/>
        </w:rPr>
      </w:pPr>
      <w:r>
        <w:rPr>
          <w:rStyle w:val="Strong"/>
          <w:rFonts w:ascii="inherit" w:eastAsiaTheme="majorEastAsia" w:hAnsi="inherit" w:cs="Arial"/>
          <w:color w:val="1A1A1A"/>
          <w:bdr w:val="none" w:sz="0" w:space="0" w:color="auto" w:frame="1"/>
        </w:rPr>
        <w:t>Property-to-Property</w:t>
      </w:r>
      <w:r>
        <w:rPr>
          <w:rFonts w:ascii="inherit" w:hAnsi="inherit" w:cs="Arial"/>
          <w:color w:val="1A1A1A"/>
        </w:rPr>
        <w:t> – The Orbit survey provides a property-to-property comparison, illustrating a subject property, and competitive property, rents as both Actual and Market Standard – by individual floorplan.</w:t>
      </w:r>
    </w:p>
    <w:p w14:paraId="1ED07BD8" w14:textId="77777777" w:rsidR="00BA0F9A" w:rsidRDefault="00BA0F9A" w:rsidP="00BA0F9A">
      <w:pPr>
        <w:pStyle w:val="NormalWeb"/>
        <w:shd w:val="clear" w:color="auto" w:fill="FFFFFF"/>
        <w:spacing w:before="0" w:beforeAutospacing="0" w:after="0" w:afterAutospacing="0" w:line="360" w:lineRule="atLeast"/>
        <w:ind w:left="240" w:right="240"/>
        <w:textAlignment w:val="baseline"/>
        <w:rPr>
          <w:rFonts w:ascii="inherit" w:hAnsi="inherit" w:cs="Arial"/>
          <w:color w:val="1A1A1A"/>
        </w:rPr>
      </w:pPr>
      <w:r>
        <w:rPr>
          <w:rStyle w:val="Strong"/>
          <w:rFonts w:ascii="inherit" w:eastAsiaTheme="majorEastAsia" w:hAnsi="inherit" w:cs="Arial"/>
          <w:color w:val="1A1A1A"/>
          <w:bdr w:val="none" w:sz="0" w:space="0" w:color="auto" w:frame="1"/>
        </w:rPr>
        <w:t>Property Description</w:t>
      </w:r>
      <w:r>
        <w:rPr>
          <w:rFonts w:ascii="inherit" w:hAnsi="inherit" w:cs="Arial"/>
          <w:color w:val="1A1A1A"/>
        </w:rPr>
        <w:t> – A property's current rents, are held as Actual rents charged by the property at the time of survey. A property’s rental rate history illustrates September-October Benchmark survey period rental rates.</w:t>
      </w:r>
    </w:p>
    <w:p w14:paraId="3F2BC66A" w14:textId="77777777" w:rsidR="00BA0F9A" w:rsidRDefault="00BA0F9A" w:rsidP="00BA0F9A">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Market -Specific Rent Illustrations</w:t>
      </w:r>
    </w:p>
    <w:p w14:paraId="0D67AC26"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When reference defines rental market conditions within a geographic area, (as opposed to illustrating a specific property’s rents), market rental rate parameters (area low, </w:t>
      </w:r>
      <w:proofErr w:type="gramStart"/>
      <w:r>
        <w:rPr>
          <w:rFonts w:ascii="inherit" w:hAnsi="inherit" w:cs="Arial"/>
          <w:color w:val="1A1A1A"/>
        </w:rPr>
        <w:t>high</w:t>
      </w:r>
      <w:proofErr w:type="gramEnd"/>
      <w:r>
        <w:rPr>
          <w:rFonts w:ascii="inherit" w:hAnsi="inherit" w:cs="Arial"/>
          <w:color w:val="1A1A1A"/>
        </w:rPr>
        <w:t xml:space="preserve"> and average rents) are illustrated as Market Standard rents.</w:t>
      </w:r>
    </w:p>
    <w:p w14:paraId="3008EA8C" w14:textId="77777777" w:rsidR="00BA0F9A" w:rsidRPr="00BA0F9A" w:rsidRDefault="00BA0F9A" w:rsidP="0019246C">
      <w:pPr>
        <w:shd w:val="clear" w:color="auto" w:fill="FFFFFF"/>
        <w:spacing w:after="0" w:line="288" w:lineRule="atLeast"/>
        <w:jc w:val="center"/>
        <w:textAlignment w:val="baseline"/>
        <w:outlineLvl w:val="0"/>
        <w:rPr>
          <w:rFonts w:ascii="Arial" w:eastAsia="Times New Roman" w:hAnsi="Arial" w:cs="Arial"/>
          <w:color w:val="545454"/>
          <w:spacing w:val="-7"/>
          <w:kern w:val="36"/>
          <w:sz w:val="65"/>
          <w:szCs w:val="65"/>
        </w:rPr>
      </w:pPr>
      <w:r w:rsidRPr="00BA0F9A">
        <w:rPr>
          <w:rFonts w:ascii="Arial" w:eastAsia="Times New Roman" w:hAnsi="Arial" w:cs="Arial"/>
          <w:color w:val="545454"/>
          <w:spacing w:val="-7"/>
          <w:kern w:val="36"/>
          <w:sz w:val="65"/>
          <w:szCs w:val="65"/>
          <w:bdr w:val="none" w:sz="0" w:space="0" w:color="auto" w:frame="1"/>
        </w:rPr>
        <w:t>How We Research Apartment Sale Activity</w:t>
      </w:r>
    </w:p>
    <w:p w14:paraId="611AC9E2" w14:textId="77777777" w:rsidR="00BA0F9A" w:rsidRPr="00BA0F9A" w:rsidRDefault="00BA0F9A" w:rsidP="00BA0F9A">
      <w:pPr>
        <w:shd w:val="clear" w:color="auto" w:fill="FFFFFF"/>
        <w:spacing w:before="225" w:after="150"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We recognize the importance of a high standard of care given to the sale confirmation process.</w:t>
      </w:r>
    </w:p>
    <w:p w14:paraId="5BBFD8D0" w14:textId="77777777" w:rsidR="00BA0F9A" w:rsidRPr="00BA0F9A" w:rsidRDefault="00BA0F9A" w:rsidP="00BA0F9A">
      <w:pPr>
        <w:shd w:val="clear" w:color="auto" w:fill="FFFFFF"/>
        <w:spacing w:before="225" w:after="150"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lastRenderedPageBreak/>
        <w:t>Sale activity, along with rents and vacancy, is one of the three most frequently tracked data elements among data providers reporting on apartment market conditions. But considerable differences separate reporting sources at the verification/confirmation level.</w:t>
      </w:r>
    </w:p>
    <w:p w14:paraId="69ED8B1C" w14:textId="77777777" w:rsidR="00BA0F9A" w:rsidRPr="00BA0F9A" w:rsidRDefault="00BA0F9A" w:rsidP="00BA0F9A">
      <w:pPr>
        <w:shd w:val="clear" w:color="auto" w:fill="FFFFFF"/>
        <w:spacing w:before="225" w:after="150"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Yardi Matrix sale transaction research accesses all available sale data sources:</w:t>
      </w:r>
    </w:p>
    <w:p w14:paraId="58FEB26C" w14:textId="77777777" w:rsidR="00BA0F9A" w:rsidRPr="00BA0F9A" w:rsidRDefault="00BA0F9A" w:rsidP="00BA0F9A">
      <w:pPr>
        <w:numPr>
          <w:ilvl w:val="0"/>
          <w:numId w:val="20"/>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Public records</w:t>
      </w:r>
    </w:p>
    <w:p w14:paraId="3E0FBFBD" w14:textId="77777777" w:rsidR="00BA0F9A" w:rsidRPr="00BA0F9A" w:rsidRDefault="00BA0F9A" w:rsidP="00BA0F9A">
      <w:pPr>
        <w:numPr>
          <w:ilvl w:val="0"/>
          <w:numId w:val="20"/>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Building owners</w:t>
      </w:r>
    </w:p>
    <w:p w14:paraId="7D3B7BB7" w14:textId="77777777" w:rsidR="00BA0F9A" w:rsidRPr="00BA0F9A" w:rsidRDefault="00BA0F9A" w:rsidP="00BA0F9A">
      <w:pPr>
        <w:numPr>
          <w:ilvl w:val="0"/>
          <w:numId w:val="20"/>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Secondary data vendors</w:t>
      </w:r>
    </w:p>
    <w:p w14:paraId="6E061550" w14:textId="77777777" w:rsidR="00BA0F9A" w:rsidRPr="00BA0F9A" w:rsidRDefault="00BA0F9A" w:rsidP="00BA0F9A">
      <w:pPr>
        <w:numPr>
          <w:ilvl w:val="0"/>
          <w:numId w:val="20"/>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Publications - print and electronic</w:t>
      </w:r>
    </w:p>
    <w:p w14:paraId="7A6C8563" w14:textId="77777777" w:rsidR="00BA0F9A" w:rsidRPr="00BA0F9A" w:rsidRDefault="00BA0F9A" w:rsidP="00BA0F9A">
      <w:pPr>
        <w:numPr>
          <w:ilvl w:val="0"/>
          <w:numId w:val="20"/>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Parties to the transaction - buyer, seller, brokers</w:t>
      </w:r>
    </w:p>
    <w:p w14:paraId="30461363" w14:textId="77777777" w:rsidR="00BA0F9A" w:rsidRPr="00BA0F9A" w:rsidRDefault="00BA0F9A" w:rsidP="00BA0F9A">
      <w:pPr>
        <w:shd w:val="clear" w:color="auto" w:fill="FFFFFF"/>
        <w:spacing w:before="225" w:after="150"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In some counties sale prices are not disclosed, or, if disclosed, are maintained effectively out of reach. Whatever the condition, our process requires sale verification by a buyer, seller, and/or brokers when possible. When verification is not possible, a sale price is noted as "unconfirmed".</w:t>
      </w:r>
    </w:p>
    <w:p w14:paraId="0B629083" w14:textId="77777777" w:rsidR="00BA0F9A" w:rsidRPr="00BA0F9A" w:rsidRDefault="00BA0F9A" w:rsidP="00BA0F9A">
      <w:pPr>
        <w:shd w:val="clear" w:color="auto" w:fill="FFFFFF"/>
        <w:spacing w:before="225" w:after="150"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Need for care in the confirmation process is made more apparent when sale accuracy can be influenced by several anomalies:</w:t>
      </w:r>
    </w:p>
    <w:p w14:paraId="5F4EB95F" w14:textId="77777777" w:rsidR="00BA0F9A" w:rsidRPr="00BA0F9A" w:rsidRDefault="00BA0F9A" w:rsidP="00BA0F9A">
      <w:pPr>
        <w:numPr>
          <w:ilvl w:val="0"/>
          <w:numId w:val="2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 xml:space="preserve">When an apartment is sold in combination with significant extra </w:t>
      </w:r>
      <w:proofErr w:type="gramStart"/>
      <w:r w:rsidRPr="00BA0F9A">
        <w:rPr>
          <w:rFonts w:ascii="inherit" w:eastAsia="Times New Roman" w:hAnsi="inherit" w:cs="Arial"/>
          <w:color w:val="1A1A1A"/>
          <w:sz w:val="24"/>
          <w:szCs w:val="24"/>
        </w:rPr>
        <w:t>land;</w:t>
      </w:r>
      <w:proofErr w:type="gramEnd"/>
    </w:p>
    <w:p w14:paraId="6A2A4BCC" w14:textId="77777777" w:rsidR="00BA0F9A" w:rsidRPr="00BA0F9A" w:rsidRDefault="00BA0F9A" w:rsidP="00BA0F9A">
      <w:pPr>
        <w:numPr>
          <w:ilvl w:val="0"/>
          <w:numId w:val="2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 xml:space="preserve">When a sale is a component of a portfolio </w:t>
      </w:r>
      <w:proofErr w:type="gramStart"/>
      <w:r w:rsidRPr="00BA0F9A">
        <w:rPr>
          <w:rFonts w:ascii="inherit" w:eastAsia="Times New Roman" w:hAnsi="inherit" w:cs="Arial"/>
          <w:color w:val="1A1A1A"/>
          <w:sz w:val="24"/>
          <w:szCs w:val="24"/>
        </w:rPr>
        <w:t>transaction;</w:t>
      </w:r>
      <w:proofErr w:type="gramEnd"/>
    </w:p>
    <w:p w14:paraId="73AACC97" w14:textId="77777777" w:rsidR="00BA0F9A" w:rsidRPr="00BA0F9A" w:rsidRDefault="00BA0F9A" w:rsidP="00BA0F9A">
      <w:pPr>
        <w:numPr>
          <w:ilvl w:val="0"/>
          <w:numId w:val="2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When a sale includes other components, such as in a mixed-use development incorporating retail (office, hotels) in combination with apartments.</w:t>
      </w:r>
    </w:p>
    <w:p w14:paraId="7A77A3E1" w14:textId="77777777" w:rsidR="00BA0F9A" w:rsidRPr="00BA0F9A" w:rsidRDefault="00BA0F9A" w:rsidP="00BA0F9A">
      <w:pPr>
        <w:numPr>
          <w:ilvl w:val="0"/>
          <w:numId w:val="2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 xml:space="preserve">When an apartment sale is subject to a </w:t>
      </w:r>
      <w:proofErr w:type="spellStart"/>
      <w:r w:rsidRPr="00BA0F9A">
        <w:rPr>
          <w:rFonts w:ascii="inherit" w:eastAsia="Times New Roman" w:hAnsi="inherit" w:cs="Arial"/>
          <w:color w:val="1A1A1A"/>
          <w:sz w:val="24"/>
          <w:szCs w:val="24"/>
        </w:rPr>
        <w:t>groundlease</w:t>
      </w:r>
      <w:proofErr w:type="spellEnd"/>
      <w:r w:rsidRPr="00BA0F9A">
        <w:rPr>
          <w:rFonts w:ascii="inherit" w:eastAsia="Times New Roman" w:hAnsi="inherit" w:cs="Arial"/>
          <w:color w:val="1A1A1A"/>
          <w:sz w:val="24"/>
          <w:szCs w:val="24"/>
        </w:rPr>
        <w:t>.</w:t>
      </w:r>
    </w:p>
    <w:p w14:paraId="5AD6E5A6" w14:textId="77777777" w:rsidR="00BA0F9A" w:rsidRPr="00BA0F9A" w:rsidRDefault="00BA0F9A" w:rsidP="00BA0F9A">
      <w:pPr>
        <w:numPr>
          <w:ilvl w:val="0"/>
          <w:numId w:val="21"/>
        </w:numPr>
        <w:shd w:val="clear" w:color="auto" w:fill="FFFFFF"/>
        <w:spacing w:before="75" w:after="150" w:line="300" w:lineRule="atLeast"/>
        <w:ind w:left="1095"/>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When ownership changes through a non-</w:t>
      </w:r>
      <w:proofErr w:type="spellStart"/>
      <w:r w:rsidRPr="00BA0F9A">
        <w:rPr>
          <w:rFonts w:ascii="inherit" w:eastAsia="Times New Roman" w:hAnsi="inherit" w:cs="Arial"/>
          <w:color w:val="1A1A1A"/>
          <w:sz w:val="24"/>
          <w:szCs w:val="24"/>
        </w:rPr>
        <w:t>arms length</w:t>
      </w:r>
      <w:proofErr w:type="spellEnd"/>
      <w:r w:rsidRPr="00BA0F9A">
        <w:rPr>
          <w:rFonts w:ascii="inherit" w:eastAsia="Times New Roman" w:hAnsi="inherit" w:cs="Arial"/>
          <w:color w:val="1A1A1A"/>
          <w:sz w:val="24"/>
          <w:szCs w:val="24"/>
        </w:rPr>
        <w:t xml:space="preserve"> transaction</w:t>
      </w:r>
    </w:p>
    <w:p w14:paraId="0134F557" w14:textId="77777777" w:rsidR="00BA0F9A" w:rsidRPr="00BA0F9A" w:rsidRDefault="00BA0F9A" w:rsidP="00BA0F9A">
      <w:pPr>
        <w:shd w:val="clear" w:color="auto" w:fill="FFFFFF"/>
        <w:spacing w:before="225" w:after="150"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We endeavor to complete these confirmations in sale detail reporting. In all cases notation is made on the sale comparable regarding inclusion of "other factors".</w:t>
      </w:r>
    </w:p>
    <w:p w14:paraId="67B4AA86" w14:textId="77777777" w:rsidR="00BA0F9A" w:rsidRPr="00BA0F9A" w:rsidRDefault="00BA0F9A" w:rsidP="00BA0F9A">
      <w:pPr>
        <w:shd w:val="clear" w:color="auto" w:fill="FFFFFF"/>
        <w:spacing w:before="225" w:line="360" w:lineRule="atLeast"/>
        <w:textAlignment w:val="baseline"/>
        <w:rPr>
          <w:rFonts w:ascii="inherit" w:eastAsia="Times New Roman" w:hAnsi="inherit" w:cs="Arial"/>
          <w:color w:val="1A1A1A"/>
          <w:sz w:val="24"/>
          <w:szCs w:val="24"/>
        </w:rPr>
      </w:pPr>
      <w:r w:rsidRPr="00BA0F9A">
        <w:rPr>
          <w:rFonts w:ascii="inherit" w:eastAsia="Times New Roman" w:hAnsi="inherit" w:cs="Arial"/>
          <w:color w:val="1A1A1A"/>
          <w:sz w:val="24"/>
          <w:szCs w:val="24"/>
        </w:rPr>
        <w:t xml:space="preserve">Sale confirmation from the time of sale recordation, until entry into our base, is </w:t>
      </w:r>
      <w:proofErr w:type="spellStart"/>
      <w:r w:rsidRPr="00BA0F9A">
        <w:rPr>
          <w:rFonts w:ascii="inherit" w:eastAsia="Times New Roman" w:hAnsi="inherit" w:cs="Arial"/>
          <w:color w:val="1A1A1A"/>
          <w:sz w:val="24"/>
          <w:szCs w:val="24"/>
        </w:rPr>
        <w:t>dependant</w:t>
      </w:r>
      <w:proofErr w:type="spellEnd"/>
      <w:r w:rsidRPr="00BA0F9A">
        <w:rPr>
          <w:rFonts w:ascii="inherit" w:eastAsia="Times New Roman" w:hAnsi="inherit" w:cs="Arial"/>
          <w:color w:val="1A1A1A"/>
          <w:sz w:val="24"/>
          <w:szCs w:val="24"/>
        </w:rPr>
        <w:t xml:space="preserve"> on Recorder access/timing of sale notice. </w:t>
      </w:r>
      <w:proofErr w:type="gramStart"/>
      <w:r w:rsidRPr="00BA0F9A">
        <w:rPr>
          <w:rFonts w:ascii="inherit" w:eastAsia="Times New Roman" w:hAnsi="inherit" w:cs="Arial"/>
          <w:color w:val="1A1A1A"/>
          <w:sz w:val="24"/>
          <w:szCs w:val="24"/>
        </w:rPr>
        <w:t>Typically</w:t>
      </w:r>
      <w:proofErr w:type="gramEnd"/>
      <w:r w:rsidRPr="00BA0F9A">
        <w:rPr>
          <w:rFonts w:ascii="inherit" w:eastAsia="Times New Roman" w:hAnsi="inherit" w:cs="Arial"/>
          <w:color w:val="1A1A1A"/>
          <w:sz w:val="24"/>
          <w:szCs w:val="24"/>
        </w:rPr>
        <w:t xml:space="preserve"> sales are entered within two to five weeks following sale notice.</w:t>
      </w:r>
    </w:p>
    <w:p w14:paraId="648D32D7" w14:textId="7EF15882" w:rsidR="00BA0F9A" w:rsidRDefault="00BA0F9A" w:rsidP="0019246C">
      <w:pPr>
        <w:pStyle w:val="Heading1"/>
        <w:shd w:val="clear" w:color="auto" w:fill="FFFFFF"/>
        <w:spacing w:before="0" w:beforeAutospacing="0" w:after="0" w:afterAutospacing="0" w:line="288" w:lineRule="atLeast"/>
        <w:jc w:val="center"/>
        <w:textAlignment w:val="baseline"/>
        <w:rPr>
          <w:rFonts w:ascii="Arial" w:hAnsi="Arial" w:cs="Arial"/>
          <w:b w:val="0"/>
          <w:bCs w:val="0"/>
          <w:color w:val="545454"/>
          <w:spacing w:val="-7"/>
          <w:sz w:val="65"/>
          <w:szCs w:val="65"/>
        </w:rPr>
      </w:pPr>
      <w:r>
        <w:rPr>
          <w:rStyle w:val="titlehead"/>
          <w:rFonts w:ascii="Arial" w:hAnsi="Arial" w:cs="Arial"/>
          <w:b w:val="0"/>
          <w:bCs w:val="0"/>
          <w:color w:val="545454"/>
          <w:spacing w:val="-7"/>
          <w:sz w:val="65"/>
          <w:szCs w:val="65"/>
          <w:bdr w:val="none" w:sz="0" w:space="0" w:color="auto" w:frame="1"/>
        </w:rPr>
        <w:t>How We Report Condominium Conversions</w:t>
      </w:r>
    </w:p>
    <w:p w14:paraId="17E45D11"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Properties operated initially as apartment communities - then later converted to other uses - are illustrated for purposes of defining an area's potential rental inventory.</w:t>
      </w:r>
    </w:p>
    <w:p w14:paraId="2ED30B6D"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Conversions are illustrated by type of use as:</w:t>
      </w:r>
    </w:p>
    <w:p w14:paraId="716A1B8D" w14:textId="77777777" w:rsidR="00BA0F9A" w:rsidRDefault="00BA0F9A" w:rsidP="00BA0F9A">
      <w:pPr>
        <w:numPr>
          <w:ilvl w:val="0"/>
          <w:numId w:val="22"/>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Condominium - partial conversion</w:t>
      </w:r>
    </w:p>
    <w:p w14:paraId="0EAFF0F4" w14:textId="77777777" w:rsidR="00BA0F9A" w:rsidRDefault="00BA0F9A" w:rsidP="00BA0F9A">
      <w:pPr>
        <w:numPr>
          <w:ilvl w:val="0"/>
          <w:numId w:val="22"/>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Condominium - full conversion</w:t>
      </w:r>
    </w:p>
    <w:p w14:paraId="0EBB7684" w14:textId="77777777" w:rsidR="00BA0F9A" w:rsidRDefault="00BA0F9A" w:rsidP="00BA0F9A">
      <w:pPr>
        <w:numPr>
          <w:ilvl w:val="0"/>
          <w:numId w:val="22"/>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Hotel</w:t>
      </w:r>
    </w:p>
    <w:p w14:paraId="48BE706F" w14:textId="77777777" w:rsidR="00BA0F9A" w:rsidRDefault="00BA0F9A" w:rsidP="00BA0F9A">
      <w:pPr>
        <w:numPr>
          <w:ilvl w:val="0"/>
          <w:numId w:val="22"/>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lastRenderedPageBreak/>
        <w:t>Timeshare</w:t>
      </w:r>
    </w:p>
    <w:p w14:paraId="4CEC1AEE" w14:textId="77777777" w:rsidR="00BA0F9A" w:rsidRDefault="00BA0F9A" w:rsidP="00BA0F9A">
      <w:pPr>
        <w:numPr>
          <w:ilvl w:val="0"/>
          <w:numId w:val="22"/>
        </w:numPr>
        <w:shd w:val="clear" w:color="auto" w:fill="FFFFFF"/>
        <w:spacing w:before="75" w:after="150" w:line="300" w:lineRule="atLeast"/>
        <w:ind w:left="1095"/>
        <w:textAlignment w:val="baseline"/>
        <w:rPr>
          <w:rFonts w:ascii="inherit" w:hAnsi="inherit" w:cs="Arial"/>
          <w:color w:val="1A1A1A"/>
        </w:rPr>
      </w:pPr>
      <w:r>
        <w:rPr>
          <w:rFonts w:ascii="inherit" w:hAnsi="inherit" w:cs="Arial"/>
          <w:color w:val="1A1A1A"/>
        </w:rPr>
        <w:t>Senior Housing</w:t>
      </w:r>
    </w:p>
    <w:p w14:paraId="18D1F6AD"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Differentiation between partial conversions and full conversions defines as:</w:t>
      </w:r>
    </w:p>
    <w:p w14:paraId="49F118FF" w14:textId="77777777" w:rsidR="00BA0F9A" w:rsidRDefault="00BA0F9A" w:rsidP="00BA0F9A">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Condominiums - Partial Conversions</w:t>
      </w:r>
    </w:p>
    <w:p w14:paraId="4158D9C9"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Partial conversion to condominiums ranges from properties which have been sold in part to individual owners for occupancy as primary or secondary </w:t>
      </w:r>
      <w:proofErr w:type="gramStart"/>
      <w:r>
        <w:rPr>
          <w:rFonts w:ascii="inherit" w:hAnsi="inherit" w:cs="Arial"/>
          <w:color w:val="1A1A1A"/>
        </w:rPr>
        <w:t>residences, but</w:t>
      </w:r>
      <w:proofErr w:type="gramEnd"/>
      <w:r>
        <w:rPr>
          <w:rFonts w:ascii="inherit" w:hAnsi="inherit" w:cs="Arial"/>
          <w:color w:val="1A1A1A"/>
        </w:rPr>
        <w:t xml:space="preserve"> emphasize ownership for investment in which units remain in a rental pool. Partially converted properties are principally owned for investment, incorporating blocks of units held by single individuals.</w:t>
      </w:r>
    </w:p>
    <w:p w14:paraId="08A7C41F" w14:textId="77777777" w:rsidR="00BA0F9A" w:rsidRDefault="00BA0F9A" w:rsidP="00BA0F9A">
      <w:pPr>
        <w:pStyle w:val="Heading2"/>
        <w:shd w:val="clear" w:color="auto" w:fill="FFFFFF"/>
        <w:spacing w:before="168" w:after="120" w:line="288" w:lineRule="atLeast"/>
        <w:textAlignment w:val="baseline"/>
        <w:rPr>
          <w:rFonts w:ascii="Open Sans" w:hAnsi="Open Sans" w:cs="Open Sans"/>
          <w:color w:val="1A1A1A"/>
          <w:sz w:val="41"/>
          <w:szCs w:val="41"/>
        </w:rPr>
      </w:pPr>
      <w:r>
        <w:rPr>
          <w:rFonts w:ascii="Open Sans" w:hAnsi="Open Sans" w:cs="Open Sans"/>
          <w:color w:val="1A1A1A"/>
          <w:sz w:val="41"/>
          <w:szCs w:val="41"/>
        </w:rPr>
        <w:t>Condominiums - Full Conversions</w:t>
      </w:r>
    </w:p>
    <w:p w14:paraId="271B9368"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When a property has been sold "for the most part", to individuals, a community is listed as a Full Conversion, even though some units may be held by individual investors. The differentiation is in degree of personal use, as opposed to investment.</w:t>
      </w:r>
    </w:p>
    <w:p w14:paraId="67F2D4D2"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Information sources referenced in researching conversions incorporate County Assessor data, the commercial real estate brokerage community, appraisers, and developers.</w:t>
      </w:r>
    </w:p>
    <w:p w14:paraId="69DB6689" w14:textId="77777777" w:rsidR="00BA0F9A" w:rsidRDefault="00BA0F9A" w:rsidP="00BA0F9A">
      <w:pPr>
        <w:pStyle w:val="NormalWeb"/>
        <w:shd w:val="clear" w:color="auto" w:fill="FFFFFF"/>
        <w:spacing w:before="225" w:beforeAutospacing="0" w:after="150" w:afterAutospacing="0" w:line="360" w:lineRule="atLeast"/>
        <w:textAlignment w:val="baseline"/>
        <w:rPr>
          <w:rFonts w:ascii="inherit" w:hAnsi="inherit" w:cs="Arial"/>
          <w:color w:val="1A1A1A"/>
        </w:rPr>
      </w:pPr>
      <w:r>
        <w:rPr>
          <w:rFonts w:ascii="inherit" w:hAnsi="inherit" w:cs="Arial"/>
          <w:color w:val="1A1A1A"/>
        </w:rPr>
        <w:t xml:space="preserve">Converted apartment communities illustrated in the Archive report are generally limited to properties of 50 units in size and </w:t>
      </w:r>
      <w:proofErr w:type="gramStart"/>
      <w:r>
        <w:rPr>
          <w:rFonts w:ascii="inherit" w:hAnsi="inherit" w:cs="Arial"/>
          <w:color w:val="1A1A1A"/>
        </w:rPr>
        <w:t>larger, but</w:t>
      </w:r>
      <w:proofErr w:type="gramEnd"/>
      <w:r>
        <w:rPr>
          <w:rFonts w:ascii="inherit" w:hAnsi="inherit" w:cs="Arial"/>
          <w:color w:val="1A1A1A"/>
        </w:rPr>
        <w:t xml:space="preserve"> may include smaller properties when that information is judged to have value in reporting conditions.</w:t>
      </w:r>
    </w:p>
    <w:p w14:paraId="22C7B76F" w14:textId="62D4E3FB"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p>
    <w:p w14:paraId="1C3AF90A" w14:textId="77777777" w:rsidR="00DB2405" w:rsidRDefault="00DB2405" w:rsidP="00DB2405">
      <w:pPr>
        <w:pStyle w:val="NormalWeb"/>
        <w:shd w:val="clear" w:color="auto" w:fill="FFFFFF"/>
        <w:spacing w:before="225" w:beforeAutospacing="0" w:after="150" w:afterAutospacing="0" w:line="360" w:lineRule="atLeast"/>
        <w:textAlignment w:val="baseline"/>
        <w:rPr>
          <w:rFonts w:ascii="inherit" w:hAnsi="inherit" w:cs="Arial"/>
          <w:color w:val="1A1A1A"/>
        </w:rPr>
      </w:pPr>
    </w:p>
    <w:p w14:paraId="42D83200" w14:textId="77777777" w:rsidR="00D46297" w:rsidRDefault="00D46297" w:rsidP="00DB2405">
      <w:pPr>
        <w:pStyle w:val="NormalWeb"/>
        <w:shd w:val="clear" w:color="auto" w:fill="FFFFFF"/>
        <w:spacing w:before="225" w:beforeAutospacing="0" w:after="150" w:afterAutospacing="0" w:line="360" w:lineRule="atLeast"/>
        <w:textAlignment w:val="baseline"/>
      </w:pPr>
    </w:p>
    <w:p w14:paraId="4640DBB6" w14:textId="77777777" w:rsidR="0019246C" w:rsidRDefault="0019246C">
      <w:pPr>
        <w:pStyle w:val="NormalWeb"/>
        <w:shd w:val="clear" w:color="auto" w:fill="FFFFFF"/>
        <w:spacing w:before="225" w:beforeAutospacing="0" w:after="150" w:afterAutospacing="0" w:line="360" w:lineRule="atLeast"/>
        <w:textAlignment w:val="baseline"/>
      </w:pPr>
    </w:p>
    <w:sectPr w:rsidR="0019246C" w:rsidSect="00DB2405">
      <w:type w:val="continuous"/>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78B"/>
    <w:multiLevelType w:val="multilevel"/>
    <w:tmpl w:val="FEB4E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FB1"/>
    <w:multiLevelType w:val="multilevel"/>
    <w:tmpl w:val="46746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327"/>
    <w:multiLevelType w:val="multilevel"/>
    <w:tmpl w:val="18BE8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2A11"/>
    <w:multiLevelType w:val="multilevel"/>
    <w:tmpl w:val="1B8299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03E09"/>
    <w:multiLevelType w:val="multilevel"/>
    <w:tmpl w:val="2BD85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2045"/>
    <w:multiLevelType w:val="multilevel"/>
    <w:tmpl w:val="7F5EA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37939"/>
    <w:multiLevelType w:val="multilevel"/>
    <w:tmpl w:val="9E28F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7166D"/>
    <w:multiLevelType w:val="multilevel"/>
    <w:tmpl w:val="02CA7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2071B"/>
    <w:multiLevelType w:val="multilevel"/>
    <w:tmpl w:val="ACEC6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F23F1"/>
    <w:multiLevelType w:val="multilevel"/>
    <w:tmpl w:val="FA449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5CC5"/>
    <w:multiLevelType w:val="multilevel"/>
    <w:tmpl w:val="5D46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E17BB"/>
    <w:multiLevelType w:val="multilevel"/>
    <w:tmpl w:val="31C6E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D07F1"/>
    <w:multiLevelType w:val="multilevel"/>
    <w:tmpl w:val="A6800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260DB"/>
    <w:multiLevelType w:val="multilevel"/>
    <w:tmpl w:val="E5184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A31EF"/>
    <w:multiLevelType w:val="multilevel"/>
    <w:tmpl w:val="C57243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724F8"/>
    <w:multiLevelType w:val="multilevel"/>
    <w:tmpl w:val="1084E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66AE7"/>
    <w:multiLevelType w:val="multilevel"/>
    <w:tmpl w:val="DEB8F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61DB3"/>
    <w:multiLevelType w:val="multilevel"/>
    <w:tmpl w:val="29668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05798"/>
    <w:multiLevelType w:val="multilevel"/>
    <w:tmpl w:val="37C29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46746"/>
    <w:multiLevelType w:val="multilevel"/>
    <w:tmpl w:val="7A3A8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94C53"/>
    <w:multiLevelType w:val="multilevel"/>
    <w:tmpl w:val="AF82A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11"/>
  </w:num>
  <w:num w:numId="4">
    <w:abstractNumId w:val="2"/>
  </w:num>
  <w:num w:numId="5">
    <w:abstractNumId w:val="16"/>
  </w:num>
  <w:num w:numId="6">
    <w:abstractNumId w:val="13"/>
  </w:num>
  <w:num w:numId="7">
    <w:abstractNumId w:val="19"/>
  </w:num>
  <w:num w:numId="8">
    <w:abstractNumId w:val="1"/>
  </w:num>
  <w:num w:numId="9">
    <w:abstractNumId w:val="9"/>
  </w:num>
  <w:num w:numId="10">
    <w:abstractNumId w:val="15"/>
  </w:num>
  <w:num w:numId="11">
    <w:abstractNumId w:val="7"/>
  </w:num>
  <w:num w:numId="12">
    <w:abstractNumId w:val="12"/>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5"/>
  </w:num>
  <w:num w:numId="16">
    <w:abstractNumId w:val="14"/>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4"/>
  </w:num>
  <w:num w:numId="20">
    <w:abstractNumId w:val="6"/>
  </w:num>
  <w:num w:numId="21">
    <w:abstractNumId w:val="20"/>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97"/>
    <w:rsid w:val="000F56C6"/>
    <w:rsid w:val="0019246C"/>
    <w:rsid w:val="002342B2"/>
    <w:rsid w:val="008406CB"/>
    <w:rsid w:val="009D7EC5"/>
    <w:rsid w:val="00A00910"/>
    <w:rsid w:val="00BA0F9A"/>
    <w:rsid w:val="00CC3B9F"/>
    <w:rsid w:val="00D46297"/>
    <w:rsid w:val="00DB2405"/>
    <w:rsid w:val="00E1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E054"/>
  <w15:chartTrackingRefBased/>
  <w15:docId w15:val="{B6857787-E0B1-4C1B-A580-E670E779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46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97"/>
    <w:rPr>
      <w:rFonts w:ascii="Times New Roman" w:eastAsia="Times New Roman" w:hAnsi="Times New Roman" w:cs="Times New Roman"/>
      <w:b/>
      <w:bCs/>
      <w:kern w:val="36"/>
      <w:sz w:val="48"/>
      <w:szCs w:val="48"/>
    </w:rPr>
  </w:style>
  <w:style w:type="character" w:customStyle="1" w:styleId="titlehead">
    <w:name w:val="titlehead"/>
    <w:basedOn w:val="DefaultParagraphFont"/>
    <w:rsid w:val="00D46297"/>
  </w:style>
  <w:style w:type="paragraph" w:styleId="NormalWeb">
    <w:name w:val="Normal (Web)"/>
    <w:basedOn w:val="Normal"/>
    <w:uiPriority w:val="99"/>
    <w:unhideWhenUsed/>
    <w:rsid w:val="00D46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297"/>
    <w:rPr>
      <w:b/>
      <w:bCs/>
    </w:rPr>
  </w:style>
  <w:style w:type="character" w:customStyle="1" w:styleId="Heading3Char">
    <w:name w:val="Heading 3 Char"/>
    <w:basedOn w:val="DefaultParagraphFont"/>
    <w:link w:val="Heading3"/>
    <w:uiPriority w:val="9"/>
    <w:semiHidden/>
    <w:rsid w:val="00D4629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4629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46297"/>
    <w:rPr>
      <w:i/>
      <w:iCs/>
    </w:rPr>
  </w:style>
  <w:style w:type="character" w:styleId="Hyperlink">
    <w:name w:val="Hyperlink"/>
    <w:basedOn w:val="DefaultParagraphFont"/>
    <w:uiPriority w:val="99"/>
    <w:unhideWhenUsed/>
    <w:rsid w:val="00A00910"/>
    <w:rPr>
      <w:color w:val="0000FF"/>
      <w:u w:val="single"/>
    </w:rPr>
  </w:style>
  <w:style w:type="character" w:styleId="UnresolvedMention">
    <w:name w:val="Unresolved Mention"/>
    <w:basedOn w:val="DefaultParagraphFont"/>
    <w:uiPriority w:val="99"/>
    <w:semiHidden/>
    <w:unhideWhenUsed/>
    <w:rsid w:val="009D7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765">
      <w:bodyDiv w:val="1"/>
      <w:marLeft w:val="0"/>
      <w:marRight w:val="0"/>
      <w:marTop w:val="0"/>
      <w:marBottom w:val="0"/>
      <w:divBdr>
        <w:top w:val="none" w:sz="0" w:space="0" w:color="auto"/>
        <w:left w:val="none" w:sz="0" w:space="0" w:color="auto"/>
        <w:bottom w:val="none" w:sz="0" w:space="0" w:color="auto"/>
        <w:right w:val="none" w:sz="0" w:space="0" w:color="auto"/>
      </w:divBdr>
      <w:divsChild>
        <w:div w:id="1815829655">
          <w:marLeft w:val="0"/>
          <w:marRight w:val="0"/>
          <w:marTop w:val="0"/>
          <w:marBottom w:val="0"/>
          <w:divBdr>
            <w:top w:val="none" w:sz="0" w:space="0" w:color="auto"/>
            <w:left w:val="none" w:sz="0" w:space="0" w:color="auto"/>
            <w:bottom w:val="none" w:sz="0" w:space="0" w:color="auto"/>
            <w:right w:val="none" w:sz="0" w:space="0" w:color="auto"/>
          </w:divBdr>
          <w:divsChild>
            <w:div w:id="1932885420">
              <w:marLeft w:val="0"/>
              <w:marRight w:val="0"/>
              <w:marTop w:val="0"/>
              <w:marBottom w:val="0"/>
              <w:divBdr>
                <w:top w:val="none" w:sz="0" w:space="0" w:color="auto"/>
                <w:left w:val="none" w:sz="0" w:space="0" w:color="auto"/>
                <w:bottom w:val="none" w:sz="0" w:space="0" w:color="auto"/>
                <w:right w:val="none" w:sz="0" w:space="0" w:color="auto"/>
              </w:divBdr>
            </w:div>
          </w:divsChild>
        </w:div>
        <w:div w:id="1654484950">
          <w:marLeft w:val="0"/>
          <w:marRight w:val="0"/>
          <w:marTop w:val="0"/>
          <w:marBottom w:val="300"/>
          <w:divBdr>
            <w:top w:val="none" w:sz="0" w:space="0" w:color="auto"/>
            <w:left w:val="none" w:sz="0" w:space="0" w:color="auto"/>
            <w:bottom w:val="none" w:sz="0" w:space="0" w:color="auto"/>
            <w:right w:val="none" w:sz="0" w:space="0" w:color="auto"/>
          </w:divBdr>
          <w:divsChild>
            <w:div w:id="1989283436">
              <w:marLeft w:val="0"/>
              <w:marRight w:val="0"/>
              <w:marTop w:val="0"/>
              <w:marBottom w:val="0"/>
              <w:divBdr>
                <w:top w:val="none" w:sz="0" w:space="0" w:color="auto"/>
                <w:left w:val="none" w:sz="0" w:space="0" w:color="auto"/>
                <w:bottom w:val="none" w:sz="0" w:space="0" w:color="auto"/>
                <w:right w:val="none" w:sz="0" w:space="0" w:color="auto"/>
              </w:divBdr>
              <w:divsChild>
                <w:div w:id="1661304220">
                  <w:marLeft w:val="0"/>
                  <w:marRight w:val="0"/>
                  <w:marTop w:val="0"/>
                  <w:marBottom w:val="0"/>
                  <w:divBdr>
                    <w:top w:val="none" w:sz="0" w:space="0" w:color="auto"/>
                    <w:left w:val="none" w:sz="0" w:space="0" w:color="auto"/>
                    <w:bottom w:val="none" w:sz="0" w:space="0" w:color="auto"/>
                    <w:right w:val="none" w:sz="0" w:space="0" w:color="auto"/>
                  </w:divBdr>
                  <w:divsChild>
                    <w:div w:id="1226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18202">
      <w:bodyDiv w:val="1"/>
      <w:marLeft w:val="0"/>
      <w:marRight w:val="0"/>
      <w:marTop w:val="0"/>
      <w:marBottom w:val="0"/>
      <w:divBdr>
        <w:top w:val="none" w:sz="0" w:space="0" w:color="auto"/>
        <w:left w:val="none" w:sz="0" w:space="0" w:color="auto"/>
        <w:bottom w:val="none" w:sz="0" w:space="0" w:color="auto"/>
        <w:right w:val="none" w:sz="0" w:space="0" w:color="auto"/>
      </w:divBdr>
      <w:divsChild>
        <w:div w:id="846755151">
          <w:marLeft w:val="0"/>
          <w:marRight w:val="0"/>
          <w:marTop w:val="0"/>
          <w:marBottom w:val="0"/>
          <w:divBdr>
            <w:top w:val="none" w:sz="0" w:space="0" w:color="auto"/>
            <w:left w:val="none" w:sz="0" w:space="0" w:color="auto"/>
            <w:bottom w:val="none" w:sz="0" w:space="0" w:color="auto"/>
            <w:right w:val="none" w:sz="0" w:space="0" w:color="auto"/>
          </w:divBdr>
          <w:divsChild>
            <w:div w:id="527639966">
              <w:marLeft w:val="0"/>
              <w:marRight w:val="0"/>
              <w:marTop w:val="0"/>
              <w:marBottom w:val="0"/>
              <w:divBdr>
                <w:top w:val="none" w:sz="0" w:space="0" w:color="auto"/>
                <w:left w:val="none" w:sz="0" w:space="0" w:color="auto"/>
                <w:bottom w:val="none" w:sz="0" w:space="0" w:color="auto"/>
                <w:right w:val="none" w:sz="0" w:space="0" w:color="auto"/>
              </w:divBdr>
            </w:div>
          </w:divsChild>
        </w:div>
        <w:div w:id="413891269">
          <w:marLeft w:val="0"/>
          <w:marRight w:val="0"/>
          <w:marTop w:val="0"/>
          <w:marBottom w:val="300"/>
          <w:divBdr>
            <w:top w:val="none" w:sz="0" w:space="0" w:color="auto"/>
            <w:left w:val="none" w:sz="0" w:space="0" w:color="auto"/>
            <w:bottom w:val="none" w:sz="0" w:space="0" w:color="auto"/>
            <w:right w:val="none" w:sz="0" w:space="0" w:color="auto"/>
          </w:divBdr>
          <w:divsChild>
            <w:div w:id="308435741">
              <w:marLeft w:val="0"/>
              <w:marRight w:val="0"/>
              <w:marTop w:val="0"/>
              <w:marBottom w:val="0"/>
              <w:divBdr>
                <w:top w:val="none" w:sz="0" w:space="0" w:color="auto"/>
                <w:left w:val="none" w:sz="0" w:space="0" w:color="auto"/>
                <w:bottom w:val="none" w:sz="0" w:space="0" w:color="auto"/>
                <w:right w:val="none" w:sz="0" w:space="0" w:color="auto"/>
              </w:divBdr>
              <w:divsChild>
                <w:div w:id="1911231580">
                  <w:marLeft w:val="0"/>
                  <w:marRight w:val="0"/>
                  <w:marTop w:val="0"/>
                  <w:marBottom w:val="0"/>
                  <w:divBdr>
                    <w:top w:val="none" w:sz="0" w:space="0" w:color="auto"/>
                    <w:left w:val="none" w:sz="0" w:space="0" w:color="auto"/>
                    <w:bottom w:val="none" w:sz="0" w:space="0" w:color="auto"/>
                    <w:right w:val="none" w:sz="0" w:space="0" w:color="auto"/>
                  </w:divBdr>
                  <w:divsChild>
                    <w:div w:id="14898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2951">
      <w:bodyDiv w:val="1"/>
      <w:marLeft w:val="0"/>
      <w:marRight w:val="0"/>
      <w:marTop w:val="0"/>
      <w:marBottom w:val="0"/>
      <w:divBdr>
        <w:top w:val="none" w:sz="0" w:space="0" w:color="auto"/>
        <w:left w:val="none" w:sz="0" w:space="0" w:color="auto"/>
        <w:bottom w:val="none" w:sz="0" w:space="0" w:color="auto"/>
        <w:right w:val="none" w:sz="0" w:space="0" w:color="auto"/>
      </w:divBdr>
      <w:divsChild>
        <w:div w:id="1896550781">
          <w:marLeft w:val="0"/>
          <w:marRight w:val="0"/>
          <w:marTop w:val="0"/>
          <w:marBottom w:val="0"/>
          <w:divBdr>
            <w:top w:val="none" w:sz="0" w:space="0" w:color="auto"/>
            <w:left w:val="none" w:sz="0" w:space="0" w:color="auto"/>
            <w:bottom w:val="none" w:sz="0" w:space="0" w:color="auto"/>
            <w:right w:val="none" w:sz="0" w:space="0" w:color="auto"/>
          </w:divBdr>
          <w:divsChild>
            <w:div w:id="935210907">
              <w:marLeft w:val="0"/>
              <w:marRight w:val="0"/>
              <w:marTop w:val="0"/>
              <w:marBottom w:val="0"/>
              <w:divBdr>
                <w:top w:val="none" w:sz="0" w:space="0" w:color="auto"/>
                <w:left w:val="none" w:sz="0" w:space="0" w:color="auto"/>
                <w:bottom w:val="none" w:sz="0" w:space="0" w:color="auto"/>
                <w:right w:val="none" w:sz="0" w:space="0" w:color="auto"/>
              </w:divBdr>
            </w:div>
          </w:divsChild>
        </w:div>
        <w:div w:id="1159421412">
          <w:marLeft w:val="0"/>
          <w:marRight w:val="0"/>
          <w:marTop w:val="0"/>
          <w:marBottom w:val="300"/>
          <w:divBdr>
            <w:top w:val="none" w:sz="0" w:space="0" w:color="auto"/>
            <w:left w:val="none" w:sz="0" w:space="0" w:color="auto"/>
            <w:bottom w:val="none" w:sz="0" w:space="0" w:color="auto"/>
            <w:right w:val="none" w:sz="0" w:space="0" w:color="auto"/>
          </w:divBdr>
          <w:divsChild>
            <w:div w:id="1603301152">
              <w:marLeft w:val="0"/>
              <w:marRight w:val="0"/>
              <w:marTop w:val="0"/>
              <w:marBottom w:val="0"/>
              <w:divBdr>
                <w:top w:val="none" w:sz="0" w:space="0" w:color="auto"/>
                <w:left w:val="none" w:sz="0" w:space="0" w:color="auto"/>
                <w:bottom w:val="none" w:sz="0" w:space="0" w:color="auto"/>
                <w:right w:val="none" w:sz="0" w:space="0" w:color="auto"/>
              </w:divBdr>
              <w:divsChild>
                <w:div w:id="1470244639">
                  <w:marLeft w:val="0"/>
                  <w:marRight w:val="0"/>
                  <w:marTop w:val="0"/>
                  <w:marBottom w:val="0"/>
                  <w:divBdr>
                    <w:top w:val="none" w:sz="0" w:space="0" w:color="auto"/>
                    <w:left w:val="none" w:sz="0" w:space="0" w:color="auto"/>
                    <w:bottom w:val="none" w:sz="0" w:space="0" w:color="auto"/>
                    <w:right w:val="none" w:sz="0" w:space="0" w:color="auto"/>
                  </w:divBdr>
                  <w:divsChild>
                    <w:div w:id="9321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08016">
      <w:bodyDiv w:val="1"/>
      <w:marLeft w:val="0"/>
      <w:marRight w:val="0"/>
      <w:marTop w:val="0"/>
      <w:marBottom w:val="0"/>
      <w:divBdr>
        <w:top w:val="none" w:sz="0" w:space="0" w:color="auto"/>
        <w:left w:val="none" w:sz="0" w:space="0" w:color="auto"/>
        <w:bottom w:val="none" w:sz="0" w:space="0" w:color="auto"/>
        <w:right w:val="none" w:sz="0" w:space="0" w:color="auto"/>
      </w:divBdr>
      <w:divsChild>
        <w:div w:id="640841295">
          <w:marLeft w:val="0"/>
          <w:marRight w:val="0"/>
          <w:marTop w:val="0"/>
          <w:marBottom w:val="0"/>
          <w:divBdr>
            <w:top w:val="none" w:sz="0" w:space="0" w:color="auto"/>
            <w:left w:val="none" w:sz="0" w:space="0" w:color="auto"/>
            <w:bottom w:val="none" w:sz="0" w:space="0" w:color="auto"/>
            <w:right w:val="none" w:sz="0" w:space="0" w:color="auto"/>
          </w:divBdr>
          <w:divsChild>
            <w:div w:id="95444286">
              <w:marLeft w:val="0"/>
              <w:marRight w:val="0"/>
              <w:marTop w:val="0"/>
              <w:marBottom w:val="0"/>
              <w:divBdr>
                <w:top w:val="none" w:sz="0" w:space="0" w:color="auto"/>
                <w:left w:val="none" w:sz="0" w:space="0" w:color="auto"/>
                <w:bottom w:val="none" w:sz="0" w:space="0" w:color="auto"/>
                <w:right w:val="none" w:sz="0" w:space="0" w:color="auto"/>
              </w:divBdr>
              <w:divsChild>
                <w:div w:id="121272136">
                  <w:marLeft w:val="0"/>
                  <w:marRight w:val="0"/>
                  <w:marTop w:val="0"/>
                  <w:marBottom w:val="0"/>
                  <w:divBdr>
                    <w:top w:val="none" w:sz="0" w:space="0" w:color="auto"/>
                    <w:left w:val="none" w:sz="0" w:space="0" w:color="auto"/>
                    <w:bottom w:val="none" w:sz="0" w:space="0" w:color="auto"/>
                    <w:right w:val="none" w:sz="0" w:space="0" w:color="auto"/>
                  </w:divBdr>
                  <w:divsChild>
                    <w:div w:id="608633413">
                      <w:marLeft w:val="0"/>
                      <w:marRight w:val="0"/>
                      <w:marTop w:val="0"/>
                      <w:marBottom w:val="0"/>
                      <w:divBdr>
                        <w:top w:val="none" w:sz="0" w:space="0" w:color="auto"/>
                        <w:left w:val="none" w:sz="0" w:space="0" w:color="auto"/>
                        <w:bottom w:val="none" w:sz="0" w:space="0" w:color="auto"/>
                        <w:right w:val="none" w:sz="0" w:space="0" w:color="auto"/>
                      </w:divBdr>
                    </w:div>
                  </w:divsChild>
                </w:div>
                <w:div w:id="1931158601">
                  <w:marLeft w:val="0"/>
                  <w:marRight w:val="0"/>
                  <w:marTop w:val="0"/>
                  <w:marBottom w:val="300"/>
                  <w:divBdr>
                    <w:top w:val="none" w:sz="0" w:space="0" w:color="auto"/>
                    <w:left w:val="none" w:sz="0" w:space="0" w:color="auto"/>
                    <w:bottom w:val="none" w:sz="0" w:space="0" w:color="auto"/>
                    <w:right w:val="none" w:sz="0" w:space="0" w:color="auto"/>
                  </w:divBdr>
                  <w:divsChild>
                    <w:div w:id="1945764694">
                      <w:marLeft w:val="0"/>
                      <w:marRight w:val="0"/>
                      <w:marTop w:val="0"/>
                      <w:marBottom w:val="0"/>
                      <w:divBdr>
                        <w:top w:val="none" w:sz="0" w:space="0" w:color="auto"/>
                        <w:left w:val="none" w:sz="0" w:space="0" w:color="auto"/>
                        <w:bottom w:val="none" w:sz="0" w:space="0" w:color="auto"/>
                        <w:right w:val="none" w:sz="0" w:space="0" w:color="auto"/>
                      </w:divBdr>
                      <w:divsChild>
                        <w:div w:id="9573470">
                          <w:marLeft w:val="0"/>
                          <w:marRight w:val="0"/>
                          <w:marTop w:val="0"/>
                          <w:marBottom w:val="0"/>
                          <w:divBdr>
                            <w:top w:val="none" w:sz="0" w:space="0" w:color="auto"/>
                            <w:left w:val="none" w:sz="0" w:space="0" w:color="auto"/>
                            <w:bottom w:val="none" w:sz="0" w:space="0" w:color="auto"/>
                            <w:right w:val="none" w:sz="0" w:space="0" w:color="auto"/>
                          </w:divBdr>
                          <w:divsChild>
                            <w:div w:id="2120445009">
                              <w:marLeft w:val="0"/>
                              <w:marRight w:val="0"/>
                              <w:marTop w:val="0"/>
                              <w:marBottom w:val="0"/>
                              <w:divBdr>
                                <w:top w:val="none" w:sz="0" w:space="0" w:color="auto"/>
                                <w:left w:val="none" w:sz="0" w:space="0" w:color="auto"/>
                                <w:bottom w:val="none" w:sz="0" w:space="0" w:color="auto"/>
                                <w:right w:val="none" w:sz="0" w:space="0" w:color="auto"/>
                              </w:divBdr>
                              <w:divsChild>
                                <w:div w:id="879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292751">
      <w:bodyDiv w:val="1"/>
      <w:marLeft w:val="0"/>
      <w:marRight w:val="0"/>
      <w:marTop w:val="0"/>
      <w:marBottom w:val="0"/>
      <w:divBdr>
        <w:top w:val="none" w:sz="0" w:space="0" w:color="auto"/>
        <w:left w:val="none" w:sz="0" w:space="0" w:color="auto"/>
        <w:bottom w:val="none" w:sz="0" w:space="0" w:color="auto"/>
        <w:right w:val="none" w:sz="0" w:space="0" w:color="auto"/>
      </w:divBdr>
      <w:divsChild>
        <w:div w:id="46609966">
          <w:marLeft w:val="0"/>
          <w:marRight w:val="0"/>
          <w:marTop w:val="0"/>
          <w:marBottom w:val="0"/>
          <w:divBdr>
            <w:top w:val="none" w:sz="0" w:space="0" w:color="auto"/>
            <w:left w:val="none" w:sz="0" w:space="0" w:color="auto"/>
            <w:bottom w:val="none" w:sz="0" w:space="0" w:color="auto"/>
            <w:right w:val="none" w:sz="0" w:space="0" w:color="auto"/>
          </w:divBdr>
          <w:divsChild>
            <w:div w:id="357313099">
              <w:marLeft w:val="0"/>
              <w:marRight w:val="0"/>
              <w:marTop w:val="0"/>
              <w:marBottom w:val="0"/>
              <w:divBdr>
                <w:top w:val="none" w:sz="0" w:space="0" w:color="auto"/>
                <w:left w:val="none" w:sz="0" w:space="0" w:color="auto"/>
                <w:bottom w:val="none" w:sz="0" w:space="0" w:color="auto"/>
                <w:right w:val="none" w:sz="0" w:space="0" w:color="auto"/>
              </w:divBdr>
            </w:div>
          </w:divsChild>
        </w:div>
        <w:div w:id="636837231">
          <w:marLeft w:val="0"/>
          <w:marRight w:val="0"/>
          <w:marTop w:val="0"/>
          <w:marBottom w:val="300"/>
          <w:divBdr>
            <w:top w:val="none" w:sz="0" w:space="0" w:color="auto"/>
            <w:left w:val="none" w:sz="0" w:space="0" w:color="auto"/>
            <w:bottom w:val="none" w:sz="0" w:space="0" w:color="auto"/>
            <w:right w:val="none" w:sz="0" w:space="0" w:color="auto"/>
          </w:divBdr>
          <w:divsChild>
            <w:div w:id="1525753800">
              <w:marLeft w:val="0"/>
              <w:marRight w:val="0"/>
              <w:marTop w:val="0"/>
              <w:marBottom w:val="0"/>
              <w:divBdr>
                <w:top w:val="none" w:sz="0" w:space="0" w:color="auto"/>
                <w:left w:val="none" w:sz="0" w:space="0" w:color="auto"/>
                <w:bottom w:val="none" w:sz="0" w:space="0" w:color="auto"/>
                <w:right w:val="none" w:sz="0" w:space="0" w:color="auto"/>
              </w:divBdr>
              <w:divsChild>
                <w:div w:id="867791705">
                  <w:marLeft w:val="0"/>
                  <w:marRight w:val="0"/>
                  <w:marTop w:val="0"/>
                  <w:marBottom w:val="0"/>
                  <w:divBdr>
                    <w:top w:val="none" w:sz="0" w:space="0" w:color="auto"/>
                    <w:left w:val="none" w:sz="0" w:space="0" w:color="auto"/>
                    <w:bottom w:val="none" w:sz="0" w:space="0" w:color="auto"/>
                    <w:right w:val="none" w:sz="0" w:space="0" w:color="auto"/>
                  </w:divBdr>
                  <w:divsChild>
                    <w:div w:id="60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89329">
      <w:bodyDiv w:val="1"/>
      <w:marLeft w:val="0"/>
      <w:marRight w:val="0"/>
      <w:marTop w:val="0"/>
      <w:marBottom w:val="0"/>
      <w:divBdr>
        <w:top w:val="none" w:sz="0" w:space="0" w:color="auto"/>
        <w:left w:val="none" w:sz="0" w:space="0" w:color="auto"/>
        <w:bottom w:val="none" w:sz="0" w:space="0" w:color="auto"/>
        <w:right w:val="none" w:sz="0" w:space="0" w:color="auto"/>
      </w:divBdr>
      <w:divsChild>
        <w:div w:id="1654678497">
          <w:marLeft w:val="0"/>
          <w:marRight w:val="0"/>
          <w:marTop w:val="0"/>
          <w:marBottom w:val="0"/>
          <w:divBdr>
            <w:top w:val="none" w:sz="0" w:space="0" w:color="auto"/>
            <w:left w:val="none" w:sz="0" w:space="0" w:color="auto"/>
            <w:bottom w:val="none" w:sz="0" w:space="0" w:color="auto"/>
            <w:right w:val="none" w:sz="0" w:space="0" w:color="auto"/>
          </w:divBdr>
          <w:divsChild>
            <w:div w:id="308171581">
              <w:marLeft w:val="0"/>
              <w:marRight w:val="0"/>
              <w:marTop w:val="0"/>
              <w:marBottom w:val="0"/>
              <w:divBdr>
                <w:top w:val="none" w:sz="0" w:space="0" w:color="auto"/>
                <w:left w:val="none" w:sz="0" w:space="0" w:color="auto"/>
                <w:bottom w:val="none" w:sz="0" w:space="0" w:color="auto"/>
                <w:right w:val="none" w:sz="0" w:space="0" w:color="auto"/>
              </w:divBdr>
            </w:div>
          </w:divsChild>
        </w:div>
        <w:div w:id="887299555">
          <w:marLeft w:val="0"/>
          <w:marRight w:val="0"/>
          <w:marTop w:val="0"/>
          <w:marBottom w:val="300"/>
          <w:divBdr>
            <w:top w:val="none" w:sz="0" w:space="0" w:color="auto"/>
            <w:left w:val="none" w:sz="0" w:space="0" w:color="auto"/>
            <w:bottom w:val="none" w:sz="0" w:space="0" w:color="auto"/>
            <w:right w:val="none" w:sz="0" w:space="0" w:color="auto"/>
          </w:divBdr>
          <w:divsChild>
            <w:div w:id="453718027">
              <w:marLeft w:val="0"/>
              <w:marRight w:val="0"/>
              <w:marTop w:val="0"/>
              <w:marBottom w:val="0"/>
              <w:divBdr>
                <w:top w:val="none" w:sz="0" w:space="0" w:color="auto"/>
                <w:left w:val="none" w:sz="0" w:space="0" w:color="auto"/>
                <w:bottom w:val="none" w:sz="0" w:space="0" w:color="auto"/>
                <w:right w:val="none" w:sz="0" w:space="0" w:color="auto"/>
              </w:divBdr>
              <w:divsChild>
                <w:div w:id="1570850348">
                  <w:marLeft w:val="0"/>
                  <w:marRight w:val="0"/>
                  <w:marTop w:val="0"/>
                  <w:marBottom w:val="0"/>
                  <w:divBdr>
                    <w:top w:val="none" w:sz="0" w:space="0" w:color="auto"/>
                    <w:left w:val="none" w:sz="0" w:space="0" w:color="auto"/>
                    <w:bottom w:val="none" w:sz="0" w:space="0" w:color="auto"/>
                    <w:right w:val="none" w:sz="0" w:space="0" w:color="auto"/>
                  </w:divBdr>
                  <w:divsChild>
                    <w:div w:id="2131313688">
                      <w:marLeft w:val="0"/>
                      <w:marRight w:val="0"/>
                      <w:marTop w:val="0"/>
                      <w:marBottom w:val="0"/>
                      <w:divBdr>
                        <w:top w:val="none" w:sz="0" w:space="0" w:color="auto"/>
                        <w:left w:val="none" w:sz="0" w:space="0" w:color="auto"/>
                        <w:bottom w:val="none" w:sz="0" w:space="0" w:color="auto"/>
                        <w:right w:val="none" w:sz="0" w:space="0" w:color="auto"/>
                      </w:divBdr>
                      <w:divsChild>
                        <w:div w:id="18125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89531">
      <w:bodyDiv w:val="1"/>
      <w:marLeft w:val="0"/>
      <w:marRight w:val="0"/>
      <w:marTop w:val="0"/>
      <w:marBottom w:val="0"/>
      <w:divBdr>
        <w:top w:val="none" w:sz="0" w:space="0" w:color="auto"/>
        <w:left w:val="none" w:sz="0" w:space="0" w:color="auto"/>
        <w:bottom w:val="none" w:sz="0" w:space="0" w:color="auto"/>
        <w:right w:val="none" w:sz="0" w:space="0" w:color="auto"/>
      </w:divBdr>
      <w:divsChild>
        <w:div w:id="662859009">
          <w:marLeft w:val="0"/>
          <w:marRight w:val="0"/>
          <w:marTop w:val="0"/>
          <w:marBottom w:val="0"/>
          <w:divBdr>
            <w:top w:val="none" w:sz="0" w:space="0" w:color="auto"/>
            <w:left w:val="none" w:sz="0" w:space="0" w:color="auto"/>
            <w:bottom w:val="none" w:sz="0" w:space="0" w:color="auto"/>
            <w:right w:val="none" w:sz="0" w:space="0" w:color="auto"/>
          </w:divBdr>
          <w:divsChild>
            <w:div w:id="1225524305">
              <w:marLeft w:val="0"/>
              <w:marRight w:val="0"/>
              <w:marTop w:val="0"/>
              <w:marBottom w:val="0"/>
              <w:divBdr>
                <w:top w:val="none" w:sz="0" w:space="0" w:color="auto"/>
                <w:left w:val="none" w:sz="0" w:space="0" w:color="auto"/>
                <w:bottom w:val="none" w:sz="0" w:space="0" w:color="auto"/>
                <w:right w:val="none" w:sz="0" w:space="0" w:color="auto"/>
              </w:divBdr>
            </w:div>
          </w:divsChild>
        </w:div>
        <w:div w:id="720515780">
          <w:marLeft w:val="0"/>
          <w:marRight w:val="0"/>
          <w:marTop w:val="0"/>
          <w:marBottom w:val="300"/>
          <w:divBdr>
            <w:top w:val="none" w:sz="0" w:space="0" w:color="auto"/>
            <w:left w:val="none" w:sz="0" w:space="0" w:color="auto"/>
            <w:bottom w:val="none" w:sz="0" w:space="0" w:color="auto"/>
            <w:right w:val="none" w:sz="0" w:space="0" w:color="auto"/>
          </w:divBdr>
          <w:divsChild>
            <w:div w:id="1167667074">
              <w:marLeft w:val="0"/>
              <w:marRight w:val="0"/>
              <w:marTop w:val="0"/>
              <w:marBottom w:val="0"/>
              <w:divBdr>
                <w:top w:val="none" w:sz="0" w:space="0" w:color="auto"/>
                <w:left w:val="none" w:sz="0" w:space="0" w:color="auto"/>
                <w:bottom w:val="none" w:sz="0" w:space="0" w:color="auto"/>
                <w:right w:val="none" w:sz="0" w:space="0" w:color="auto"/>
              </w:divBdr>
              <w:divsChild>
                <w:div w:id="431822271">
                  <w:marLeft w:val="0"/>
                  <w:marRight w:val="0"/>
                  <w:marTop w:val="0"/>
                  <w:marBottom w:val="0"/>
                  <w:divBdr>
                    <w:top w:val="none" w:sz="0" w:space="0" w:color="auto"/>
                    <w:left w:val="none" w:sz="0" w:space="0" w:color="auto"/>
                    <w:bottom w:val="none" w:sz="0" w:space="0" w:color="auto"/>
                    <w:right w:val="none" w:sz="0" w:space="0" w:color="auto"/>
                  </w:divBdr>
                  <w:divsChild>
                    <w:div w:id="1352147090">
                      <w:marLeft w:val="0"/>
                      <w:marRight w:val="0"/>
                      <w:marTop w:val="0"/>
                      <w:marBottom w:val="0"/>
                      <w:divBdr>
                        <w:top w:val="none" w:sz="0" w:space="0" w:color="auto"/>
                        <w:left w:val="none" w:sz="0" w:space="0" w:color="auto"/>
                        <w:bottom w:val="none" w:sz="0" w:space="0" w:color="auto"/>
                        <w:right w:val="none" w:sz="0" w:space="0" w:color="auto"/>
                      </w:divBdr>
                      <w:divsChild>
                        <w:div w:id="441876127">
                          <w:marLeft w:val="0"/>
                          <w:marRight w:val="0"/>
                          <w:marTop w:val="150"/>
                          <w:marBottom w:val="150"/>
                          <w:divBdr>
                            <w:top w:val="single" w:sz="6" w:space="8" w:color="C3C3C3"/>
                            <w:left w:val="single" w:sz="6" w:space="8" w:color="C3C3C3"/>
                            <w:bottom w:val="single" w:sz="6" w:space="8" w:color="C3C3C3"/>
                            <w:right w:val="single" w:sz="6" w:space="8" w:color="C3C3C3"/>
                          </w:divBdr>
                        </w:div>
                      </w:divsChild>
                    </w:div>
                  </w:divsChild>
                </w:div>
              </w:divsChild>
            </w:div>
          </w:divsChild>
        </w:div>
      </w:divsChild>
    </w:div>
    <w:div w:id="798649267">
      <w:bodyDiv w:val="1"/>
      <w:marLeft w:val="0"/>
      <w:marRight w:val="0"/>
      <w:marTop w:val="0"/>
      <w:marBottom w:val="0"/>
      <w:divBdr>
        <w:top w:val="none" w:sz="0" w:space="0" w:color="auto"/>
        <w:left w:val="none" w:sz="0" w:space="0" w:color="auto"/>
        <w:bottom w:val="none" w:sz="0" w:space="0" w:color="auto"/>
        <w:right w:val="none" w:sz="0" w:space="0" w:color="auto"/>
      </w:divBdr>
      <w:divsChild>
        <w:div w:id="797142467">
          <w:marLeft w:val="0"/>
          <w:marRight w:val="0"/>
          <w:marTop w:val="0"/>
          <w:marBottom w:val="0"/>
          <w:divBdr>
            <w:top w:val="none" w:sz="0" w:space="0" w:color="auto"/>
            <w:left w:val="none" w:sz="0" w:space="0" w:color="auto"/>
            <w:bottom w:val="none" w:sz="0" w:space="0" w:color="auto"/>
            <w:right w:val="none" w:sz="0" w:space="0" w:color="auto"/>
          </w:divBdr>
          <w:divsChild>
            <w:div w:id="92746360">
              <w:marLeft w:val="0"/>
              <w:marRight w:val="0"/>
              <w:marTop w:val="0"/>
              <w:marBottom w:val="0"/>
              <w:divBdr>
                <w:top w:val="none" w:sz="0" w:space="0" w:color="auto"/>
                <w:left w:val="none" w:sz="0" w:space="0" w:color="auto"/>
                <w:bottom w:val="none" w:sz="0" w:space="0" w:color="auto"/>
                <w:right w:val="none" w:sz="0" w:space="0" w:color="auto"/>
              </w:divBdr>
            </w:div>
          </w:divsChild>
        </w:div>
        <w:div w:id="1407192119">
          <w:marLeft w:val="0"/>
          <w:marRight w:val="0"/>
          <w:marTop w:val="0"/>
          <w:marBottom w:val="300"/>
          <w:divBdr>
            <w:top w:val="none" w:sz="0" w:space="0" w:color="auto"/>
            <w:left w:val="none" w:sz="0" w:space="0" w:color="auto"/>
            <w:bottom w:val="none" w:sz="0" w:space="0" w:color="auto"/>
            <w:right w:val="none" w:sz="0" w:space="0" w:color="auto"/>
          </w:divBdr>
          <w:divsChild>
            <w:div w:id="1349605224">
              <w:marLeft w:val="0"/>
              <w:marRight w:val="0"/>
              <w:marTop w:val="0"/>
              <w:marBottom w:val="0"/>
              <w:divBdr>
                <w:top w:val="none" w:sz="0" w:space="0" w:color="auto"/>
                <w:left w:val="none" w:sz="0" w:space="0" w:color="auto"/>
                <w:bottom w:val="none" w:sz="0" w:space="0" w:color="auto"/>
                <w:right w:val="none" w:sz="0" w:space="0" w:color="auto"/>
              </w:divBdr>
              <w:divsChild>
                <w:div w:id="816999183">
                  <w:marLeft w:val="0"/>
                  <w:marRight w:val="0"/>
                  <w:marTop w:val="0"/>
                  <w:marBottom w:val="0"/>
                  <w:divBdr>
                    <w:top w:val="none" w:sz="0" w:space="0" w:color="auto"/>
                    <w:left w:val="none" w:sz="0" w:space="0" w:color="auto"/>
                    <w:bottom w:val="none" w:sz="0" w:space="0" w:color="auto"/>
                    <w:right w:val="none" w:sz="0" w:space="0" w:color="auto"/>
                  </w:divBdr>
                  <w:divsChild>
                    <w:div w:id="882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4711">
      <w:bodyDiv w:val="1"/>
      <w:marLeft w:val="0"/>
      <w:marRight w:val="0"/>
      <w:marTop w:val="0"/>
      <w:marBottom w:val="0"/>
      <w:divBdr>
        <w:top w:val="none" w:sz="0" w:space="0" w:color="auto"/>
        <w:left w:val="none" w:sz="0" w:space="0" w:color="auto"/>
        <w:bottom w:val="none" w:sz="0" w:space="0" w:color="auto"/>
        <w:right w:val="none" w:sz="0" w:space="0" w:color="auto"/>
      </w:divBdr>
      <w:divsChild>
        <w:div w:id="994723464">
          <w:marLeft w:val="0"/>
          <w:marRight w:val="0"/>
          <w:marTop w:val="0"/>
          <w:marBottom w:val="0"/>
          <w:divBdr>
            <w:top w:val="none" w:sz="0" w:space="0" w:color="auto"/>
            <w:left w:val="none" w:sz="0" w:space="0" w:color="auto"/>
            <w:bottom w:val="none" w:sz="0" w:space="0" w:color="auto"/>
            <w:right w:val="none" w:sz="0" w:space="0" w:color="auto"/>
          </w:divBdr>
          <w:divsChild>
            <w:div w:id="901520357">
              <w:marLeft w:val="0"/>
              <w:marRight w:val="0"/>
              <w:marTop w:val="0"/>
              <w:marBottom w:val="0"/>
              <w:divBdr>
                <w:top w:val="none" w:sz="0" w:space="0" w:color="auto"/>
                <w:left w:val="none" w:sz="0" w:space="0" w:color="auto"/>
                <w:bottom w:val="none" w:sz="0" w:space="0" w:color="auto"/>
                <w:right w:val="none" w:sz="0" w:space="0" w:color="auto"/>
              </w:divBdr>
            </w:div>
          </w:divsChild>
        </w:div>
        <w:div w:id="46073494">
          <w:marLeft w:val="0"/>
          <w:marRight w:val="0"/>
          <w:marTop w:val="0"/>
          <w:marBottom w:val="300"/>
          <w:divBdr>
            <w:top w:val="none" w:sz="0" w:space="0" w:color="auto"/>
            <w:left w:val="none" w:sz="0" w:space="0" w:color="auto"/>
            <w:bottom w:val="none" w:sz="0" w:space="0" w:color="auto"/>
            <w:right w:val="none" w:sz="0" w:space="0" w:color="auto"/>
          </w:divBdr>
          <w:divsChild>
            <w:div w:id="1416318971">
              <w:marLeft w:val="0"/>
              <w:marRight w:val="0"/>
              <w:marTop w:val="0"/>
              <w:marBottom w:val="0"/>
              <w:divBdr>
                <w:top w:val="none" w:sz="0" w:space="0" w:color="auto"/>
                <w:left w:val="none" w:sz="0" w:space="0" w:color="auto"/>
                <w:bottom w:val="none" w:sz="0" w:space="0" w:color="auto"/>
                <w:right w:val="none" w:sz="0" w:space="0" w:color="auto"/>
              </w:divBdr>
              <w:divsChild>
                <w:div w:id="1998419198">
                  <w:marLeft w:val="0"/>
                  <w:marRight w:val="0"/>
                  <w:marTop w:val="0"/>
                  <w:marBottom w:val="0"/>
                  <w:divBdr>
                    <w:top w:val="none" w:sz="0" w:space="0" w:color="auto"/>
                    <w:left w:val="none" w:sz="0" w:space="0" w:color="auto"/>
                    <w:bottom w:val="none" w:sz="0" w:space="0" w:color="auto"/>
                    <w:right w:val="none" w:sz="0" w:space="0" w:color="auto"/>
                  </w:divBdr>
                  <w:divsChild>
                    <w:div w:id="1358461273">
                      <w:marLeft w:val="0"/>
                      <w:marRight w:val="0"/>
                      <w:marTop w:val="0"/>
                      <w:marBottom w:val="0"/>
                      <w:divBdr>
                        <w:top w:val="none" w:sz="0" w:space="0" w:color="auto"/>
                        <w:left w:val="none" w:sz="0" w:space="0" w:color="auto"/>
                        <w:bottom w:val="none" w:sz="0" w:space="0" w:color="auto"/>
                        <w:right w:val="none" w:sz="0" w:space="0" w:color="auto"/>
                      </w:divBdr>
                      <w:divsChild>
                        <w:div w:id="10178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4805">
      <w:bodyDiv w:val="1"/>
      <w:marLeft w:val="0"/>
      <w:marRight w:val="0"/>
      <w:marTop w:val="0"/>
      <w:marBottom w:val="0"/>
      <w:divBdr>
        <w:top w:val="none" w:sz="0" w:space="0" w:color="auto"/>
        <w:left w:val="none" w:sz="0" w:space="0" w:color="auto"/>
        <w:bottom w:val="none" w:sz="0" w:space="0" w:color="auto"/>
        <w:right w:val="none" w:sz="0" w:space="0" w:color="auto"/>
      </w:divBdr>
      <w:divsChild>
        <w:div w:id="1474982107">
          <w:marLeft w:val="0"/>
          <w:marRight w:val="0"/>
          <w:marTop w:val="0"/>
          <w:marBottom w:val="0"/>
          <w:divBdr>
            <w:top w:val="none" w:sz="0" w:space="0" w:color="auto"/>
            <w:left w:val="none" w:sz="0" w:space="0" w:color="auto"/>
            <w:bottom w:val="none" w:sz="0" w:space="0" w:color="auto"/>
            <w:right w:val="none" w:sz="0" w:space="0" w:color="auto"/>
          </w:divBdr>
          <w:divsChild>
            <w:div w:id="1947999333">
              <w:marLeft w:val="0"/>
              <w:marRight w:val="0"/>
              <w:marTop w:val="0"/>
              <w:marBottom w:val="0"/>
              <w:divBdr>
                <w:top w:val="none" w:sz="0" w:space="0" w:color="auto"/>
                <w:left w:val="none" w:sz="0" w:space="0" w:color="auto"/>
                <w:bottom w:val="none" w:sz="0" w:space="0" w:color="auto"/>
                <w:right w:val="none" w:sz="0" w:space="0" w:color="auto"/>
              </w:divBdr>
            </w:div>
          </w:divsChild>
        </w:div>
        <w:div w:id="1568417716">
          <w:marLeft w:val="0"/>
          <w:marRight w:val="0"/>
          <w:marTop w:val="0"/>
          <w:marBottom w:val="300"/>
          <w:divBdr>
            <w:top w:val="none" w:sz="0" w:space="0" w:color="auto"/>
            <w:left w:val="none" w:sz="0" w:space="0" w:color="auto"/>
            <w:bottom w:val="none" w:sz="0" w:space="0" w:color="auto"/>
            <w:right w:val="none" w:sz="0" w:space="0" w:color="auto"/>
          </w:divBdr>
          <w:divsChild>
            <w:div w:id="1129125832">
              <w:marLeft w:val="0"/>
              <w:marRight w:val="0"/>
              <w:marTop w:val="0"/>
              <w:marBottom w:val="0"/>
              <w:divBdr>
                <w:top w:val="none" w:sz="0" w:space="0" w:color="auto"/>
                <w:left w:val="none" w:sz="0" w:space="0" w:color="auto"/>
                <w:bottom w:val="none" w:sz="0" w:space="0" w:color="auto"/>
                <w:right w:val="none" w:sz="0" w:space="0" w:color="auto"/>
              </w:divBdr>
              <w:divsChild>
                <w:div w:id="384454073">
                  <w:marLeft w:val="0"/>
                  <w:marRight w:val="0"/>
                  <w:marTop w:val="0"/>
                  <w:marBottom w:val="0"/>
                  <w:divBdr>
                    <w:top w:val="none" w:sz="0" w:space="0" w:color="auto"/>
                    <w:left w:val="none" w:sz="0" w:space="0" w:color="auto"/>
                    <w:bottom w:val="none" w:sz="0" w:space="0" w:color="auto"/>
                    <w:right w:val="none" w:sz="0" w:space="0" w:color="auto"/>
                  </w:divBdr>
                  <w:divsChild>
                    <w:div w:id="1462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48008">
      <w:bodyDiv w:val="1"/>
      <w:marLeft w:val="0"/>
      <w:marRight w:val="0"/>
      <w:marTop w:val="0"/>
      <w:marBottom w:val="0"/>
      <w:divBdr>
        <w:top w:val="none" w:sz="0" w:space="0" w:color="auto"/>
        <w:left w:val="none" w:sz="0" w:space="0" w:color="auto"/>
        <w:bottom w:val="none" w:sz="0" w:space="0" w:color="auto"/>
        <w:right w:val="none" w:sz="0" w:space="0" w:color="auto"/>
      </w:divBdr>
      <w:divsChild>
        <w:div w:id="335890411">
          <w:marLeft w:val="0"/>
          <w:marRight w:val="0"/>
          <w:marTop w:val="0"/>
          <w:marBottom w:val="0"/>
          <w:divBdr>
            <w:top w:val="none" w:sz="0" w:space="0" w:color="auto"/>
            <w:left w:val="none" w:sz="0" w:space="0" w:color="auto"/>
            <w:bottom w:val="none" w:sz="0" w:space="0" w:color="auto"/>
            <w:right w:val="none" w:sz="0" w:space="0" w:color="auto"/>
          </w:divBdr>
          <w:divsChild>
            <w:div w:id="244462823">
              <w:marLeft w:val="0"/>
              <w:marRight w:val="0"/>
              <w:marTop w:val="0"/>
              <w:marBottom w:val="0"/>
              <w:divBdr>
                <w:top w:val="none" w:sz="0" w:space="0" w:color="auto"/>
                <w:left w:val="none" w:sz="0" w:space="0" w:color="auto"/>
                <w:bottom w:val="none" w:sz="0" w:space="0" w:color="auto"/>
                <w:right w:val="none" w:sz="0" w:space="0" w:color="auto"/>
              </w:divBdr>
            </w:div>
          </w:divsChild>
        </w:div>
        <w:div w:id="604191066">
          <w:marLeft w:val="0"/>
          <w:marRight w:val="0"/>
          <w:marTop w:val="0"/>
          <w:marBottom w:val="300"/>
          <w:divBdr>
            <w:top w:val="none" w:sz="0" w:space="0" w:color="auto"/>
            <w:left w:val="none" w:sz="0" w:space="0" w:color="auto"/>
            <w:bottom w:val="none" w:sz="0" w:space="0" w:color="auto"/>
            <w:right w:val="none" w:sz="0" w:space="0" w:color="auto"/>
          </w:divBdr>
          <w:divsChild>
            <w:div w:id="583881201">
              <w:marLeft w:val="0"/>
              <w:marRight w:val="0"/>
              <w:marTop w:val="0"/>
              <w:marBottom w:val="0"/>
              <w:divBdr>
                <w:top w:val="none" w:sz="0" w:space="0" w:color="auto"/>
                <w:left w:val="none" w:sz="0" w:space="0" w:color="auto"/>
                <w:bottom w:val="none" w:sz="0" w:space="0" w:color="auto"/>
                <w:right w:val="none" w:sz="0" w:space="0" w:color="auto"/>
              </w:divBdr>
              <w:divsChild>
                <w:div w:id="382414645">
                  <w:marLeft w:val="0"/>
                  <w:marRight w:val="0"/>
                  <w:marTop w:val="0"/>
                  <w:marBottom w:val="0"/>
                  <w:divBdr>
                    <w:top w:val="none" w:sz="0" w:space="0" w:color="auto"/>
                    <w:left w:val="none" w:sz="0" w:space="0" w:color="auto"/>
                    <w:bottom w:val="none" w:sz="0" w:space="0" w:color="auto"/>
                    <w:right w:val="none" w:sz="0" w:space="0" w:color="auto"/>
                  </w:divBdr>
                  <w:divsChild>
                    <w:div w:id="86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sChild>
        <w:div w:id="2108426523">
          <w:marLeft w:val="0"/>
          <w:marRight w:val="0"/>
          <w:marTop w:val="0"/>
          <w:marBottom w:val="0"/>
          <w:divBdr>
            <w:top w:val="none" w:sz="0" w:space="0" w:color="auto"/>
            <w:left w:val="none" w:sz="0" w:space="0" w:color="auto"/>
            <w:bottom w:val="none" w:sz="0" w:space="0" w:color="auto"/>
            <w:right w:val="none" w:sz="0" w:space="0" w:color="auto"/>
          </w:divBdr>
          <w:divsChild>
            <w:div w:id="1112702154">
              <w:marLeft w:val="0"/>
              <w:marRight w:val="0"/>
              <w:marTop w:val="0"/>
              <w:marBottom w:val="0"/>
              <w:divBdr>
                <w:top w:val="none" w:sz="0" w:space="0" w:color="auto"/>
                <w:left w:val="none" w:sz="0" w:space="0" w:color="auto"/>
                <w:bottom w:val="none" w:sz="0" w:space="0" w:color="auto"/>
                <w:right w:val="none" w:sz="0" w:space="0" w:color="auto"/>
              </w:divBdr>
            </w:div>
          </w:divsChild>
        </w:div>
        <w:div w:id="1485589227">
          <w:marLeft w:val="0"/>
          <w:marRight w:val="0"/>
          <w:marTop w:val="0"/>
          <w:marBottom w:val="300"/>
          <w:divBdr>
            <w:top w:val="none" w:sz="0" w:space="0" w:color="auto"/>
            <w:left w:val="none" w:sz="0" w:space="0" w:color="auto"/>
            <w:bottom w:val="none" w:sz="0" w:space="0" w:color="auto"/>
            <w:right w:val="none" w:sz="0" w:space="0" w:color="auto"/>
          </w:divBdr>
          <w:divsChild>
            <w:div w:id="715349925">
              <w:marLeft w:val="0"/>
              <w:marRight w:val="0"/>
              <w:marTop w:val="0"/>
              <w:marBottom w:val="0"/>
              <w:divBdr>
                <w:top w:val="none" w:sz="0" w:space="0" w:color="auto"/>
                <w:left w:val="none" w:sz="0" w:space="0" w:color="auto"/>
                <w:bottom w:val="none" w:sz="0" w:space="0" w:color="auto"/>
                <w:right w:val="none" w:sz="0" w:space="0" w:color="auto"/>
              </w:divBdr>
              <w:divsChild>
                <w:div w:id="603997393">
                  <w:marLeft w:val="0"/>
                  <w:marRight w:val="0"/>
                  <w:marTop w:val="0"/>
                  <w:marBottom w:val="0"/>
                  <w:divBdr>
                    <w:top w:val="none" w:sz="0" w:space="0" w:color="auto"/>
                    <w:left w:val="none" w:sz="0" w:space="0" w:color="auto"/>
                    <w:bottom w:val="none" w:sz="0" w:space="0" w:color="auto"/>
                    <w:right w:val="none" w:sz="0" w:space="0" w:color="auto"/>
                  </w:divBdr>
                  <w:divsChild>
                    <w:div w:id="19493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2232">
      <w:bodyDiv w:val="1"/>
      <w:marLeft w:val="0"/>
      <w:marRight w:val="0"/>
      <w:marTop w:val="0"/>
      <w:marBottom w:val="0"/>
      <w:divBdr>
        <w:top w:val="none" w:sz="0" w:space="0" w:color="auto"/>
        <w:left w:val="none" w:sz="0" w:space="0" w:color="auto"/>
        <w:bottom w:val="none" w:sz="0" w:space="0" w:color="auto"/>
        <w:right w:val="none" w:sz="0" w:space="0" w:color="auto"/>
      </w:divBdr>
      <w:divsChild>
        <w:div w:id="2087066253">
          <w:marLeft w:val="0"/>
          <w:marRight w:val="0"/>
          <w:marTop w:val="0"/>
          <w:marBottom w:val="0"/>
          <w:divBdr>
            <w:top w:val="none" w:sz="0" w:space="0" w:color="auto"/>
            <w:left w:val="none" w:sz="0" w:space="0" w:color="auto"/>
            <w:bottom w:val="none" w:sz="0" w:space="0" w:color="auto"/>
            <w:right w:val="none" w:sz="0" w:space="0" w:color="auto"/>
          </w:divBdr>
          <w:divsChild>
            <w:div w:id="341056434">
              <w:marLeft w:val="0"/>
              <w:marRight w:val="0"/>
              <w:marTop w:val="0"/>
              <w:marBottom w:val="0"/>
              <w:divBdr>
                <w:top w:val="none" w:sz="0" w:space="0" w:color="auto"/>
                <w:left w:val="none" w:sz="0" w:space="0" w:color="auto"/>
                <w:bottom w:val="none" w:sz="0" w:space="0" w:color="auto"/>
                <w:right w:val="none" w:sz="0" w:space="0" w:color="auto"/>
              </w:divBdr>
            </w:div>
          </w:divsChild>
        </w:div>
        <w:div w:id="1782455136">
          <w:marLeft w:val="0"/>
          <w:marRight w:val="0"/>
          <w:marTop w:val="0"/>
          <w:marBottom w:val="300"/>
          <w:divBdr>
            <w:top w:val="none" w:sz="0" w:space="0" w:color="auto"/>
            <w:left w:val="none" w:sz="0" w:space="0" w:color="auto"/>
            <w:bottom w:val="none" w:sz="0" w:space="0" w:color="auto"/>
            <w:right w:val="none" w:sz="0" w:space="0" w:color="auto"/>
          </w:divBdr>
          <w:divsChild>
            <w:div w:id="958217423">
              <w:marLeft w:val="0"/>
              <w:marRight w:val="0"/>
              <w:marTop w:val="0"/>
              <w:marBottom w:val="0"/>
              <w:divBdr>
                <w:top w:val="none" w:sz="0" w:space="0" w:color="auto"/>
                <w:left w:val="none" w:sz="0" w:space="0" w:color="auto"/>
                <w:bottom w:val="none" w:sz="0" w:space="0" w:color="auto"/>
                <w:right w:val="none" w:sz="0" w:space="0" w:color="auto"/>
              </w:divBdr>
              <w:divsChild>
                <w:div w:id="1307857924">
                  <w:marLeft w:val="0"/>
                  <w:marRight w:val="0"/>
                  <w:marTop w:val="0"/>
                  <w:marBottom w:val="0"/>
                  <w:divBdr>
                    <w:top w:val="none" w:sz="0" w:space="0" w:color="auto"/>
                    <w:left w:val="none" w:sz="0" w:space="0" w:color="auto"/>
                    <w:bottom w:val="none" w:sz="0" w:space="0" w:color="auto"/>
                    <w:right w:val="none" w:sz="0" w:space="0" w:color="auto"/>
                  </w:divBdr>
                  <w:divsChild>
                    <w:div w:id="8462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6015">
      <w:bodyDiv w:val="1"/>
      <w:marLeft w:val="0"/>
      <w:marRight w:val="0"/>
      <w:marTop w:val="0"/>
      <w:marBottom w:val="0"/>
      <w:divBdr>
        <w:top w:val="none" w:sz="0" w:space="0" w:color="auto"/>
        <w:left w:val="none" w:sz="0" w:space="0" w:color="auto"/>
        <w:bottom w:val="none" w:sz="0" w:space="0" w:color="auto"/>
        <w:right w:val="none" w:sz="0" w:space="0" w:color="auto"/>
      </w:divBdr>
      <w:divsChild>
        <w:div w:id="1403020793">
          <w:marLeft w:val="0"/>
          <w:marRight w:val="0"/>
          <w:marTop w:val="0"/>
          <w:marBottom w:val="0"/>
          <w:divBdr>
            <w:top w:val="none" w:sz="0" w:space="0" w:color="auto"/>
            <w:left w:val="none" w:sz="0" w:space="0" w:color="auto"/>
            <w:bottom w:val="none" w:sz="0" w:space="0" w:color="auto"/>
            <w:right w:val="none" w:sz="0" w:space="0" w:color="auto"/>
          </w:divBdr>
          <w:divsChild>
            <w:div w:id="613295065">
              <w:marLeft w:val="0"/>
              <w:marRight w:val="0"/>
              <w:marTop w:val="0"/>
              <w:marBottom w:val="0"/>
              <w:divBdr>
                <w:top w:val="none" w:sz="0" w:space="0" w:color="auto"/>
                <w:left w:val="none" w:sz="0" w:space="0" w:color="auto"/>
                <w:bottom w:val="none" w:sz="0" w:space="0" w:color="auto"/>
                <w:right w:val="none" w:sz="0" w:space="0" w:color="auto"/>
              </w:divBdr>
            </w:div>
          </w:divsChild>
        </w:div>
        <w:div w:id="329606456">
          <w:marLeft w:val="0"/>
          <w:marRight w:val="0"/>
          <w:marTop w:val="0"/>
          <w:marBottom w:val="300"/>
          <w:divBdr>
            <w:top w:val="none" w:sz="0" w:space="0" w:color="auto"/>
            <w:left w:val="none" w:sz="0" w:space="0" w:color="auto"/>
            <w:bottom w:val="none" w:sz="0" w:space="0" w:color="auto"/>
            <w:right w:val="none" w:sz="0" w:space="0" w:color="auto"/>
          </w:divBdr>
          <w:divsChild>
            <w:div w:id="1510178078">
              <w:marLeft w:val="0"/>
              <w:marRight w:val="0"/>
              <w:marTop w:val="0"/>
              <w:marBottom w:val="0"/>
              <w:divBdr>
                <w:top w:val="none" w:sz="0" w:space="0" w:color="auto"/>
                <w:left w:val="none" w:sz="0" w:space="0" w:color="auto"/>
                <w:bottom w:val="none" w:sz="0" w:space="0" w:color="auto"/>
                <w:right w:val="none" w:sz="0" w:space="0" w:color="auto"/>
              </w:divBdr>
              <w:divsChild>
                <w:div w:id="897058635">
                  <w:marLeft w:val="0"/>
                  <w:marRight w:val="0"/>
                  <w:marTop w:val="0"/>
                  <w:marBottom w:val="0"/>
                  <w:divBdr>
                    <w:top w:val="none" w:sz="0" w:space="0" w:color="auto"/>
                    <w:left w:val="none" w:sz="0" w:space="0" w:color="auto"/>
                    <w:bottom w:val="none" w:sz="0" w:space="0" w:color="auto"/>
                    <w:right w:val="none" w:sz="0" w:space="0" w:color="auto"/>
                  </w:divBdr>
                  <w:divsChild>
                    <w:div w:id="3736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65535">
      <w:bodyDiv w:val="1"/>
      <w:marLeft w:val="0"/>
      <w:marRight w:val="0"/>
      <w:marTop w:val="0"/>
      <w:marBottom w:val="0"/>
      <w:divBdr>
        <w:top w:val="none" w:sz="0" w:space="0" w:color="auto"/>
        <w:left w:val="none" w:sz="0" w:space="0" w:color="auto"/>
        <w:bottom w:val="none" w:sz="0" w:space="0" w:color="auto"/>
        <w:right w:val="none" w:sz="0" w:space="0" w:color="auto"/>
      </w:divBdr>
      <w:divsChild>
        <w:div w:id="1474365628">
          <w:marLeft w:val="0"/>
          <w:marRight w:val="0"/>
          <w:marTop w:val="0"/>
          <w:marBottom w:val="0"/>
          <w:divBdr>
            <w:top w:val="none" w:sz="0" w:space="0" w:color="auto"/>
            <w:left w:val="none" w:sz="0" w:space="0" w:color="auto"/>
            <w:bottom w:val="none" w:sz="0" w:space="0" w:color="auto"/>
            <w:right w:val="none" w:sz="0" w:space="0" w:color="auto"/>
          </w:divBdr>
          <w:divsChild>
            <w:div w:id="4553188">
              <w:marLeft w:val="0"/>
              <w:marRight w:val="0"/>
              <w:marTop w:val="0"/>
              <w:marBottom w:val="0"/>
              <w:divBdr>
                <w:top w:val="none" w:sz="0" w:space="0" w:color="auto"/>
                <w:left w:val="none" w:sz="0" w:space="0" w:color="auto"/>
                <w:bottom w:val="none" w:sz="0" w:space="0" w:color="auto"/>
                <w:right w:val="none" w:sz="0" w:space="0" w:color="auto"/>
              </w:divBdr>
            </w:div>
          </w:divsChild>
        </w:div>
        <w:div w:id="1561018020">
          <w:marLeft w:val="0"/>
          <w:marRight w:val="0"/>
          <w:marTop w:val="0"/>
          <w:marBottom w:val="300"/>
          <w:divBdr>
            <w:top w:val="none" w:sz="0" w:space="0" w:color="auto"/>
            <w:left w:val="none" w:sz="0" w:space="0" w:color="auto"/>
            <w:bottom w:val="none" w:sz="0" w:space="0" w:color="auto"/>
            <w:right w:val="none" w:sz="0" w:space="0" w:color="auto"/>
          </w:divBdr>
          <w:divsChild>
            <w:div w:id="1397893002">
              <w:marLeft w:val="0"/>
              <w:marRight w:val="0"/>
              <w:marTop w:val="0"/>
              <w:marBottom w:val="0"/>
              <w:divBdr>
                <w:top w:val="none" w:sz="0" w:space="0" w:color="auto"/>
                <w:left w:val="none" w:sz="0" w:space="0" w:color="auto"/>
                <w:bottom w:val="none" w:sz="0" w:space="0" w:color="auto"/>
                <w:right w:val="none" w:sz="0" w:space="0" w:color="auto"/>
              </w:divBdr>
              <w:divsChild>
                <w:div w:id="107048383">
                  <w:marLeft w:val="0"/>
                  <w:marRight w:val="0"/>
                  <w:marTop w:val="0"/>
                  <w:marBottom w:val="0"/>
                  <w:divBdr>
                    <w:top w:val="none" w:sz="0" w:space="0" w:color="auto"/>
                    <w:left w:val="none" w:sz="0" w:space="0" w:color="auto"/>
                    <w:bottom w:val="none" w:sz="0" w:space="0" w:color="auto"/>
                    <w:right w:val="none" w:sz="0" w:space="0" w:color="auto"/>
                  </w:divBdr>
                  <w:divsChild>
                    <w:div w:id="2137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636540">
      <w:bodyDiv w:val="1"/>
      <w:marLeft w:val="0"/>
      <w:marRight w:val="0"/>
      <w:marTop w:val="0"/>
      <w:marBottom w:val="0"/>
      <w:divBdr>
        <w:top w:val="none" w:sz="0" w:space="0" w:color="auto"/>
        <w:left w:val="none" w:sz="0" w:space="0" w:color="auto"/>
        <w:bottom w:val="none" w:sz="0" w:space="0" w:color="auto"/>
        <w:right w:val="none" w:sz="0" w:space="0" w:color="auto"/>
      </w:divBdr>
      <w:divsChild>
        <w:div w:id="870844605">
          <w:marLeft w:val="0"/>
          <w:marRight w:val="0"/>
          <w:marTop w:val="0"/>
          <w:marBottom w:val="0"/>
          <w:divBdr>
            <w:top w:val="none" w:sz="0" w:space="0" w:color="auto"/>
            <w:left w:val="none" w:sz="0" w:space="0" w:color="auto"/>
            <w:bottom w:val="none" w:sz="0" w:space="0" w:color="auto"/>
            <w:right w:val="none" w:sz="0" w:space="0" w:color="auto"/>
          </w:divBdr>
          <w:divsChild>
            <w:div w:id="676268681">
              <w:marLeft w:val="0"/>
              <w:marRight w:val="0"/>
              <w:marTop w:val="0"/>
              <w:marBottom w:val="0"/>
              <w:divBdr>
                <w:top w:val="none" w:sz="0" w:space="0" w:color="auto"/>
                <w:left w:val="none" w:sz="0" w:space="0" w:color="auto"/>
                <w:bottom w:val="none" w:sz="0" w:space="0" w:color="auto"/>
                <w:right w:val="none" w:sz="0" w:space="0" w:color="auto"/>
              </w:divBdr>
              <w:divsChild>
                <w:div w:id="2132433290">
                  <w:marLeft w:val="0"/>
                  <w:marRight w:val="0"/>
                  <w:marTop w:val="0"/>
                  <w:marBottom w:val="0"/>
                  <w:divBdr>
                    <w:top w:val="none" w:sz="0" w:space="0" w:color="auto"/>
                    <w:left w:val="none" w:sz="0" w:space="0" w:color="auto"/>
                    <w:bottom w:val="none" w:sz="0" w:space="0" w:color="auto"/>
                    <w:right w:val="none" w:sz="0" w:space="0" w:color="auto"/>
                  </w:divBdr>
                  <w:divsChild>
                    <w:div w:id="1476995568">
                      <w:marLeft w:val="0"/>
                      <w:marRight w:val="0"/>
                      <w:marTop w:val="0"/>
                      <w:marBottom w:val="0"/>
                      <w:divBdr>
                        <w:top w:val="none" w:sz="0" w:space="0" w:color="auto"/>
                        <w:left w:val="none" w:sz="0" w:space="0" w:color="auto"/>
                        <w:bottom w:val="none" w:sz="0" w:space="0" w:color="auto"/>
                        <w:right w:val="none" w:sz="0" w:space="0" w:color="auto"/>
                      </w:divBdr>
                    </w:div>
                  </w:divsChild>
                </w:div>
                <w:div w:id="2017733346">
                  <w:marLeft w:val="0"/>
                  <w:marRight w:val="0"/>
                  <w:marTop w:val="0"/>
                  <w:marBottom w:val="300"/>
                  <w:divBdr>
                    <w:top w:val="none" w:sz="0" w:space="0" w:color="auto"/>
                    <w:left w:val="none" w:sz="0" w:space="0" w:color="auto"/>
                    <w:bottom w:val="none" w:sz="0" w:space="0" w:color="auto"/>
                    <w:right w:val="none" w:sz="0" w:space="0" w:color="auto"/>
                  </w:divBdr>
                  <w:divsChild>
                    <w:div w:id="841360012">
                      <w:marLeft w:val="0"/>
                      <w:marRight w:val="0"/>
                      <w:marTop w:val="0"/>
                      <w:marBottom w:val="0"/>
                      <w:divBdr>
                        <w:top w:val="none" w:sz="0" w:space="0" w:color="auto"/>
                        <w:left w:val="none" w:sz="0" w:space="0" w:color="auto"/>
                        <w:bottom w:val="none" w:sz="0" w:space="0" w:color="auto"/>
                        <w:right w:val="none" w:sz="0" w:space="0" w:color="auto"/>
                      </w:divBdr>
                      <w:divsChild>
                        <w:div w:id="899825933">
                          <w:marLeft w:val="0"/>
                          <w:marRight w:val="0"/>
                          <w:marTop w:val="0"/>
                          <w:marBottom w:val="0"/>
                          <w:divBdr>
                            <w:top w:val="none" w:sz="0" w:space="0" w:color="auto"/>
                            <w:left w:val="none" w:sz="0" w:space="0" w:color="auto"/>
                            <w:bottom w:val="none" w:sz="0" w:space="0" w:color="auto"/>
                            <w:right w:val="none" w:sz="0" w:space="0" w:color="auto"/>
                          </w:divBdr>
                          <w:divsChild>
                            <w:div w:id="17378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74293">
      <w:bodyDiv w:val="1"/>
      <w:marLeft w:val="0"/>
      <w:marRight w:val="0"/>
      <w:marTop w:val="0"/>
      <w:marBottom w:val="0"/>
      <w:divBdr>
        <w:top w:val="none" w:sz="0" w:space="0" w:color="auto"/>
        <w:left w:val="none" w:sz="0" w:space="0" w:color="auto"/>
        <w:bottom w:val="none" w:sz="0" w:space="0" w:color="auto"/>
        <w:right w:val="none" w:sz="0" w:space="0" w:color="auto"/>
      </w:divBdr>
      <w:divsChild>
        <w:div w:id="94719153">
          <w:marLeft w:val="0"/>
          <w:marRight w:val="0"/>
          <w:marTop w:val="0"/>
          <w:marBottom w:val="0"/>
          <w:divBdr>
            <w:top w:val="none" w:sz="0" w:space="0" w:color="auto"/>
            <w:left w:val="none" w:sz="0" w:space="0" w:color="auto"/>
            <w:bottom w:val="none" w:sz="0" w:space="0" w:color="auto"/>
            <w:right w:val="none" w:sz="0" w:space="0" w:color="auto"/>
          </w:divBdr>
          <w:divsChild>
            <w:div w:id="198713436">
              <w:marLeft w:val="0"/>
              <w:marRight w:val="0"/>
              <w:marTop w:val="0"/>
              <w:marBottom w:val="0"/>
              <w:divBdr>
                <w:top w:val="none" w:sz="0" w:space="0" w:color="auto"/>
                <w:left w:val="none" w:sz="0" w:space="0" w:color="auto"/>
                <w:bottom w:val="none" w:sz="0" w:space="0" w:color="auto"/>
                <w:right w:val="none" w:sz="0" w:space="0" w:color="auto"/>
              </w:divBdr>
            </w:div>
          </w:divsChild>
        </w:div>
        <w:div w:id="1135215235">
          <w:marLeft w:val="0"/>
          <w:marRight w:val="0"/>
          <w:marTop w:val="0"/>
          <w:marBottom w:val="300"/>
          <w:divBdr>
            <w:top w:val="none" w:sz="0" w:space="0" w:color="auto"/>
            <w:left w:val="none" w:sz="0" w:space="0" w:color="auto"/>
            <w:bottom w:val="none" w:sz="0" w:space="0" w:color="auto"/>
            <w:right w:val="none" w:sz="0" w:space="0" w:color="auto"/>
          </w:divBdr>
          <w:divsChild>
            <w:div w:id="802619397">
              <w:marLeft w:val="0"/>
              <w:marRight w:val="0"/>
              <w:marTop w:val="0"/>
              <w:marBottom w:val="0"/>
              <w:divBdr>
                <w:top w:val="none" w:sz="0" w:space="0" w:color="auto"/>
                <w:left w:val="none" w:sz="0" w:space="0" w:color="auto"/>
                <w:bottom w:val="none" w:sz="0" w:space="0" w:color="auto"/>
                <w:right w:val="none" w:sz="0" w:space="0" w:color="auto"/>
              </w:divBdr>
              <w:divsChild>
                <w:div w:id="660550013">
                  <w:marLeft w:val="0"/>
                  <w:marRight w:val="0"/>
                  <w:marTop w:val="0"/>
                  <w:marBottom w:val="0"/>
                  <w:divBdr>
                    <w:top w:val="none" w:sz="0" w:space="0" w:color="auto"/>
                    <w:left w:val="none" w:sz="0" w:space="0" w:color="auto"/>
                    <w:bottom w:val="none" w:sz="0" w:space="0" w:color="auto"/>
                    <w:right w:val="none" w:sz="0" w:space="0" w:color="auto"/>
                  </w:divBdr>
                  <w:divsChild>
                    <w:div w:id="10763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4217">
      <w:bodyDiv w:val="1"/>
      <w:marLeft w:val="0"/>
      <w:marRight w:val="0"/>
      <w:marTop w:val="0"/>
      <w:marBottom w:val="0"/>
      <w:divBdr>
        <w:top w:val="none" w:sz="0" w:space="0" w:color="auto"/>
        <w:left w:val="none" w:sz="0" w:space="0" w:color="auto"/>
        <w:bottom w:val="none" w:sz="0" w:space="0" w:color="auto"/>
        <w:right w:val="none" w:sz="0" w:space="0" w:color="auto"/>
      </w:divBdr>
      <w:divsChild>
        <w:div w:id="1580482332">
          <w:marLeft w:val="0"/>
          <w:marRight w:val="0"/>
          <w:marTop w:val="0"/>
          <w:marBottom w:val="0"/>
          <w:divBdr>
            <w:top w:val="none" w:sz="0" w:space="0" w:color="auto"/>
            <w:left w:val="none" w:sz="0" w:space="0" w:color="auto"/>
            <w:bottom w:val="none" w:sz="0" w:space="0" w:color="auto"/>
            <w:right w:val="none" w:sz="0" w:space="0" w:color="auto"/>
          </w:divBdr>
          <w:divsChild>
            <w:div w:id="289558212">
              <w:marLeft w:val="0"/>
              <w:marRight w:val="0"/>
              <w:marTop w:val="0"/>
              <w:marBottom w:val="0"/>
              <w:divBdr>
                <w:top w:val="none" w:sz="0" w:space="0" w:color="auto"/>
                <w:left w:val="none" w:sz="0" w:space="0" w:color="auto"/>
                <w:bottom w:val="none" w:sz="0" w:space="0" w:color="auto"/>
                <w:right w:val="none" w:sz="0" w:space="0" w:color="auto"/>
              </w:divBdr>
            </w:div>
          </w:divsChild>
        </w:div>
        <w:div w:id="1614166670">
          <w:marLeft w:val="0"/>
          <w:marRight w:val="0"/>
          <w:marTop w:val="0"/>
          <w:marBottom w:val="300"/>
          <w:divBdr>
            <w:top w:val="none" w:sz="0" w:space="0" w:color="auto"/>
            <w:left w:val="none" w:sz="0" w:space="0" w:color="auto"/>
            <w:bottom w:val="none" w:sz="0" w:space="0" w:color="auto"/>
            <w:right w:val="none" w:sz="0" w:space="0" w:color="auto"/>
          </w:divBdr>
          <w:divsChild>
            <w:div w:id="396444169">
              <w:marLeft w:val="0"/>
              <w:marRight w:val="0"/>
              <w:marTop w:val="0"/>
              <w:marBottom w:val="0"/>
              <w:divBdr>
                <w:top w:val="none" w:sz="0" w:space="0" w:color="auto"/>
                <w:left w:val="none" w:sz="0" w:space="0" w:color="auto"/>
                <w:bottom w:val="none" w:sz="0" w:space="0" w:color="auto"/>
                <w:right w:val="none" w:sz="0" w:space="0" w:color="auto"/>
              </w:divBdr>
              <w:divsChild>
                <w:div w:id="1241790058">
                  <w:marLeft w:val="0"/>
                  <w:marRight w:val="0"/>
                  <w:marTop w:val="0"/>
                  <w:marBottom w:val="0"/>
                  <w:divBdr>
                    <w:top w:val="none" w:sz="0" w:space="0" w:color="auto"/>
                    <w:left w:val="none" w:sz="0" w:space="0" w:color="auto"/>
                    <w:bottom w:val="none" w:sz="0" w:space="0" w:color="auto"/>
                    <w:right w:val="none" w:sz="0" w:space="0" w:color="auto"/>
                  </w:divBdr>
                  <w:divsChild>
                    <w:div w:id="1804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50547">
      <w:bodyDiv w:val="1"/>
      <w:marLeft w:val="0"/>
      <w:marRight w:val="0"/>
      <w:marTop w:val="0"/>
      <w:marBottom w:val="0"/>
      <w:divBdr>
        <w:top w:val="none" w:sz="0" w:space="0" w:color="auto"/>
        <w:left w:val="none" w:sz="0" w:space="0" w:color="auto"/>
        <w:bottom w:val="none" w:sz="0" w:space="0" w:color="auto"/>
        <w:right w:val="none" w:sz="0" w:space="0" w:color="auto"/>
      </w:divBdr>
      <w:divsChild>
        <w:div w:id="130943883">
          <w:marLeft w:val="0"/>
          <w:marRight w:val="0"/>
          <w:marTop w:val="0"/>
          <w:marBottom w:val="0"/>
          <w:divBdr>
            <w:top w:val="none" w:sz="0" w:space="0" w:color="auto"/>
            <w:left w:val="none" w:sz="0" w:space="0" w:color="auto"/>
            <w:bottom w:val="none" w:sz="0" w:space="0" w:color="auto"/>
            <w:right w:val="none" w:sz="0" w:space="0" w:color="auto"/>
          </w:divBdr>
          <w:divsChild>
            <w:div w:id="88932442">
              <w:marLeft w:val="0"/>
              <w:marRight w:val="0"/>
              <w:marTop w:val="0"/>
              <w:marBottom w:val="0"/>
              <w:divBdr>
                <w:top w:val="none" w:sz="0" w:space="0" w:color="auto"/>
                <w:left w:val="none" w:sz="0" w:space="0" w:color="auto"/>
                <w:bottom w:val="none" w:sz="0" w:space="0" w:color="auto"/>
                <w:right w:val="none" w:sz="0" w:space="0" w:color="auto"/>
              </w:divBdr>
            </w:div>
          </w:divsChild>
        </w:div>
        <w:div w:id="1333680150">
          <w:marLeft w:val="0"/>
          <w:marRight w:val="0"/>
          <w:marTop w:val="0"/>
          <w:marBottom w:val="300"/>
          <w:divBdr>
            <w:top w:val="none" w:sz="0" w:space="0" w:color="auto"/>
            <w:left w:val="none" w:sz="0" w:space="0" w:color="auto"/>
            <w:bottom w:val="none" w:sz="0" w:space="0" w:color="auto"/>
            <w:right w:val="none" w:sz="0" w:space="0" w:color="auto"/>
          </w:divBdr>
          <w:divsChild>
            <w:div w:id="603995636">
              <w:marLeft w:val="0"/>
              <w:marRight w:val="0"/>
              <w:marTop w:val="0"/>
              <w:marBottom w:val="0"/>
              <w:divBdr>
                <w:top w:val="none" w:sz="0" w:space="0" w:color="auto"/>
                <w:left w:val="none" w:sz="0" w:space="0" w:color="auto"/>
                <w:bottom w:val="none" w:sz="0" w:space="0" w:color="auto"/>
                <w:right w:val="none" w:sz="0" w:space="0" w:color="auto"/>
              </w:divBdr>
              <w:divsChild>
                <w:div w:id="324673909">
                  <w:marLeft w:val="0"/>
                  <w:marRight w:val="0"/>
                  <w:marTop w:val="0"/>
                  <w:marBottom w:val="0"/>
                  <w:divBdr>
                    <w:top w:val="none" w:sz="0" w:space="0" w:color="auto"/>
                    <w:left w:val="none" w:sz="0" w:space="0" w:color="auto"/>
                    <w:bottom w:val="none" w:sz="0" w:space="0" w:color="auto"/>
                    <w:right w:val="none" w:sz="0" w:space="0" w:color="auto"/>
                  </w:divBdr>
                  <w:divsChild>
                    <w:div w:id="484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4642">
      <w:bodyDiv w:val="1"/>
      <w:marLeft w:val="0"/>
      <w:marRight w:val="0"/>
      <w:marTop w:val="0"/>
      <w:marBottom w:val="0"/>
      <w:divBdr>
        <w:top w:val="none" w:sz="0" w:space="0" w:color="auto"/>
        <w:left w:val="none" w:sz="0" w:space="0" w:color="auto"/>
        <w:bottom w:val="none" w:sz="0" w:space="0" w:color="auto"/>
        <w:right w:val="none" w:sz="0" w:space="0" w:color="auto"/>
      </w:divBdr>
      <w:divsChild>
        <w:div w:id="18168516">
          <w:marLeft w:val="0"/>
          <w:marRight w:val="0"/>
          <w:marTop w:val="0"/>
          <w:marBottom w:val="0"/>
          <w:divBdr>
            <w:top w:val="none" w:sz="0" w:space="0" w:color="auto"/>
            <w:left w:val="none" w:sz="0" w:space="0" w:color="auto"/>
            <w:bottom w:val="none" w:sz="0" w:space="0" w:color="auto"/>
            <w:right w:val="none" w:sz="0" w:space="0" w:color="auto"/>
          </w:divBdr>
          <w:divsChild>
            <w:div w:id="1680767275">
              <w:marLeft w:val="0"/>
              <w:marRight w:val="0"/>
              <w:marTop w:val="0"/>
              <w:marBottom w:val="0"/>
              <w:divBdr>
                <w:top w:val="none" w:sz="0" w:space="0" w:color="auto"/>
                <w:left w:val="none" w:sz="0" w:space="0" w:color="auto"/>
                <w:bottom w:val="none" w:sz="0" w:space="0" w:color="auto"/>
                <w:right w:val="none" w:sz="0" w:space="0" w:color="auto"/>
              </w:divBdr>
            </w:div>
          </w:divsChild>
        </w:div>
        <w:div w:id="745803916">
          <w:marLeft w:val="0"/>
          <w:marRight w:val="0"/>
          <w:marTop w:val="0"/>
          <w:marBottom w:val="300"/>
          <w:divBdr>
            <w:top w:val="none" w:sz="0" w:space="0" w:color="auto"/>
            <w:left w:val="none" w:sz="0" w:space="0" w:color="auto"/>
            <w:bottom w:val="none" w:sz="0" w:space="0" w:color="auto"/>
            <w:right w:val="none" w:sz="0" w:space="0" w:color="auto"/>
          </w:divBdr>
          <w:divsChild>
            <w:div w:id="1429816756">
              <w:marLeft w:val="0"/>
              <w:marRight w:val="0"/>
              <w:marTop w:val="0"/>
              <w:marBottom w:val="0"/>
              <w:divBdr>
                <w:top w:val="none" w:sz="0" w:space="0" w:color="auto"/>
                <w:left w:val="none" w:sz="0" w:space="0" w:color="auto"/>
                <w:bottom w:val="none" w:sz="0" w:space="0" w:color="auto"/>
                <w:right w:val="none" w:sz="0" w:space="0" w:color="auto"/>
              </w:divBdr>
              <w:divsChild>
                <w:div w:id="742339820">
                  <w:marLeft w:val="0"/>
                  <w:marRight w:val="0"/>
                  <w:marTop w:val="0"/>
                  <w:marBottom w:val="0"/>
                  <w:divBdr>
                    <w:top w:val="none" w:sz="0" w:space="0" w:color="auto"/>
                    <w:left w:val="none" w:sz="0" w:space="0" w:color="auto"/>
                    <w:bottom w:val="none" w:sz="0" w:space="0" w:color="auto"/>
                    <w:right w:val="none" w:sz="0" w:space="0" w:color="auto"/>
                  </w:divBdr>
                  <w:divsChild>
                    <w:div w:id="14545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3357">
      <w:bodyDiv w:val="1"/>
      <w:marLeft w:val="0"/>
      <w:marRight w:val="0"/>
      <w:marTop w:val="0"/>
      <w:marBottom w:val="0"/>
      <w:divBdr>
        <w:top w:val="none" w:sz="0" w:space="0" w:color="auto"/>
        <w:left w:val="none" w:sz="0" w:space="0" w:color="auto"/>
        <w:bottom w:val="none" w:sz="0" w:space="0" w:color="auto"/>
        <w:right w:val="none" w:sz="0" w:space="0" w:color="auto"/>
      </w:divBdr>
      <w:divsChild>
        <w:div w:id="2067221787">
          <w:marLeft w:val="0"/>
          <w:marRight w:val="0"/>
          <w:marTop w:val="0"/>
          <w:marBottom w:val="0"/>
          <w:divBdr>
            <w:top w:val="none" w:sz="0" w:space="0" w:color="auto"/>
            <w:left w:val="none" w:sz="0" w:space="0" w:color="auto"/>
            <w:bottom w:val="none" w:sz="0" w:space="0" w:color="auto"/>
            <w:right w:val="none" w:sz="0" w:space="0" w:color="auto"/>
          </w:divBdr>
          <w:divsChild>
            <w:div w:id="643899754">
              <w:marLeft w:val="0"/>
              <w:marRight w:val="0"/>
              <w:marTop w:val="0"/>
              <w:marBottom w:val="0"/>
              <w:divBdr>
                <w:top w:val="none" w:sz="0" w:space="0" w:color="auto"/>
                <w:left w:val="none" w:sz="0" w:space="0" w:color="auto"/>
                <w:bottom w:val="none" w:sz="0" w:space="0" w:color="auto"/>
                <w:right w:val="none" w:sz="0" w:space="0" w:color="auto"/>
              </w:divBdr>
            </w:div>
          </w:divsChild>
        </w:div>
        <w:div w:id="345912019">
          <w:marLeft w:val="0"/>
          <w:marRight w:val="0"/>
          <w:marTop w:val="0"/>
          <w:marBottom w:val="300"/>
          <w:divBdr>
            <w:top w:val="none" w:sz="0" w:space="0" w:color="auto"/>
            <w:left w:val="none" w:sz="0" w:space="0" w:color="auto"/>
            <w:bottom w:val="none" w:sz="0" w:space="0" w:color="auto"/>
            <w:right w:val="none" w:sz="0" w:space="0" w:color="auto"/>
          </w:divBdr>
          <w:divsChild>
            <w:div w:id="1835215849">
              <w:marLeft w:val="0"/>
              <w:marRight w:val="0"/>
              <w:marTop w:val="0"/>
              <w:marBottom w:val="0"/>
              <w:divBdr>
                <w:top w:val="none" w:sz="0" w:space="0" w:color="auto"/>
                <w:left w:val="none" w:sz="0" w:space="0" w:color="auto"/>
                <w:bottom w:val="none" w:sz="0" w:space="0" w:color="auto"/>
                <w:right w:val="none" w:sz="0" w:space="0" w:color="auto"/>
              </w:divBdr>
              <w:divsChild>
                <w:div w:id="497427084">
                  <w:marLeft w:val="0"/>
                  <w:marRight w:val="0"/>
                  <w:marTop w:val="0"/>
                  <w:marBottom w:val="0"/>
                  <w:divBdr>
                    <w:top w:val="none" w:sz="0" w:space="0" w:color="auto"/>
                    <w:left w:val="none" w:sz="0" w:space="0" w:color="auto"/>
                    <w:bottom w:val="none" w:sz="0" w:space="0" w:color="auto"/>
                    <w:right w:val="none" w:sz="0" w:space="0" w:color="auto"/>
                  </w:divBdr>
                  <w:divsChild>
                    <w:div w:id="967390703">
                      <w:marLeft w:val="0"/>
                      <w:marRight w:val="0"/>
                      <w:marTop w:val="0"/>
                      <w:marBottom w:val="0"/>
                      <w:divBdr>
                        <w:top w:val="none" w:sz="0" w:space="0" w:color="auto"/>
                        <w:left w:val="none" w:sz="0" w:space="0" w:color="auto"/>
                        <w:bottom w:val="none" w:sz="0" w:space="0" w:color="auto"/>
                        <w:right w:val="none" w:sz="0" w:space="0" w:color="auto"/>
                      </w:divBdr>
                      <w:divsChild>
                        <w:div w:id="20079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86129">
      <w:bodyDiv w:val="1"/>
      <w:marLeft w:val="0"/>
      <w:marRight w:val="0"/>
      <w:marTop w:val="0"/>
      <w:marBottom w:val="0"/>
      <w:divBdr>
        <w:top w:val="none" w:sz="0" w:space="0" w:color="auto"/>
        <w:left w:val="none" w:sz="0" w:space="0" w:color="auto"/>
        <w:bottom w:val="none" w:sz="0" w:space="0" w:color="auto"/>
        <w:right w:val="none" w:sz="0" w:space="0" w:color="auto"/>
      </w:divBdr>
      <w:divsChild>
        <w:div w:id="246036597">
          <w:marLeft w:val="0"/>
          <w:marRight w:val="0"/>
          <w:marTop w:val="0"/>
          <w:marBottom w:val="0"/>
          <w:divBdr>
            <w:top w:val="none" w:sz="0" w:space="0" w:color="auto"/>
            <w:left w:val="none" w:sz="0" w:space="0" w:color="auto"/>
            <w:bottom w:val="none" w:sz="0" w:space="0" w:color="auto"/>
            <w:right w:val="none" w:sz="0" w:space="0" w:color="auto"/>
          </w:divBdr>
          <w:divsChild>
            <w:div w:id="1994405966">
              <w:marLeft w:val="0"/>
              <w:marRight w:val="0"/>
              <w:marTop w:val="0"/>
              <w:marBottom w:val="0"/>
              <w:divBdr>
                <w:top w:val="none" w:sz="0" w:space="0" w:color="auto"/>
                <w:left w:val="none" w:sz="0" w:space="0" w:color="auto"/>
                <w:bottom w:val="none" w:sz="0" w:space="0" w:color="auto"/>
                <w:right w:val="none" w:sz="0" w:space="0" w:color="auto"/>
              </w:divBdr>
            </w:div>
          </w:divsChild>
        </w:div>
        <w:div w:id="1991518057">
          <w:marLeft w:val="0"/>
          <w:marRight w:val="0"/>
          <w:marTop w:val="0"/>
          <w:marBottom w:val="300"/>
          <w:divBdr>
            <w:top w:val="none" w:sz="0" w:space="0" w:color="auto"/>
            <w:left w:val="none" w:sz="0" w:space="0" w:color="auto"/>
            <w:bottom w:val="none" w:sz="0" w:space="0" w:color="auto"/>
            <w:right w:val="none" w:sz="0" w:space="0" w:color="auto"/>
          </w:divBdr>
          <w:divsChild>
            <w:div w:id="1276718727">
              <w:marLeft w:val="0"/>
              <w:marRight w:val="0"/>
              <w:marTop w:val="0"/>
              <w:marBottom w:val="0"/>
              <w:divBdr>
                <w:top w:val="none" w:sz="0" w:space="0" w:color="auto"/>
                <w:left w:val="none" w:sz="0" w:space="0" w:color="auto"/>
                <w:bottom w:val="none" w:sz="0" w:space="0" w:color="auto"/>
                <w:right w:val="none" w:sz="0" w:space="0" w:color="auto"/>
              </w:divBdr>
              <w:divsChild>
                <w:div w:id="231502367">
                  <w:marLeft w:val="0"/>
                  <w:marRight w:val="0"/>
                  <w:marTop w:val="0"/>
                  <w:marBottom w:val="0"/>
                  <w:divBdr>
                    <w:top w:val="none" w:sz="0" w:space="0" w:color="auto"/>
                    <w:left w:val="none" w:sz="0" w:space="0" w:color="auto"/>
                    <w:bottom w:val="none" w:sz="0" w:space="0" w:color="auto"/>
                    <w:right w:val="none" w:sz="0" w:space="0" w:color="auto"/>
                  </w:divBdr>
                  <w:divsChild>
                    <w:div w:id="979115617">
                      <w:marLeft w:val="0"/>
                      <w:marRight w:val="0"/>
                      <w:marTop w:val="0"/>
                      <w:marBottom w:val="0"/>
                      <w:divBdr>
                        <w:top w:val="none" w:sz="0" w:space="0" w:color="auto"/>
                        <w:left w:val="none" w:sz="0" w:space="0" w:color="auto"/>
                        <w:bottom w:val="none" w:sz="0" w:space="0" w:color="auto"/>
                        <w:right w:val="none" w:sz="0" w:space="0" w:color="auto"/>
                      </w:divBdr>
                      <w:divsChild>
                        <w:div w:id="20110570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6327">
      <w:bodyDiv w:val="1"/>
      <w:marLeft w:val="0"/>
      <w:marRight w:val="0"/>
      <w:marTop w:val="0"/>
      <w:marBottom w:val="0"/>
      <w:divBdr>
        <w:top w:val="none" w:sz="0" w:space="0" w:color="auto"/>
        <w:left w:val="none" w:sz="0" w:space="0" w:color="auto"/>
        <w:bottom w:val="none" w:sz="0" w:space="0" w:color="auto"/>
        <w:right w:val="none" w:sz="0" w:space="0" w:color="auto"/>
      </w:divBdr>
      <w:divsChild>
        <w:div w:id="1381830300">
          <w:marLeft w:val="0"/>
          <w:marRight w:val="0"/>
          <w:marTop w:val="0"/>
          <w:marBottom w:val="0"/>
          <w:divBdr>
            <w:top w:val="none" w:sz="0" w:space="0" w:color="auto"/>
            <w:left w:val="none" w:sz="0" w:space="0" w:color="auto"/>
            <w:bottom w:val="none" w:sz="0" w:space="0" w:color="auto"/>
            <w:right w:val="none" w:sz="0" w:space="0" w:color="auto"/>
          </w:divBdr>
          <w:divsChild>
            <w:div w:id="1942103418">
              <w:marLeft w:val="0"/>
              <w:marRight w:val="0"/>
              <w:marTop w:val="0"/>
              <w:marBottom w:val="0"/>
              <w:divBdr>
                <w:top w:val="none" w:sz="0" w:space="0" w:color="auto"/>
                <w:left w:val="none" w:sz="0" w:space="0" w:color="auto"/>
                <w:bottom w:val="none" w:sz="0" w:space="0" w:color="auto"/>
                <w:right w:val="none" w:sz="0" w:space="0" w:color="auto"/>
              </w:divBdr>
            </w:div>
          </w:divsChild>
        </w:div>
        <w:div w:id="764497431">
          <w:marLeft w:val="0"/>
          <w:marRight w:val="0"/>
          <w:marTop w:val="0"/>
          <w:marBottom w:val="300"/>
          <w:divBdr>
            <w:top w:val="none" w:sz="0" w:space="0" w:color="auto"/>
            <w:left w:val="none" w:sz="0" w:space="0" w:color="auto"/>
            <w:bottom w:val="none" w:sz="0" w:space="0" w:color="auto"/>
            <w:right w:val="none" w:sz="0" w:space="0" w:color="auto"/>
          </w:divBdr>
          <w:divsChild>
            <w:div w:id="1077364695">
              <w:marLeft w:val="0"/>
              <w:marRight w:val="0"/>
              <w:marTop w:val="0"/>
              <w:marBottom w:val="0"/>
              <w:divBdr>
                <w:top w:val="none" w:sz="0" w:space="0" w:color="auto"/>
                <w:left w:val="none" w:sz="0" w:space="0" w:color="auto"/>
                <w:bottom w:val="none" w:sz="0" w:space="0" w:color="auto"/>
                <w:right w:val="none" w:sz="0" w:space="0" w:color="auto"/>
              </w:divBdr>
              <w:divsChild>
                <w:div w:id="209612062">
                  <w:marLeft w:val="0"/>
                  <w:marRight w:val="0"/>
                  <w:marTop w:val="0"/>
                  <w:marBottom w:val="0"/>
                  <w:divBdr>
                    <w:top w:val="none" w:sz="0" w:space="0" w:color="auto"/>
                    <w:left w:val="none" w:sz="0" w:space="0" w:color="auto"/>
                    <w:bottom w:val="none" w:sz="0" w:space="0" w:color="auto"/>
                    <w:right w:val="none" w:sz="0" w:space="0" w:color="auto"/>
                  </w:divBdr>
                  <w:divsChild>
                    <w:div w:id="249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78280">
      <w:bodyDiv w:val="1"/>
      <w:marLeft w:val="0"/>
      <w:marRight w:val="0"/>
      <w:marTop w:val="0"/>
      <w:marBottom w:val="0"/>
      <w:divBdr>
        <w:top w:val="none" w:sz="0" w:space="0" w:color="auto"/>
        <w:left w:val="none" w:sz="0" w:space="0" w:color="auto"/>
        <w:bottom w:val="none" w:sz="0" w:space="0" w:color="auto"/>
        <w:right w:val="none" w:sz="0" w:space="0" w:color="auto"/>
      </w:divBdr>
      <w:divsChild>
        <w:div w:id="513568437">
          <w:marLeft w:val="0"/>
          <w:marRight w:val="0"/>
          <w:marTop w:val="0"/>
          <w:marBottom w:val="0"/>
          <w:divBdr>
            <w:top w:val="none" w:sz="0" w:space="0" w:color="auto"/>
            <w:left w:val="none" w:sz="0" w:space="0" w:color="auto"/>
            <w:bottom w:val="none" w:sz="0" w:space="0" w:color="auto"/>
            <w:right w:val="none" w:sz="0" w:space="0" w:color="auto"/>
          </w:divBdr>
          <w:divsChild>
            <w:div w:id="589696869">
              <w:marLeft w:val="0"/>
              <w:marRight w:val="0"/>
              <w:marTop w:val="0"/>
              <w:marBottom w:val="0"/>
              <w:divBdr>
                <w:top w:val="none" w:sz="0" w:space="0" w:color="auto"/>
                <w:left w:val="none" w:sz="0" w:space="0" w:color="auto"/>
                <w:bottom w:val="none" w:sz="0" w:space="0" w:color="auto"/>
                <w:right w:val="none" w:sz="0" w:space="0" w:color="auto"/>
              </w:divBdr>
            </w:div>
          </w:divsChild>
        </w:div>
        <w:div w:id="728919538">
          <w:marLeft w:val="0"/>
          <w:marRight w:val="0"/>
          <w:marTop w:val="0"/>
          <w:marBottom w:val="300"/>
          <w:divBdr>
            <w:top w:val="none" w:sz="0" w:space="0" w:color="auto"/>
            <w:left w:val="none" w:sz="0" w:space="0" w:color="auto"/>
            <w:bottom w:val="none" w:sz="0" w:space="0" w:color="auto"/>
            <w:right w:val="none" w:sz="0" w:space="0" w:color="auto"/>
          </w:divBdr>
          <w:divsChild>
            <w:div w:id="67769697">
              <w:marLeft w:val="0"/>
              <w:marRight w:val="0"/>
              <w:marTop w:val="0"/>
              <w:marBottom w:val="0"/>
              <w:divBdr>
                <w:top w:val="none" w:sz="0" w:space="0" w:color="auto"/>
                <w:left w:val="none" w:sz="0" w:space="0" w:color="auto"/>
                <w:bottom w:val="none" w:sz="0" w:space="0" w:color="auto"/>
                <w:right w:val="none" w:sz="0" w:space="0" w:color="auto"/>
              </w:divBdr>
              <w:divsChild>
                <w:div w:id="1477189614">
                  <w:marLeft w:val="0"/>
                  <w:marRight w:val="0"/>
                  <w:marTop w:val="0"/>
                  <w:marBottom w:val="0"/>
                  <w:divBdr>
                    <w:top w:val="none" w:sz="0" w:space="0" w:color="auto"/>
                    <w:left w:val="none" w:sz="0" w:space="0" w:color="auto"/>
                    <w:bottom w:val="none" w:sz="0" w:space="0" w:color="auto"/>
                    <w:right w:val="none" w:sz="0" w:space="0" w:color="auto"/>
                  </w:divBdr>
                  <w:divsChild>
                    <w:div w:id="2920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22248">
      <w:bodyDiv w:val="1"/>
      <w:marLeft w:val="0"/>
      <w:marRight w:val="0"/>
      <w:marTop w:val="0"/>
      <w:marBottom w:val="0"/>
      <w:divBdr>
        <w:top w:val="none" w:sz="0" w:space="0" w:color="auto"/>
        <w:left w:val="none" w:sz="0" w:space="0" w:color="auto"/>
        <w:bottom w:val="none" w:sz="0" w:space="0" w:color="auto"/>
        <w:right w:val="none" w:sz="0" w:space="0" w:color="auto"/>
      </w:divBdr>
      <w:divsChild>
        <w:div w:id="804667316">
          <w:marLeft w:val="0"/>
          <w:marRight w:val="0"/>
          <w:marTop w:val="0"/>
          <w:marBottom w:val="0"/>
          <w:divBdr>
            <w:top w:val="none" w:sz="0" w:space="0" w:color="auto"/>
            <w:left w:val="none" w:sz="0" w:space="0" w:color="auto"/>
            <w:bottom w:val="none" w:sz="0" w:space="0" w:color="auto"/>
            <w:right w:val="none" w:sz="0" w:space="0" w:color="auto"/>
          </w:divBdr>
          <w:divsChild>
            <w:div w:id="403069272">
              <w:marLeft w:val="0"/>
              <w:marRight w:val="0"/>
              <w:marTop w:val="0"/>
              <w:marBottom w:val="0"/>
              <w:divBdr>
                <w:top w:val="none" w:sz="0" w:space="0" w:color="auto"/>
                <w:left w:val="none" w:sz="0" w:space="0" w:color="auto"/>
                <w:bottom w:val="none" w:sz="0" w:space="0" w:color="auto"/>
                <w:right w:val="none" w:sz="0" w:space="0" w:color="auto"/>
              </w:divBdr>
            </w:div>
          </w:divsChild>
        </w:div>
        <w:div w:id="1674599343">
          <w:marLeft w:val="0"/>
          <w:marRight w:val="0"/>
          <w:marTop w:val="0"/>
          <w:marBottom w:val="300"/>
          <w:divBdr>
            <w:top w:val="none" w:sz="0" w:space="0" w:color="auto"/>
            <w:left w:val="none" w:sz="0" w:space="0" w:color="auto"/>
            <w:bottom w:val="none" w:sz="0" w:space="0" w:color="auto"/>
            <w:right w:val="none" w:sz="0" w:space="0" w:color="auto"/>
          </w:divBdr>
          <w:divsChild>
            <w:div w:id="1252589774">
              <w:marLeft w:val="0"/>
              <w:marRight w:val="0"/>
              <w:marTop w:val="0"/>
              <w:marBottom w:val="0"/>
              <w:divBdr>
                <w:top w:val="none" w:sz="0" w:space="0" w:color="auto"/>
                <w:left w:val="none" w:sz="0" w:space="0" w:color="auto"/>
                <w:bottom w:val="none" w:sz="0" w:space="0" w:color="auto"/>
                <w:right w:val="none" w:sz="0" w:space="0" w:color="auto"/>
              </w:divBdr>
              <w:divsChild>
                <w:div w:id="261182528">
                  <w:marLeft w:val="0"/>
                  <w:marRight w:val="0"/>
                  <w:marTop w:val="0"/>
                  <w:marBottom w:val="0"/>
                  <w:divBdr>
                    <w:top w:val="none" w:sz="0" w:space="0" w:color="auto"/>
                    <w:left w:val="none" w:sz="0" w:space="0" w:color="auto"/>
                    <w:bottom w:val="none" w:sz="0" w:space="0" w:color="auto"/>
                    <w:right w:val="none" w:sz="0" w:space="0" w:color="auto"/>
                  </w:divBdr>
                  <w:divsChild>
                    <w:div w:id="7379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4590">
      <w:bodyDiv w:val="1"/>
      <w:marLeft w:val="0"/>
      <w:marRight w:val="0"/>
      <w:marTop w:val="0"/>
      <w:marBottom w:val="0"/>
      <w:divBdr>
        <w:top w:val="none" w:sz="0" w:space="0" w:color="auto"/>
        <w:left w:val="none" w:sz="0" w:space="0" w:color="auto"/>
        <w:bottom w:val="none" w:sz="0" w:space="0" w:color="auto"/>
        <w:right w:val="none" w:sz="0" w:space="0" w:color="auto"/>
      </w:divBdr>
    </w:div>
    <w:div w:id="2079665240">
      <w:bodyDiv w:val="1"/>
      <w:marLeft w:val="0"/>
      <w:marRight w:val="0"/>
      <w:marTop w:val="0"/>
      <w:marBottom w:val="0"/>
      <w:divBdr>
        <w:top w:val="none" w:sz="0" w:space="0" w:color="auto"/>
        <w:left w:val="none" w:sz="0" w:space="0" w:color="auto"/>
        <w:bottom w:val="none" w:sz="0" w:space="0" w:color="auto"/>
        <w:right w:val="none" w:sz="0" w:space="0" w:color="auto"/>
      </w:divBdr>
      <w:divsChild>
        <w:div w:id="616374770">
          <w:marLeft w:val="0"/>
          <w:marRight w:val="0"/>
          <w:marTop w:val="0"/>
          <w:marBottom w:val="0"/>
          <w:divBdr>
            <w:top w:val="none" w:sz="0" w:space="0" w:color="auto"/>
            <w:left w:val="none" w:sz="0" w:space="0" w:color="auto"/>
            <w:bottom w:val="none" w:sz="0" w:space="0" w:color="auto"/>
            <w:right w:val="none" w:sz="0" w:space="0" w:color="auto"/>
          </w:divBdr>
          <w:divsChild>
            <w:div w:id="1480535881">
              <w:marLeft w:val="0"/>
              <w:marRight w:val="0"/>
              <w:marTop w:val="0"/>
              <w:marBottom w:val="0"/>
              <w:divBdr>
                <w:top w:val="none" w:sz="0" w:space="0" w:color="auto"/>
                <w:left w:val="none" w:sz="0" w:space="0" w:color="auto"/>
                <w:bottom w:val="none" w:sz="0" w:space="0" w:color="auto"/>
                <w:right w:val="none" w:sz="0" w:space="0" w:color="auto"/>
              </w:divBdr>
              <w:divsChild>
                <w:div w:id="1064138244">
                  <w:marLeft w:val="0"/>
                  <w:marRight w:val="0"/>
                  <w:marTop w:val="0"/>
                  <w:marBottom w:val="0"/>
                  <w:divBdr>
                    <w:top w:val="none" w:sz="0" w:space="0" w:color="auto"/>
                    <w:left w:val="none" w:sz="0" w:space="0" w:color="auto"/>
                    <w:bottom w:val="none" w:sz="0" w:space="0" w:color="auto"/>
                    <w:right w:val="none" w:sz="0" w:space="0" w:color="auto"/>
                  </w:divBdr>
                  <w:divsChild>
                    <w:div w:id="38167464">
                      <w:marLeft w:val="0"/>
                      <w:marRight w:val="0"/>
                      <w:marTop w:val="0"/>
                      <w:marBottom w:val="0"/>
                      <w:divBdr>
                        <w:top w:val="none" w:sz="0" w:space="0" w:color="auto"/>
                        <w:left w:val="none" w:sz="0" w:space="0" w:color="auto"/>
                        <w:bottom w:val="none" w:sz="0" w:space="0" w:color="auto"/>
                        <w:right w:val="none" w:sz="0" w:space="0" w:color="auto"/>
                      </w:divBdr>
                    </w:div>
                  </w:divsChild>
                </w:div>
                <w:div w:id="716052981">
                  <w:marLeft w:val="0"/>
                  <w:marRight w:val="0"/>
                  <w:marTop w:val="0"/>
                  <w:marBottom w:val="300"/>
                  <w:divBdr>
                    <w:top w:val="none" w:sz="0" w:space="0" w:color="auto"/>
                    <w:left w:val="none" w:sz="0" w:space="0" w:color="auto"/>
                    <w:bottom w:val="none" w:sz="0" w:space="0" w:color="auto"/>
                    <w:right w:val="none" w:sz="0" w:space="0" w:color="auto"/>
                  </w:divBdr>
                  <w:divsChild>
                    <w:div w:id="1837916842">
                      <w:marLeft w:val="0"/>
                      <w:marRight w:val="0"/>
                      <w:marTop w:val="0"/>
                      <w:marBottom w:val="0"/>
                      <w:divBdr>
                        <w:top w:val="none" w:sz="0" w:space="0" w:color="auto"/>
                        <w:left w:val="none" w:sz="0" w:space="0" w:color="auto"/>
                        <w:bottom w:val="none" w:sz="0" w:space="0" w:color="auto"/>
                        <w:right w:val="none" w:sz="0" w:space="0" w:color="auto"/>
                      </w:divBdr>
                      <w:divsChild>
                        <w:div w:id="1494174608">
                          <w:marLeft w:val="0"/>
                          <w:marRight w:val="0"/>
                          <w:marTop w:val="0"/>
                          <w:marBottom w:val="0"/>
                          <w:divBdr>
                            <w:top w:val="none" w:sz="0" w:space="0" w:color="auto"/>
                            <w:left w:val="none" w:sz="0" w:space="0" w:color="auto"/>
                            <w:bottom w:val="none" w:sz="0" w:space="0" w:color="auto"/>
                            <w:right w:val="none" w:sz="0" w:space="0" w:color="auto"/>
                          </w:divBdr>
                          <w:divsChild>
                            <w:div w:id="5639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85041326">
          <w:marLeft w:val="0"/>
          <w:marRight w:val="0"/>
          <w:marTop w:val="0"/>
          <w:marBottom w:val="0"/>
          <w:divBdr>
            <w:top w:val="none" w:sz="0" w:space="0" w:color="auto"/>
            <w:left w:val="none" w:sz="0" w:space="0" w:color="auto"/>
            <w:bottom w:val="none" w:sz="0" w:space="0" w:color="auto"/>
            <w:right w:val="none" w:sz="0" w:space="0" w:color="auto"/>
          </w:divBdr>
          <w:divsChild>
            <w:div w:id="248543307">
              <w:marLeft w:val="0"/>
              <w:marRight w:val="0"/>
              <w:marTop w:val="0"/>
              <w:marBottom w:val="0"/>
              <w:divBdr>
                <w:top w:val="none" w:sz="0" w:space="0" w:color="auto"/>
                <w:left w:val="none" w:sz="0" w:space="0" w:color="auto"/>
                <w:bottom w:val="none" w:sz="0" w:space="0" w:color="auto"/>
                <w:right w:val="none" w:sz="0" w:space="0" w:color="auto"/>
              </w:divBdr>
            </w:div>
          </w:divsChild>
        </w:div>
        <w:div w:id="1671911633">
          <w:marLeft w:val="0"/>
          <w:marRight w:val="0"/>
          <w:marTop w:val="0"/>
          <w:marBottom w:val="300"/>
          <w:divBdr>
            <w:top w:val="none" w:sz="0" w:space="0" w:color="auto"/>
            <w:left w:val="none" w:sz="0" w:space="0" w:color="auto"/>
            <w:bottom w:val="none" w:sz="0" w:space="0" w:color="auto"/>
            <w:right w:val="none" w:sz="0" w:space="0" w:color="auto"/>
          </w:divBdr>
          <w:divsChild>
            <w:div w:id="2096704541">
              <w:marLeft w:val="0"/>
              <w:marRight w:val="0"/>
              <w:marTop w:val="0"/>
              <w:marBottom w:val="0"/>
              <w:divBdr>
                <w:top w:val="none" w:sz="0" w:space="0" w:color="auto"/>
                <w:left w:val="none" w:sz="0" w:space="0" w:color="auto"/>
                <w:bottom w:val="none" w:sz="0" w:space="0" w:color="auto"/>
                <w:right w:val="none" w:sz="0" w:space="0" w:color="auto"/>
              </w:divBdr>
              <w:divsChild>
                <w:div w:id="478155687">
                  <w:marLeft w:val="0"/>
                  <w:marRight w:val="0"/>
                  <w:marTop w:val="0"/>
                  <w:marBottom w:val="0"/>
                  <w:divBdr>
                    <w:top w:val="none" w:sz="0" w:space="0" w:color="auto"/>
                    <w:left w:val="none" w:sz="0" w:space="0" w:color="auto"/>
                    <w:bottom w:val="none" w:sz="0" w:space="0" w:color="auto"/>
                    <w:right w:val="none" w:sz="0" w:space="0" w:color="auto"/>
                  </w:divBdr>
                  <w:divsChild>
                    <w:div w:id="17496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28</Pages>
  <Words>9412</Words>
  <Characters>53653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Gabrys, Robertas</dc:creator>
  <cp:keywords/>
  <dc:description/>
  <cp:lastModifiedBy>Gabrys, Robertas</cp:lastModifiedBy>
  <cp:revision>2</cp:revision>
  <dcterms:created xsi:type="dcterms:W3CDTF">2022-06-01T19:32:00Z</dcterms:created>
  <dcterms:modified xsi:type="dcterms:W3CDTF">2022-06-01T20:11:00Z</dcterms:modified>
</cp:coreProperties>
</file>