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6A0CA" w14:textId="77777777" w:rsidR="008B5F7D" w:rsidRDefault="008B5F7D"/>
    <w:p w14:paraId="009C1C30" w14:textId="77777777" w:rsidR="008B5F7D" w:rsidRDefault="008B5F7D" w:rsidP="008B5F7D">
      <w:r>
        <w:t>Willingness to Pay and Perceived Value</w:t>
      </w:r>
    </w:p>
    <w:p w14:paraId="7FF21D7F" w14:textId="77777777" w:rsidR="008B5F7D" w:rsidRDefault="008B5F7D" w:rsidP="008B5F7D"/>
    <w:p w14:paraId="06629CF5" w14:textId="77777777" w:rsidR="008B5F7D" w:rsidRDefault="008B5F7D" w:rsidP="008B5F7D">
      <w:r>
        <w:t>Research indicates that willingness to pay in bike-sharing is strongly shaped by perceived value rather than the objective or intrinsic worth of the service. This creates a significant risk when operators rely heavily on discounts or promotions. While such tactics may increase short-term uptake, they also condition customers to expect lower prices, diminishing long-term willingness to pay and encouraging “free rider” behaviour.</w:t>
      </w:r>
    </w:p>
    <w:p w14:paraId="102C1FC6" w14:textId="77777777" w:rsidR="008B5F7D" w:rsidRDefault="008B5F7D" w:rsidP="008B5F7D"/>
    <w:p w14:paraId="2204A5EC" w14:textId="1DFF5E99" w:rsidR="008B5F7D" w:rsidRDefault="008B5F7D" w:rsidP="008B5F7D">
      <w:r>
        <w:t>These findings highlights</w:t>
      </w:r>
      <w:r>
        <w:t xml:space="preserve"> that the fundamental value of the bike itself is not the key driver</w:t>
      </w:r>
      <w:r>
        <w:t xml:space="preserve">, </w:t>
      </w:r>
      <w:r>
        <w:t>what matters is how useful, convenient, and reliable the service is perceived to be relative to alternatives. To justify prices, particularly when set above competing transport modes, operators must focus on enhancing service quality, reliability, and customer experience. A positive perception of convenience and utility is essential for sustaining higher price points and avoiding destructive “price wars” within the market.</w:t>
      </w:r>
      <w:r>
        <w:t xml:space="preserve"> Therefore, the sustainability of the bikes </w:t>
      </w:r>
      <w:proofErr w:type="gramStart"/>
      <w:r>
        <w:t>need</w:t>
      </w:r>
      <w:proofErr w:type="gramEnd"/>
      <w:r>
        <w:t xml:space="preserve"> to be drilled into the product and marketing </w:t>
      </w:r>
      <w:proofErr w:type="gramStart"/>
      <w:r>
        <w:t>in order to</w:t>
      </w:r>
      <w:proofErr w:type="gramEnd"/>
      <w:r>
        <w:t xml:space="preserve"> convince others to see its value, not that it is just a way to cut costs. </w:t>
      </w:r>
    </w:p>
    <w:p w14:paraId="78ADBD8A" w14:textId="77777777" w:rsidR="008B5F7D" w:rsidRDefault="008B5F7D" w:rsidP="008B5F7D"/>
    <w:p w14:paraId="7F1664CF" w14:textId="210572CA" w:rsidR="008B5F7D" w:rsidRDefault="008B5F7D" w:rsidP="008B5F7D">
      <w:r>
        <w:t xml:space="preserve">Willingness to pay and sustainability </w:t>
      </w:r>
    </w:p>
    <w:p w14:paraId="0CB30F64" w14:textId="77777777" w:rsidR="008B5F7D" w:rsidRDefault="008B5F7D" w:rsidP="008B5F7D"/>
    <w:p w14:paraId="4E79CD63" w14:textId="77777777" w:rsidR="008B5F7D" w:rsidRDefault="008B5F7D" w:rsidP="008B5F7D">
      <w:r>
        <w:t>Consumer research consistently shows that customers express a higher willingness to pay for services perceived as sustainable, eco-friendly, or socially responsible. However, this premium is often conditional: people may support sustainable options in principle, but the extent of their willingness to pay depends on whether the added value is clearly communicated and felt in practice.</w:t>
      </w:r>
    </w:p>
    <w:p w14:paraId="31C9352B" w14:textId="77777777" w:rsidR="008B5F7D" w:rsidRDefault="008B5F7D" w:rsidP="008B5F7D"/>
    <w:p w14:paraId="0F09832C" w14:textId="77777777" w:rsidR="008B5F7D" w:rsidRDefault="008B5F7D" w:rsidP="008B5F7D">
      <w:r>
        <w:t>In the cycle sector, this suggests that simply highlighting recycled materials or reduced emissions may not be enough to justify higher prices on their own. Instead, sustainability needs to be embedded into a broader value proposition—for example, linking eco-friendly materials with durability, reliability, or community benefits. By positioning sustainability as an enhancement of quality and convenience, operators can make the price premium more tangible and defensible.</w:t>
      </w:r>
    </w:p>
    <w:p w14:paraId="111FD938" w14:textId="77777777" w:rsidR="008B5F7D" w:rsidRDefault="008B5F7D" w:rsidP="008B5F7D"/>
    <w:p w14:paraId="6A73DACD" w14:textId="3EA5FF7C" w:rsidR="008B5F7D" w:rsidRDefault="008B5F7D" w:rsidP="008B5F7D">
      <w:r>
        <w:t>W</w:t>
      </w:r>
      <w:r>
        <w:t>illingness to pay for sustainability is not uniform across demographics. Younger users and international tourists, for example, often show a greater preference for sustainable services, meaning targeted marketing can help capture segments most likely to accept modest price premiums.</w:t>
      </w:r>
      <w:r>
        <w:t xml:space="preserve"> This could be perfect for the Brighton market as they are the main demographics of the city. I would make sure to consider the students are likely to value cost over sustainability as they are going to be on a budget, perhaps a student pass could account for this. </w:t>
      </w:r>
    </w:p>
    <w:p w14:paraId="2AFFFBBB" w14:textId="1544E7D1" w:rsidR="00BD6713" w:rsidRDefault="00BD6713">
      <w:r>
        <w:br w:type="page"/>
      </w:r>
    </w:p>
    <w:p w14:paraId="0F7E0BE7" w14:textId="3FEF9785" w:rsidR="00BD6713" w:rsidRPr="00BD6713" w:rsidRDefault="00BD6713" w:rsidP="008B5F7D">
      <w:pPr>
        <w:rPr>
          <w:b/>
          <w:bCs/>
          <w:u w:val="single"/>
        </w:rPr>
      </w:pPr>
      <w:r>
        <w:rPr>
          <w:b/>
          <w:bCs/>
          <w:u w:val="single"/>
        </w:rPr>
        <w:lastRenderedPageBreak/>
        <w:t xml:space="preserve">Quantifying the </w:t>
      </w:r>
      <w:proofErr w:type="spellStart"/>
      <w:r>
        <w:rPr>
          <w:b/>
          <w:bCs/>
          <w:u w:val="single"/>
        </w:rPr>
        <w:t>Sustainablility</w:t>
      </w:r>
      <w:proofErr w:type="spellEnd"/>
      <w:r>
        <w:rPr>
          <w:b/>
          <w:bCs/>
          <w:u w:val="single"/>
        </w:rPr>
        <w:t xml:space="preserve"> premiums</w:t>
      </w:r>
    </w:p>
    <w:p w14:paraId="70FD269E" w14:textId="77777777" w:rsidR="00BD6713" w:rsidRDefault="00BD6713" w:rsidP="008B5F7D"/>
    <w:tbl>
      <w:tblPr>
        <w:tblStyle w:val="TableGrid"/>
        <w:tblW w:w="0" w:type="auto"/>
        <w:tblLook w:val="04A0" w:firstRow="1" w:lastRow="0" w:firstColumn="1" w:lastColumn="0" w:noHBand="0" w:noVBand="1"/>
      </w:tblPr>
      <w:tblGrid>
        <w:gridCol w:w="2335"/>
        <w:gridCol w:w="2256"/>
        <w:gridCol w:w="2260"/>
        <w:gridCol w:w="2165"/>
      </w:tblGrid>
      <w:tr w:rsidR="00BD6713" w:rsidRPr="00BD6713" w14:paraId="36C88EE6" w14:textId="77777777" w:rsidTr="00BD6713">
        <w:tc>
          <w:tcPr>
            <w:tcW w:w="0" w:type="auto"/>
            <w:hideMark/>
          </w:tcPr>
          <w:p w14:paraId="4DDE774A" w14:textId="77777777" w:rsidR="00BD6713" w:rsidRPr="00BD6713" w:rsidRDefault="00BD6713" w:rsidP="00BD6713">
            <w:pPr>
              <w:rPr>
                <w:b/>
                <w:bCs/>
              </w:rPr>
            </w:pPr>
            <w:r w:rsidRPr="00BD6713">
              <w:rPr>
                <w:b/>
                <w:bCs/>
              </w:rPr>
              <w:t>Sector / Market</w:t>
            </w:r>
          </w:p>
        </w:tc>
        <w:tc>
          <w:tcPr>
            <w:tcW w:w="0" w:type="auto"/>
            <w:hideMark/>
          </w:tcPr>
          <w:p w14:paraId="6A93439F" w14:textId="77777777" w:rsidR="00BD6713" w:rsidRPr="00BD6713" w:rsidRDefault="00BD6713" w:rsidP="00BD6713">
            <w:pPr>
              <w:rPr>
                <w:b/>
                <w:bCs/>
              </w:rPr>
            </w:pPr>
            <w:r w:rsidRPr="00BD6713">
              <w:rPr>
                <w:b/>
                <w:bCs/>
              </w:rPr>
              <w:t>% of Consumers Willing to Pay More</w:t>
            </w:r>
          </w:p>
        </w:tc>
        <w:tc>
          <w:tcPr>
            <w:tcW w:w="0" w:type="auto"/>
            <w:hideMark/>
          </w:tcPr>
          <w:p w14:paraId="2E9620A0" w14:textId="77777777" w:rsidR="00BD6713" w:rsidRPr="00BD6713" w:rsidRDefault="00BD6713" w:rsidP="00BD6713">
            <w:pPr>
              <w:rPr>
                <w:b/>
                <w:bCs/>
              </w:rPr>
            </w:pPr>
            <w:r w:rsidRPr="00BD6713">
              <w:rPr>
                <w:b/>
                <w:bCs/>
              </w:rPr>
              <w:t>Average Premium (Markup) They’ll Pay</w:t>
            </w:r>
          </w:p>
        </w:tc>
        <w:tc>
          <w:tcPr>
            <w:tcW w:w="0" w:type="auto"/>
            <w:hideMark/>
          </w:tcPr>
          <w:p w14:paraId="506E6940" w14:textId="77777777" w:rsidR="00BD6713" w:rsidRPr="00BD6713" w:rsidRDefault="00BD6713" w:rsidP="00BD6713">
            <w:pPr>
              <w:rPr>
                <w:b/>
                <w:bCs/>
              </w:rPr>
            </w:pPr>
            <w:r w:rsidRPr="00BD6713">
              <w:rPr>
                <w:b/>
                <w:bCs/>
              </w:rPr>
              <w:t>Details / Source</w:t>
            </w:r>
          </w:p>
        </w:tc>
      </w:tr>
      <w:tr w:rsidR="00BD6713" w:rsidRPr="00BD6713" w14:paraId="1790B548" w14:textId="77777777" w:rsidTr="00BD6713">
        <w:tc>
          <w:tcPr>
            <w:tcW w:w="0" w:type="auto"/>
            <w:hideMark/>
          </w:tcPr>
          <w:p w14:paraId="471ECE71" w14:textId="77777777" w:rsidR="00BD6713" w:rsidRPr="00BD6713" w:rsidRDefault="00BD6713" w:rsidP="00BD6713">
            <w:r w:rsidRPr="00BD6713">
              <w:t>Global Consumers (PwC, 2024)</w:t>
            </w:r>
          </w:p>
        </w:tc>
        <w:tc>
          <w:tcPr>
            <w:tcW w:w="0" w:type="auto"/>
            <w:hideMark/>
          </w:tcPr>
          <w:p w14:paraId="03E2AA6F" w14:textId="77777777" w:rsidR="00BD6713" w:rsidRPr="00BD6713" w:rsidRDefault="00BD6713" w:rsidP="00BD6713">
            <w:r w:rsidRPr="00BD6713">
              <w:t>~50%</w:t>
            </w:r>
          </w:p>
        </w:tc>
        <w:tc>
          <w:tcPr>
            <w:tcW w:w="0" w:type="auto"/>
            <w:hideMark/>
          </w:tcPr>
          <w:p w14:paraId="29B10E96" w14:textId="77777777" w:rsidR="00BD6713" w:rsidRPr="00BD6713" w:rsidRDefault="00BD6713" w:rsidP="00BD6713">
            <w:r w:rsidRPr="00BD6713">
              <w:rPr>
                <w:b/>
                <w:bCs/>
              </w:rPr>
              <w:t>9.7%</w:t>
            </w:r>
          </w:p>
        </w:tc>
        <w:tc>
          <w:tcPr>
            <w:tcW w:w="0" w:type="auto"/>
            <w:hideMark/>
          </w:tcPr>
          <w:p w14:paraId="0889550E" w14:textId="77777777" w:rsidR="00BD6713" w:rsidRPr="00BD6713" w:rsidRDefault="00BD6713" w:rsidP="00BD6713">
            <w:r w:rsidRPr="00BD6713">
              <w:t>PwC survey across 25 countries</w:t>
            </w:r>
          </w:p>
        </w:tc>
      </w:tr>
      <w:tr w:rsidR="00BD6713" w:rsidRPr="00BD6713" w14:paraId="16C74ED5" w14:textId="77777777" w:rsidTr="00BD6713">
        <w:tc>
          <w:tcPr>
            <w:tcW w:w="0" w:type="auto"/>
            <w:hideMark/>
          </w:tcPr>
          <w:p w14:paraId="258751AA" w14:textId="77777777" w:rsidR="00BD6713" w:rsidRPr="00BD6713" w:rsidRDefault="00BD6713" w:rsidP="00BD6713">
            <w:r w:rsidRPr="00BD6713">
              <w:t>Developed Markets (Bain &amp; Co.)</w:t>
            </w:r>
          </w:p>
        </w:tc>
        <w:tc>
          <w:tcPr>
            <w:tcW w:w="0" w:type="auto"/>
            <w:hideMark/>
          </w:tcPr>
          <w:p w14:paraId="5354BDAC" w14:textId="77777777" w:rsidR="00BD6713" w:rsidRPr="00BD6713" w:rsidRDefault="00BD6713" w:rsidP="00BD6713">
            <w:r w:rsidRPr="00BD6713">
              <w:t>30–40%</w:t>
            </w:r>
          </w:p>
        </w:tc>
        <w:tc>
          <w:tcPr>
            <w:tcW w:w="0" w:type="auto"/>
            <w:hideMark/>
          </w:tcPr>
          <w:p w14:paraId="74FD644B" w14:textId="77777777" w:rsidR="00BD6713" w:rsidRPr="00BD6713" w:rsidRDefault="00BD6713" w:rsidP="00BD6713">
            <w:r w:rsidRPr="00BD6713">
              <w:rPr>
                <w:b/>
                <w:bCs/>
              </w:rPr>
              <w:t>8–10%</w:t>
            </w:r>
          </w:p>
        </w:tc>
        <w:tc>
          <w:tcPr>
            <w:tcW w:w="0" w:type="auto"/>
            <w:hideMark/>
          </w:tcPr>
          <w:p w14:paraId="37FD9845" w14:textId="77777777" w:rsidR="00BD6713" w:rsidRPr="00BD6713" w:rsidRDefault="00BD6713" w:rsidP="00BD6713">
            <w:r w:rsidRPr="00BD6713">
              <w:t>UK, Germany, France, Italy</w:t>
            </w:r>
          </w:p>
        </w:tc>
      </w:tr>
      <w:tr w:rsidR="00BD6713" w:rsidRPr="00BD6713" w14:paraId="1DF5EA3D" w14:textId="77777777" w:rsidTr="00BD6713">
        <w:tc>
          <w:tcPr>
            <w:tcW w:w="0" w:type="auto"/>
            <w:hideMark/>
          </w:tcPr>
          <w:p w14:paraId="77280AF5" w14:textId="77777777" w:rsidR="00BD6713" w:rsidRPr="00BD6713" w:rsidRDefault="00BD6713" w:rsidP="00BD6713">
            <w:r w:rsidRPr="00BD6713">
              <w:t>Global Average (Bain &amp; Co.)</w:t>
            </w:r>
          </w:p>
        </w:tc>
        <w:tc>
          <w:tcPr>
            <w:tcW w:w="0" w:type="auto"/>
            <w:hideMark/>
          </w:tcPr>
          <w:p w14:paraId="56394114" w14:textId="77777777" w:rsidR="00BD6713" w:rsidRPr="00BD6713" w:rsidRDefault="00BD6713" w:rsidP="00BD6713">
            <w:r w:rsidRPr="00BD6713">
              <w:t>40%</w:t>
            </w:r>
          </w:p>
        </w:tc>
        <w:tc>
          <w:tcPr>
            <w:tcW w:w="0" w:type="auto"/>
            <w:hideMark/>
          </w:tcPr>
          <w:p w14:paraId="6D8281A4" w14:textId="77777777" w:rsidR="00BD6713" w:rsidRPr="00BD6713" w:rsidRDefault="00BD6713" w:rsidP="00BD6713">
            <w:r w:rsidRPr="00BD6713">
              <w:rPr>
                <w:b/>
                <w:bCs/>
              </w:rPr>
              <w:t>12%</w:t>
            </w:r>
          </w:p>
        </w:tc>
        <w:tc>
          <w:tcPr>
            <w:tcW w:w="0" w:type="auto"/>
            <w:hideMark/>
          </w:tcPr>
          <w:p w14:paraId="42B46790" w14:textId="77777777" w:rsidR="00BD6713" w:rsidRPr="00BD6713" w:rsidRDefault="00BD6713" w:rsidP="00BD6713">
            <w:r w:rsidRPr="00BD6713">
              <w:t>Across 11,000 consumers worldwide</w:t>
            </w:r>
          </w:p>
        </w:tc>
      </w:tr>
      <w:tr w:rsidR="00BD6713" w:rsidRPr="00BD6713" w14:paraId="0E4AA2AC" w14:textId="77777777" w:rsidTr="00BD6713">
        <w:tc>
          <w:tcPr>
            <w:tcW w:w="0" w:type="auto"/>
            <w:hideMark/>
          </w:tcPr>
          <w:p w14:paraId="7E27E15A" w14:textId="77777777" w:rsidR="00BD6713" w:rsidRPr="00BD6713" w:rsidRDefault="00BD6713" w:rsidP="00BD6713">
            <w:r w:rsidRPr="00BD6713">
              <w:t>Emerging Markets (Bain &amp; Co.)</w:t>
            </w:r>
          </w:p>
        </w:tc>
        <w:tc>
          <w:tcPr>
            <w:tcW w:w="0" w:type="auto"/>
            <w:hideMark/>
          </w:tcPr>
          <w:p w14:paraId="5AFD2691" w14:textId="77777777" w:rsidR="00BD6713" w:rsidRPr="00BD6713" w:rsidRDefault="00BD6713" w:rsidP="00BD6713">
            <w:r w:rsidRPr="00BD6713">
              <w:t>50–60%</w:t>
            </w:r>
          </w:p>
        </w:tc>
        <w:tc>
          <w:tcPr>
            <w:tcW w:w="0" w:type="auto"/>
            <w:hideMark/>
          </w:tcPr>
          <w:p w14:paraId="3CBD5FAB" w14:textId="77777777" w:rsidR="00BD6713" w:rsidRPr="00BD6713" w:rsidRDefault="00BD6713" w:rsidP="00BD6713">
            <w:r w:rsidRPr="00BD6713">
              <w:rPr>
                <w:b/>
                <w:bCs/>
              </w:rPr>
              <w:t>15–20%</w:t>
            </w:r>
          </w:p>
        </w:tc>
        <w:tc>
          <w:tcPr>
            <w:tcW w:w="0" w:type="auto"/>
            <w:hideMark/>
          </w:tcPr>
          <w:p w14:paraId="480BF88A" w14:textId="77777777" w:rsidR="00BD6713" w:rsidRPr="00BD6713" w:rsidRDefault="00BD6713" w:rsidP="00BD6713">
            <w:r w:rsidRPr="00BD6713">
              <w:t>India, China, Brazil, Indonesia</w:t>
            </w:r>
          </w:p>
        </w:tc>
      </w:tr>
      <w:tr w:rsidR="00BD6713" w:rsidRPr="00BD6713" w14:paraId="088C5329" w14:textId="77777777" w:rsidTr="00BD6713">
        <w:tc>
          <w:tcPr>
            <w:tcW w:w="0" w:type="auto"/>
            <w:hideMark/>
          </w:tcPr>
          <w:p w14:paraId="604F6079" w14:textId="77777777" w:rsidR="00BD6713" w:rsidRPr="00BD6713" w:rsidRDefault="00BD6713" w:rsidP="00BD6713">
            <w:r w:rsidRPr="00BD6713">
              <w:t>Consumer Goods (Simon-Kucher, 2021)</w:t>
            </w:r>
          </w:p>
        </w:tc>
        <w:tc>
          <w:tcPr>
            <w:tcW w:w="0" w:type="auto"/>
            <w:hideMark/>
          </w:tcPr>
          <w:p w14:paraId="6034E071" w14:textId="77777777" w:rsidR="00BD6713" w:rsidRPr="00BD6713" w:rsidRDefault="00BD6713" w:rsidP="00BD6713">
            <w:r w:rsidRPr="00BD6713">
              <w:t>34%</w:t>
            </w:r>
          </w:p>
        </w:tc>
        <w:tc>
          <w:tcPr>
            <w:tcW w:w="0" w:type="auto"/>
            <w:hideMark/>
          </w:tcPr>
          <w:p w14:paraId="67932AC3" w14:textId="77777777" w:rsidR="00BD6713" w:rsidRPr="00BD6713" w:rsidRDefault="00BD6713" w:rsidP="00BD6713">
            <w:r w:rsidRPr="00BD6713">
              <w:rPr>
                <w:b/>
                <w:bCs/>
              </w:rPr>
              <w:t>22% (</w:t>
            </w:r>
            <w:proofErr w:type="spellStart"/>
            <w:r w:rsidRPr="00BD6713">
              <w:rPr>
                <w:b/>
                <w:bCs/>
              </w:rPr>
              <w:t>avg</w:t>
            </w:r>
            <w:proofErr w:type="spellEnd"/>
            <w:r w:rsidRPr="00BD6713">
              <w:rPr>
                <w:b/>
                <w:bCs/>
              </w:rPr>
              <w:t xml:space="preserve"> of those willing)</w:t>
            </w:r>
          </w:p>
        </w:tc>
        <w:tc>
          <w:tcPr>
            <w:tcW w:w="0" w:type="auto"/>
            <w:hideMark/>
          </w:tcPr>
          <w:p w14:paraId="13DC6145" w14:textId="77777777" w:rsidR="00BD6713" w:rsidRPr="00BD6713" w:rsidRDefault="00BD6713" w:rsidP="00BD6713">
            <w:r w:rsidRPr="00BD6713">
              <w:t>Global consumer survey</w:t>
            </w:r>
          </w:p>
        </w:tc>
      </w:tr>
      <w:tr w:rsidR="00BD6713" w:rsidRPr="00BD6713" w14:paraId="0D2BA710" w14:textId="77777777" w:rsidTr="00BD6713">
        <w:tc>
          <w:tcPr>
            <w:tcW w:w="0" w:type="auto"/>
            <w:hideMark/>
          </w:tcPr>
          <w:p w14:paraId="0A5EFD20" w14:textId="77777777" w:rsidR="00BD6713" w:rsidRPr="00BD6713" w:rsidRDefault="00BD6713" w:rsidP="00BD6713">
            <w:r w:rsidRPr="00BD6713">
              <w:t>Meta-analysis (Food Products)</w:t>
            </w:r>
          </w:p>
        </w:tc>
        <w:tc>
          <w:tcPr>
            <w:tcW w:w="0" w:type="auto"/>
            <w:hideMark/>
          </w:tcPr>
          <w:p w14:paraId="7921750F" w14:textId="77777777" w:rsidR="00BD6713" w:rsidRPr="00BD6713" w:rsidRDefault="00BD6713" w:rsidP="00BD6713">
            <w:r w:rsidRPr="00BD6713">
              <w:t>40–60%</w:t>
            </w:r>
          </w:p>
        </w:tc>
        <w:tc>
          <w:tcPr>
            <w:tcW w:w="0" w:type="auto"/>
            <w:hideMark/>
          </w:tcPr>
          <w:p w14:paraId="1394C8BF" w14:textId="77777777" w:rsidR="00BD6713" w:rsidRPr="00BD6713" w:rsidRDefault="00BD6713" w:rsidP="00BD6713">
            <w:r w:rsidRPr="00BD6713">
              <w:rPr>
                <w:b/>
                <w:bCs/>
              </w:rPr>
              <w:t>29.5%</w:t>
            </w:r>
          </w:p>
        </w:tc>
        <w:tc>
          <w:tcPr>
            <w:tcW w:w="0" w:type="auto"/>
            <w:hideMark/>
          </w:tcPr>
          <w:p w14:paraId="4DE60A72" w14:textId="77777777" w:rsidR="00BD6713" w:rsidRPr="00BD6713" w:rsidRDefault="00BD6713" w:rsidP="00BD6713">
            <w:r w:rsidRPr="00BD6713">
              <w:t>Review of 80 global studies</w:t>
            </w:r>
          </w:p>
        </w:tc>
      </w:tr>
      <w:tr w:rsidR="00BD6713" w:rsidRPr="00BD6713" w14:paraId="14C937F5" w14:textId="77777777" w:rsidTr="00BD6713">
        <w:tc>
          <w:tcPr>
            <w:tcW w:w="0" w:type="auto"/>
            <w:hideMark/>
          </w:tcPr>
          <w:p w14:paraId="5EB4B6A6" w14:textId="77777777" w:rsidR="00BD6713" w:rsidRPr="00BD6713" w:rsidRDefault="00BD6713" w:rsidP="00BD6713">
            <w:r w:rsidRPr="00BD6713">
              <w:t>Socially Responsible Products (Meta)</w:t>
            </w:r>
          </w:p>
        </w:tc>
        <w:tc>
          <w:tcPr>
            <w:tcW w:w="0" w:type="auto"/>
            <w:hideMark/>
          </w:tcPr>
          <w:p w14:paraId="55CFF417" w14:textId="77777777" w:rsidR="00BD6713" w:rsidRPr="00BD6713" w:rsidRDefault="00BD6713" w:rsidP="00BD6713">
            <w:r w:rsidRPr="00BD6713">
              <w:t>30–50%</w:t>
            </w:r>
          </w:p>
        </w:tc>
        <w:tc>
          <w:tcPr>
            <w:tcW w:w="0" w:type="auto"/>
            <w:hideMark/>
          </w:tcPr>
          <w:p w14:paraId="25D404E0" w14:textId="77777777" w:rsidR="00BD6713" w:rsidRPr="00BD6713" w:rsidRDefault="00BD6713" w:rsidP="00BD6713">
            <w:r w:rsidRPr="00BD6713">
              <w:rPr>
                <w:b/>
                <w:bCs/>
              </w:rPr>
              <w:t>17.3%</w:t>
            </w:r>
          </w:p>
        </w:tc>
        <w:tc>
          <w:tcPr>
            <w:tcW w:w="0" w:type="auto"/>
            <w:hideMark/>
          </w:tcPr>
          <w:p w14:paraId="51CBDC24" w14:textId="77777777" w:rsidR="00BD6713" w:rsidRPr="00BD6713" w:rsidRDefault="00BD6713" w:rsidP="00BD6713">
            <w:r w:rsidRPr="00BD6713">
              <w:t>Durable &amp; non-durable goods</w:t>
            </w:r>
          </w:p>
        </w:tc>
      </w:tr>
      <w:tr w:rsidR="00BD6713" w:rsidRPr="00BD6713" w14:paraId="6358BE48" w14:textId="77777777" w:rsidTr="00BD6713">
        <w:tc>
          <w:tcPr>
            <w:tcW w:w="0" w:type="auto"/>
            <w:hideMark/>
          </w:tcPr>
          <w:p w14:paraId="0674748B" w14:textId="77777777" w:rsidR="00BD6713" w:rsidRPr="00BD6713" w:rsidRDefault="00BD6713" w:rsidP="00BD6713">
            <w:r w:rsidRPr="00BD6713">
              <w:t>Mobile Phones (Nordic vs Germany)</w:t>
            </w:r>
          </w:p>
        </w:tc>
        <w:tc>
          <w:tcPr>
            <w:tcW w:w="0" w:type="auto"/>
            <w:hideMark/>
          </w:tcPr>
          <w:p w14:paraId="3CA7B75D" w14:textId="77777777" w:rsidR="00BD6713" w:rsidRPr="00BD6713" w:rsidRDefault="00BD6713" w:rsidP="00BD6713">
            <w:r w:rsidRPr="00BD6713">
              <w:t>~30%</w:t>
            </w:r>
          </w:p>
        </w:tc>
        <w:tc>
          <w:tcPr>
            <w:tcW w:w="0" w:type="auto"/>
            <w:hideMark/>
          </w:tcPr>
          <w:p w14:paraId="09322D7A" w14:textId="77777777" w:rsidR="00BD6713" w:rsidRPr="00BD6713" w:rsidRDefault="00BD6713" w:rsidP="00BD6713">
            <w:r w:rsidRPr="00BD6713">
              <w:rPr>
                <w:b/>
                <w:bCs/>
              </w:rPr>
              <w:t>18% (Nordics), 12% (Germany)</w:t>
            </w:r>
          </w:p>
        </w:tc>
        <w:tc>
          <w:tcPr>
            <w:tcW w:w="0" w:type="auto"/>
            <w:hideMark/>
          </w:tcPr>
          <w:p w14:paraId="650747C2" w14:textId="77777777" w:rsidR="00BD6713" w:rsidRPr="00BD6713" w:rsidRDefault="00BD6713" w:rsidP="00BD6713">
            <w:r w:rsidRPr="00BD6713">
              <w:t>Eco-</w:t>
            </w:r>
            <w:proofErr w:type="spellStart"/>
            <w:r w:rsidRPr="00BD6713">
              <w:t>labeled</w:t>
            </w:r>
            <w:proofErr w:type="spellEnd"/>
            <w:r w:rsidRPr="00BD6713">
              <w:t xml:space="preserve"> phones</w:t>
            </w:r>
          </w:p>
        </w:tc>
      </w:tr>
      <w:tr w:rsidR="00BD6713" w:rsidRPr="00BD6713" w14:paraId="7451754A" w14:textId="77777777" w:rsidTr="00BD6713">
        <w:tc>
          <w:tcPr>
            <w:tcW w:w="0" w:type="auto"/>
            <w:hideMark/>
          </w:tcPr>
          <w:p w14:paraId="5E88C412" w14:textId="77777777" w:rsidR="00BD6713" w:rsidRPr="00BD6713" w:rsidRDefault="00BD6713" w:rsidP="00BD6713">
            <w:r w:rsidRPr="00BD6713">
              <w:t>Apparel (Luxury Fashion, UK)</w:t>
            </w:r>
          </w:p>
        </w:tc>
        <w:tc>
          <w:tcPr>
            <w:tcW w:w="0" w:type="auto"/>
            <w:hideMark/>
          </w:tcPr>
          <w:p w14:paraId="3FD6C04E" w14:textId="77777777" w:rsidR="00BD6713" w:rsidRPr="00BD6713" w:rsidRDefault="00BD6713" w:rsidP="00BD6713">
            <w:r w:rsidRPr="00BD6713">
              <w:t>~40%</w:t>
            </w:r>
          </w:p>
        </w:tc>
        <w:tc>
          <w:tcPr>
            <w:tcW w:w="0" w:type="auto"/>
            <w:hideMark/>
          </w:tcPr>
          <w:p w14:paraId="2C9C3B0A" w14:textId="77777777" w:rsidR="00BD6713" w:rsidRPr="00BD6713" w:rsidRDefault="00BD6713" w:rsidP="00BD6713">
            <w:r w:rsidRPr="00BD6713">
              <w:rPr>
                <w:b/>
                <w:bCs/>
              </w:rPr>
              <w:t>~20%</w:t>
            </w:r>
          </w:p>
        </w:tc>
        <w:tc>
          <w:tcPr>
            <w:tcW w:w="0" w:type="auto"/>
            <w:hideMark/>
          </w:tcPr>
          <w:p w14:paraId="0091CC26" w14:textId="77777777" w:rsidR="00BD6713" w:rsidRPr="00BD6713" w:rsidRDefault="00BD6713" w:rsidP="00BD6713">
            <w:r w:rsidRPr="00BD6713">
              <w:t xml:space="preserve">Fashion </w:t>
            </w:r>
            <w:proofErr w:type="gramStart"/>
            <w:r w:rsidRPr="00BD6713">
              <w:t>buyers</w:t>
            </w:r>
            <w:proofErr w:type="gramEnd"/>
            <w:r w:rsidRPr="00BD6713">
              <w:t xml:space="preserve"> study</w:t>
            </w:r>
          </w:p>
        </w:tc>
      </w:tr>
      <w:tr w:rsidR="00BD6713" w:rsidRPr="00BD6713" w14:paraId="38F65CBF" w14:textId="77777777" w:rsidTr="00BD6713">
        <w:tc>
          <w:tcPr>
            <w:tcW w:w="0" w:type="auto"/>
            <w:hideMark/>
          </w:tcPr>
          <w:p w14:paraId="740D8D85" w14:textId="77777777" w:rsidR="00BD6713" w:rsidRPr="00BD6713" w:rsidRDefault="00BD6713" w:rsidP="00BD6713">
            <w:r w:rsidRPr="00BD6713">
              <w:t>Zero-Carbon Shipping (BCG)</w:t>
            </w:r>
          </w:p>
        </w:tc>
        <w:tc>
          <w:tcPr>
            <w:tcW w:w="0" w:type="auto"/>
            <w:hideMark/>
          </w:tcPr>
          <w:p w14:paraId="46FB1370" w14:textId="77777777" w:rsidR="00BD6713" w:rsidRPr="00BD6713" w:rsidRDefault="00BD6713" w:rsidP="00BD6713">
            <w:r w:rsidRPr="00BD6713">
              <w:t>&lt;20% today</w:t>
            </w:r>
          </w:p>
        </w:tc>
        <w:tc>
          <w:tcPr>
            <w:tcW w:w="0" w:type="auto"/>
            <w:hideMark/>
          </w:tcPr>
          <w:p w14:paraId="29258DB9" w14:textId="77777777" w:rsidR="00BD6713" w:rsidRPr="00BD6713" w:rsidRDefault="00BD6713" w:rsidP="00BD6713">
            <w:r w:rsidRPr="00BD6713">
              <w:rPr>
                <w:b/>
                <w:bCs/>
              </w:rPr>
              <w:t>~3%</w:t>
            </w:r>
          </w:p>
        </w:tc>
        <w:tc>
          <w:tcPr>
            <w:tcW w:w="0" w:type="auto"/>
            <w:hideMark/>
          </w:tcPr>
          <w:p w14:paraId="20BACA7A" w14:textId="77777777" w:rsidR="00BD6713" w:rsidRPr="00BD6713" w:rsidRDefault="00BD6713" w:rsidP="00BD6713">
            <w:r w:rsidRPr="00BD6713">
              <w:t>Expected to grow</w:t>
            </w:r>
          </w:p>
        </w:tc>
      </w:tr>
      <w:tr w:rsidR="00BD6713" w:rsidRPr="00BD6713" w14:paraId="1D62F22D" w14:textId="77777777" w:rsidTr="00BD6713">
        <w:tc>
          <w:tcPr>
            <w:tcW w:w="0" w:type="auto"/>
            <w:hideMark/>
          </w:tcPr>
          <w:p w14:paraId="5E50EE97" w14:textId="77777777" w:rsidR="00BD6713" w:rsidRPr="00BD6713" w:rsidRDefault="00BD6713" w:rsidP="00BD6713">
            <w:r w:rsidRPr="00BD6713">
              <w:t>European Consumers (BCG)</w:t>
            </w:r>
          </w:p>
        </w:tc>
        <w:tc>
          <w:tcPr>
            <w:tcW w:w="0" w:type="auto"/>
            <w:hideMark/>
          </w:tcPr>
          <w:p w14:paraId="61DE0393" w14:textId="77777777" w:rsidR="00BD6713" w:rsidRPr="00BD6713" w:rsidRDefault="00BD6713" w:rsidP="00BD6713">
            <w:r w:rsidRPr="00BD6713">
              <w:t>17%</w:t>
            </w:r>
          </w:p>
        </w:tc>
        <w:tc>
          <w:tcPr>
            <w:tcW w:w="0" w:type="auto"/>
            <w:hideMark/>
          </w:tcPr>
          <w:p w14:paraId="1D3C0DC0" w14:textId="77777777" w:rsidR="00BD6713" w:rsidRPr="00BD6713" w:rsidRDefault="00BD6713" w:rsidP="00BD6713">
            <w:r w:rsidRPr="00BD6713">
              <w:t>Varies (low, &lt;10%)</w:t>
            </w:r>
          </w:p>
        </w:tc>
        <w:tc>
          <w:tcPr>
            <w:tcW w:w="0" w:type="auto"/>
            <w:hideMark/>
          </w:tcPr>
          <w:p w14:paraId="23E82F15" w14:textId="77777777" w:rsidR="00BD6713" w:rsidRPr="00BD6713" w:rsidRDefault="00BD6713" w:rsidP="00BD6713">
            <w:r w:rsidRPr="00BD6713">
              <w:t>Pan-European survey</w:t>
            </w:r>
          </w:p>
        </w:tc>
      </w:tr>
    </w:tbl>
    <w:p w14:paraId="09526E31" w14:textId="77777777" w:rsidR="00BD6713" w:rsidRDefault="00BD6713" w:rsidP="008B5F7D"/>
    <w:p w14:paraId="71533551" w14:textId="77777777" w:rsidR="00BD6713" w:rsidRDefault="00BD6713">
      <w:r>
        <w:br w:type="page"/>
      </w:r>
    </w:p>
    <w:p w14:paraId="0F8F4660" w14:textId="3B34BD69" w:rsidR="00BD6713" w:rsidRDefault="00BD6713" w:rsidP="008B5F7D">
      <w:r>
        <w:lastRenderedPageBreak/>
        <w:t>I had a thought if recycled plastics lower costs it may be a better approach to take the cheaper pricing route to undercut competitors so here are some positives and drawbacks of both to help you consider both.</w:t>
      </w:r>
    </w:p>
    <w:p w14:paraId="632CBF7B" w14:textId="77777777" w:rsidR="00BD6713" w:rsidRDefault="00BD6713" w:rsidP="008B5F7D"/>
    <w:p w14:paraId="6B765356" w14:textId="77777777" w:rsidR="00BD6713" w:rsidRPr="00BD6713" w:rsidRDefault="00BD6713" w:rsidP="00BD6713">
      <w:pPr>
        <w:spacing w:before="100" w:beforeAutospacing="1" w:after="100" w:afterAutospacing="1"/>
        <w:jc w:val="left"/>
        <w:outlineLvl w:val="1"/>
        <w:rPr>
          <w:rFonts w:eastAsia="Times New Roman" w:cs="Times New Roman"/>
          <w:b/>
          <w:bCs/>
          <w:kern w:val="0"/>
          <w:sz w:val="36"/>
          <w:szCs w:val="36"/>
          <w:lang w:eastAsia="en-GB"/>
          <w14:ligatures w14:val="none"/>
        </w:rPr>
      </w:pPr>
      <w:r w:rsidRPr="00BD6713">
        <w:rPr>
          <w:rFonts w:eastAsia="Times New Roman" w:cs="Times New Roman"/>
          <w:b/>
          <w:bCs/>
          <w:kern w:val="0"/>
          <w:sz w:val="36"/>
          <w:szCs w:val="36"/>
          <w:lang w:eastAsia="en-GB"/>
          <w14:ligatures w14:val="none"/>
        </w:rPr>
        <w:t>1. Low Price Route (if recycled plastics reduce costs)</w:t>
      </w:r>
    </w:p>
    <w:p w14:paraId="3567F7CA" w14:textId="77777777" w:rsidR="00BD6713" w:rsidRPr="00BD6713" w:rsidRDefault="00BD6713" w:rsidP="00BD6713">
      <w:pPr>
        <w:spacing w:before="100" w:beforeAutospacing="1" w:after="100" w:afterAutospacing="1"/>
        <w:jc w:val="left"/>
        <w:rPr>
          <w:rFonts w:eastAsia="Times New Roman" w:cs="Times New Roman"/>
          <w:color w:val="196B24" w:themeColor="accent3"/>
          <w:kern w:val="0"/>
          <w:sz w:val="24"/>
          <w:szCs w:val="24"/>
          <w:lang w:eastAsia="en-GB"/>
          <w14:ligatures w14:val="none"/>
        </w:rPr>
      </w:pPr>
      <w:r w:rsidRPr="00BD6713">
        <w:rPr>
          <w:rFonts w:ascii="Segoe UI Emoji" w:eastAsia="Times New Roman" w:hAnsi="Segoe UI Emoji" w:cs="Segoe UI Emoji"/>
          <w:color w:val="196B24" w:themeColor="accent3"/>
          <w:kern w:val="0"/>
          <w:sz w:val="24"/>
          <w:szCs w:val="24"/>
          <w:lang w:eastAsia="en-GB"/>
          <w14:ligatures w14:val="none"/>
        </w:rPr>
        <w:t>✅</w:t>
      </w:r>
      <w:r w:rsidRPr="00BD6713">
        <w:rPr>
          <w:rFonts w:eastAsia="Times New Roman" w:cs="Times New Roman"/>
          <w:color w:val="196B24" w:themeColor="accent3"/>
          <w:kern w:val="0"/>
          <w:sz w:val="24"/>
          <w:szCs w:val="24"/>
          <w:lang w:eastAsia="en-GB"/>
          <w14:ligatures w14:val="none"/>
        </w:rPr>
        <w:t xml:space="preserve"> </w:t>
      </w:r>
      <w:r w:rsidRPr="00BD6713">
        <w:rPr>
          <w:rFonts w:eastAsia="Times New Roman" w:cs="Times New Roman"/>
          <w:b/>
          <w:bCs/>
          <w:color w:val="196B24" w:themeColor="accent3"/>
          <w:kern w:val="0"/>
          <w:sz w:val="24"/>
          <w:szCs w:val="24"/>
          <w:lang w:eastAsia="en-GB"/>
          <w14:ligatures w14:val="none"/>
        </w:rPr>
        <w:t>Pros:</w:t>
      </w:r>
    </w:p>
    <w:p w14:paraId="7099C96F" w14:textId="77777777" w:rsidR="00BD6713" w:rsidRPr="00BD6713" w:rsidRDefault="00BD6713" w:rsidP="00BD6713">
      <w:pPr>
        <w:numPr>
          <w:ilvl w:val="0"/>
          <w:numId w:val="1"/>
        </w:numPr>
        <w:spacing w:before="100" w:beforeAutospacing="1" w:after="100" w:afterAutospacing="1"/>
        <w:jc w:val="left"/>
        <w:rPr>
          <w:rFonts w:eastAsia="Times New Roman" w:cs="Times New Roman"/>
          <w:color w:val="196B24" w:themeColor="accent3"/>
          <w:kern w:val="0"/>
          <w:sz w:val="24"/>
          <w:szCs w:val="24"/>
          <w:lang w:eastAsia="en-GB"/>
          <w14:ligatures w14:val="none"/>
        </w:rPr>
      </w:pPr>
      <w:r w:rsidRPr="00BD6713">
        <w:rPr>
          <w:rFonts w:eastAsia="Times New Roman" w:cs="Times New Roman"/>
          <w:color w:val="196B24" w:themeColor="accent3"/>
          <w:kern w:val="0"/>
          <w:sz w:val="24"/>
          <w:szCs w:val="24"/>
          <w:lang w:eastAsia="en-GB"/>
          <w14:ligatures w14:val="none"/>
        </w:rPr>
        <w:t>Makes you highly competitive against Lime, Beryl, Santander.</w:t>
      </w:r>
    </w:p>
    <w:p w14:paraId="56D1AB59" w14:textId="77777777" w:rsidR="00BD6713" w:rsidRPr="00BD6713" w:rsidRDefault="00BD6713" w:rsidP="00BD6713">
      <w:pPr>
        <w:numPr>
          <w:ilvl w:val="0"/>
          <w:numId w:val="1"/>
        </w:numPr>
        <w:spacing w:before="100" w:beforeAutospacing="1" w:after="100" w:afterAutospacing="1"/>
        <w:jc w:val="left"/>
        <w:rPr>
          <w:rFonts w:eastAsia="Times New Roman" w:cs="Times New Roman"/>
          <w:color w:val="196B24" w:themeColor="accent3"/>
          <w:kern w:val="0"/>
          <w:sz w:val="24"/>
          <w:szCs w:val="24"/>
          <w:lang w:eastAsia="en-GB"/>
          <w14:ligatures w14:val="none"/>
        </w:rPr>
      </w:pPr>
      <w:r w:rsidRPr="00BD6713">
        <w:rPr>
          <w:rFonts w:eastAsia="Times New Roman" w:cs="Times New Roman"/>
          <w:color w:val="196B24" w:themeColor="accent3"/>
          <w:kern w:val="0"/>
          <w:sz w:val="24"/>
          <w:szCs w:val="24"/>
          <w:lang w:eastAsia="en-GB"/>
          <w14:ligatures w14:val="none"/>
        </w:rPr>
        <w:t xml:space="preserve">Attracts </w:t>
      </w:r>
      <w:r w:rsidRPr="00BD6713">
        <w:rPr>
          <w:rFonts w:eastAsia="Times New Roman" w:cs="Times New Roman"/>
          <w:i/>
          <w:iCs/>
          <w:color w:val="196B24" w:themeColor="accent3"/>
          <w:kern w:val="0"/>
          <w:sz w:val="24"/>
          <w:szCs w:val="24"/>
          <w:lang w:eastAsia="en-GB"/>
          <w14:ligatures w14:val="none"/>
        </w:rPr>
        <w:t>price-sensitive locals</w:t>
      </w:r>
      <w:r w:rsidRPr="00BD6713">
        <w:rPr>
          <w:rFonts w:eastAsia="Times New Roman" w:cs="Times New Roman"/>
          <w:color w:val="196B24" w:themeColor="accent3"/>
          <w:kern w:val="0"/>
          <w:sz w:val="24"/>
          <w:szCs w:val="24"/>
          <w:lang w:eastAsia="en-GB"/>
          <w14:ligatures w14:val="none"/>
        </w:rPr>
        <w:t xml:space="preserve"> (e.g. students, commuters).</w:t>
      </w:r>
    </w:p>
    <w:p w14:paraId="44A75145" w14:textId="77777777" w:rsidR="00BD6713" w:rsidRPr="00BD6713" w:rsidRDefault="00BD6713" w:rsidP="00BD6713">
      <w:pPr>
        <w:numPr>
          <w:ilvl w:val="0"/>
          <w:numId w:val="1"/>
        </w:numPr>
        <w:spacing w:before="100" w:beforeAutospacing="1" w:after="100" w:afterAutospacing="1"/>
        <w:jc w:val="left"/>
        <w:rPr>
          <w:rFonts w:eastAsia="Times New Roman" w:cs="Times New Roman"/>
          <w:color w:val="196B24" w:themeColor="accent3"/>
          <w:kern w:val="0"/>
          <w:sz w:val="24"/>
          <w:szCs w:val="24"/>
          <w:lang w:eastAsia="en-GB"/>
          <w14:ligatures w14:val="none"/>
        </w:rPr>
      </w:pPr>
      <w:r w:rsidRPr="00BD6713">
        <w:rPr>
          <w:rFonts w:eastAsia="Times New Roman" w:cs="Times New Roman"/>
          <w:color w:val="196B24" w:themeColor="accent3"/>
          <w:kern w:val="0"/>
          <w:sz w:val="24"/>
          <w:szCs w:val="24"/>
          <w:lang w:eastAsia="en-GB"/>
          <w14:ligatures w14:val="none"/>
        </w:rPr>
        <w:t>Encourages trial → faster adoption.</w:t>
      </w:r>
    </w:p>
    <w:p w14:paraId="61E59909" w14:textId="77777777" w:rsidR="00BD6713" w:rsidRPr="00BD6713" w:rsidRDefault="00BD6713" w:rsidP="00BD6713">
      <w:pPr>
        <w:numPr>
          <w:ilvl w:val="0"/>
          <w:numId w:val="1"/>
        </w:numPr>
        <w:spacing w:before="100" w:beforeAutospacing="1" w:after="100" w:afterAutospacing="1"/>
        <w:jc w:val="left"/>
        <w:rPr>
          <w:rFonts w:eastAsia="Times New Roman" w:cs="Times New Roman"/>
          <w:color w:val="196B24" w:themeColor="accent3"/>
          <w:kern w:val="0"/>
          <w:sz w:val="24"/>
          <w:szCs w:val="24"/>
          <w:lang w:eastAsia="en-GB"/>
          <w14:ligatures w14:val="none"/>
        </w:rPr>
      </w:pPr>
      <w:r w:rsidRPr="00BD6713">
        <w:rPr>
          <w:rFonts w:eastAsia="Times New Roman" w:cs="Times New Roman"/>
          <w:color w:val="196B24" w:themeColor="accent3"/>
          <w:kern w:val="0"/>
          <w:sz w:val="24"/>
          <w:szCs w:val="24"/>
          <w:lang w:eastAsia="en-GB"/>
          <w14:ligatures w14:val="none"/>
        </w:rPr>
        <w:t>You can still market sustainability as a “bonus” without needing people to pay extra for it.</w:t>
      </w:r>
    </w:p>
    <w:p w14:paraId="402CC75C" w14:textId="77777777" w:rsidR="00BD6713" w:rsidRPr="00BD6713" w:rsidRDefault="00BD6713" w:rsidP="00BD6713">
      <w:pPr>
        <w:spacing w:before="100" w:beforeAutospacing="1" w:after="100" w:afterAutospacing="1"/>
        <w:jc w:val="left"/>
        <w:rPr>
          <w:rFonts w:eastAsia="Times New Roman" w:cs="Times New Roman"/>
          <w:color w:val="C00000"/>
          <w:kern w:val="0"/>
          <w:sz w:val="24"/>
          <w:szCs w:val="24"/>
          <w:lang w:eastAsia="en-GB"/>
          <w14:ligatures w14:val="none"/>
        </w:rPr>
      </w:pPr>
      <w:r w:rsidRPr="00BD6713">
        <w:rPr>
          <w:rFonts w:ascii="Segoe UI Emoji" w:eastAsia="Times New Roman" w:hAnsi="Segoe UI Emoji" w:cs="Segoe UI Emoji"/>
          <w:color w:val="C00000"/>
          <w:kern w:val="0"/>
          <w:sz w:val="24"/>
          <w:szCs w:val="24"/>
          <w:lang w:eastAsia="en-GB"/>
          <w14:ligatures w14:val="none"/>
        </w:rPr>
        <w:t>❌</w:t>
      </w:r>
      <w:r w:rsidRPr="00BD6713">
        <w:rPr>
          <w:rFonts w:eastAsia="Times New Roman" w:cs="Times New Roman"/>
          <w:color w:val="C00000"/>
          <w:kern w:val="0"/>
          <w:sz w:val="24"/>
          <w:szCs w:val="24"/>
          <w:lang w:eastAsia="en-GB"/>
          <w14:ligatures w14:val="none"/>
        </w:rPr>
        <w:t xml:space="preserve"> </w:t>
      </w:r>
      <w:r w:rsidRPr="00BD6713">
        <w:rPr>
          <w:rFonts w:eastAsia="Times New Roman" w:cs="Times New Roman"/>
          <w:b/>
          <w:bCs/>
          <w:color w:val="C00000"/>
          <w:kern w:val="0"/>
          <w:sz w:val="24"/>
          <w:szCs w:val="24"/>
          <w:lang w:eastAsia="en-GB"/>
          <w14:ligatures w14:val="none"/>
        </w:rPr>
        <w:t>Risks:</w:t>
      </w:r>
    </w:p>
    <w:p w14:paraId="10E8ED24" w14:textId="77777777" w:rsidR="00BD6713" w:rsidRPr="00BD6713" w:rsidRDefault="00BD6713" w:rsidP="00BD6713">
      <w:pPr>
        <w:numPr>
          <w:ilvl w:val="0"/>
          <w:numId w:val="2"/>
        </w:numPr>
        <w:spacing w:before="100" w:beforeAutospacing="1" w:after="100" w:afterAutospacing="1"/>
        <w:jc w:val="left"/>
        <w:rPr>
          <w:rFonts w:eastAsia="Times New Roman" w:cs="Times New Roman"/>
          <w:color w:val="C00000"/>
          <w:kern w:val="0"/>
          <w:sz w:val="24"/>
          <w:szCs w:val="24"/>
          <w:lang w:eastAsia="en-GB"/>
          <w14:ligatures w14:val="none"/>
        </w:rPr>
      </w:pPr>
      <w:r w:rsidRPr="00BD6713">
        <w:rPr>
          <w:rFonts w:eastAsia="Times New Roman" w:cs="Times New Roman"/>
          <w:color w:val="C00000"/>
          <w:kern w:val="0"/>
          <w:sz w:val="24"/>
          <w:szCs w:val="24"/>
          <w:lang w:eastAsia="en-GB"/>
          <w14:ligatures w14:val="none"/>
        </w:rPr>
        <w:t>Harder to raise prices later (price wars are common in rentals).</w:t>
      </w:r>
    </w:p>
    <w:p w14:paraId="52DE33F3" w14:textId="77777777" w:rsidR="00BD6713" w:rsidRPr="00BD6713" w:rsidRDefault="00BD6713" w:rsidP="00BD6713">
      <w:pPr>
        <w:numPr>
          <w:ilvl w:val="0"/>
          <w:numId w:val="2"/>
        </w:numPr>
        <w:spacing w:before="100" w:beforeAutospacing="1" w:after="100" w:afterAutospacing="1"/>
        <w:jc w:val="left"/>
        <w:rPr>
          <w:rFonts w:eastAsia="Times New Roman" w:cs="Times New Roman"/>
          <w:color w:val="C00000"/>
          <w:kern w:val="0"/>
          <w:sz w:val="24"/>
          <w:szCs w:val="24"/>
          <w:lang w:eastAsia="en-GB"/>
          <w14:ligatures w14:val="none"/>
        </w:rPr>
      </w:pPr>
      <w:r w:rsidRPr="00BD6713">
        <w:rPr>
          <w:rFonts w:eastAsia="Times New Roman" w:cs="Times New Roman"/>
          <w:color w:val="C00000"/>
          <w:kern w:val="0"/>
          <w:sz w:val="24"/>
          <w:szCs w:val="24"/>
          <w:lang w:eastAsia="en-GB"/>
          <w14:ligatures w14:val="none"/>
        </w:rPr>
        <w:t>Could be seen as “cheap” rather than “eco-innovative” if not framed carefully.</w:t>
      </w:r>
    </w:p>
    <w:p w14:paraId="317BE21F" w14:textId="77777777" w:rsidR="00BD6713" w:rsidRPr="00BD6713" w:rsidRDefault="00BD6713" w:rsidP="00BD6713">
      <w:pPr>
        <w:numPr>
          <w:ilvl w:val="0"/>
          <w:numId w:val="2"/>
        </w:numPr>
        <w:spacing w:before="100" w:beforeAutospacing="1" w:after="100" w:afterAutospacing="1"/>
        <w:jc w:val="left"/>
        <w:rPr>
          <w:rFonts w:eastAsia="Times New Roman" w:cs="Times New Roman"/>
          <w:color w:val="C00000"/>
          <w:kern w:val="0"/>
          <w:sz w:val="24"/>
          <w:szCs w:val="24"/>
          <w:lang w:eastAsia="en-GB"/>
          <w14:ligatures w14:val="none"/>
        </w:rPr>
      </w:pPr>
      <w:r w:rsidRPr="00BD6713">
        <w:rPr>
          <w:rFonts w:eastAsia="Times New Roman" w:cs="Times New Roman"/>
          <w:color w:val="C00000"/>
          <w:kern w:val="0"/>
          <w:sz w:val="24"/>
          <w:szCs w:val="24"/>
          <w:lang w:eastAsia="en-GB"/>
          <w14:ligatures w14:val="none"/>
        </w:rPr>
        <w:t>You’d rely more on volume to cover redistribution &amp; maintenance costs.</w:t>
      </w:r>
    </w:p>
    <w:p w14:paraId="74CF29DC" w14:textId="77777777" w:rsidR="00BD6713" w:rsidRPr="00BD6713" w:rsidRDefault="00BD6713" w:rsidP="00BD6713">
      <w:pPr>
        <w:spacing w:before="100" w:beforeAutospacing="1" w:after="100" w:afterAutospacing="1"/>
        <w:jc w:val="left"/>
        <w:outlineLvl w:val="1"/>
        <w:rPr>
          <w:rFonts w:eastAsia="Times New Roman" w:cs="Times New Roman"/>
          <w:b/>
          <w:bCs/>
          <w:kern w:val="0"/>
          <w:sz w:val="36"/>
          <w:szCs w:val="36"/>
          <w:lang w:eastAsia="en-GB"/>
          <w14:ligatures w14:val="none"/>
        </w:rPr>
      </w:pPr>
      <w:r w:rsidRPr="00BD6713">
        <w:rPr>
          <w:rFonts w:eastAsia="Times New Roman" w:cs="Times New Roman"/>
          <w:b/>
          <w:bCs/>
          <w:kern w:val="0"/>
          <w:sz w:val="36"/>
          <w:szCs w:val="36"/>
          <w:lang w:eastAsia="en-GB"/>
          <w14:ligatures w14:val="none"/>
        </w:rPr>
        <w:t>2. Sustainability Premium Route</w:t>
      </w:r>
    </w:p>
    <w:p w14:paraId="4A85D16F" w14:textId="77777777" w:rsidR="00BD6713" w:rsidRPr="00BD6713" w:rsidRDefault="00BD6713" w:rsidP="00BD6713">
      <w:pPr>
        <w:spacing w:before="100" w:beforeAutospacing="1" w:after="100" w:afterAutospacing="1"/>
        <w:jc w:val="left"/>
        <w:rPr>
          <w:rFonts w:eastAsia="Times New Roman" w:cs="Times New Roman"/>
          <w:color w:val="196B24" w:themeColor="accent3"/>
          <w:kern w:val="0"/>
          <w:sz w:val="24"/>
          <w:szCs w:val="24"/>
          <w:lang w:eastAsia="en-GB"/>
          <w14:ligatures w14:val="none"/>
        </w:rPr>
      </w:pPr>
      <w:r w:rsidRPr="00BD6713">
        <w:rPr>
          <w:rFonts w:ascii="Segoe UI Emoji" w:eastAsia="Times New Roman" w:hAnsi="Segoe UI Emoji" w:cs="Segoe UI Emoji"/>
          <w:color w:val="196B24" w:themeColor="accent3"/>
          <w:kern w:val="0"/>
          <w:sz w:val="24"/>
          <w:szCs w:val="24"/>
          <w:lang w:eastAsia="en-GB"/>
          <w14:ligatures w14:val="none"/>
        </w:rPr>
        <w:t>✅</w:t>
      </w:r>
      <w:r w:rsidRPr="00BD6713">
        <w:rPr>
          <w:rFonts w:eastAsia="Times New Roman" w:cs="Times New Roman"/>
          <w:color w:val="196B24" w:themeColor="accent3"/>
          <w:kern w:val="0"/>
          <w:sz w:val="24"/>
          <w:szCs w:val="24"/>
          <w:lang w:eastAsia="en-GB"/>
          <w14:ligatures w14:val="none"/>
        </w:rPr>
        <w:t xml:space="preserve"> </w:t>
      </w:r>
      <w:r w:rsidRPr="00BD6713">
        <w:rPr>
          <w:rFonts w:eastAsia="Times New Roman" w:cs="Times New Roman"/>
          <w:b/>
          <w:bCs/>
          <w:color w:val="196B24" w:themeColor="accent3"/>
          <w:kern w:val="0"/>
          <w:sz w:val="24"/>
          <w:szCs w:val="24"/>
          <w:lang w:eastAsia="en-GB"/>
          <w14:ligatures w14:val="none"/>
        </w:rPr>
        <w:t>Pros:</w:t>
      </w:r>
    </w:p>
    <w:p w14:paraId="0AC07A8D" w14:textId="77777777" w:rsidR="00BD6713" w:rsidRPr="00BD6713" w:rsidRDefault="00BD6713" w:rsidP="00BD6713">
      <w:pPr>
        <w:numPr>
          <w:ilvl w:val="0"/>
          <w:numId w:val="3"/>
        </w:numPr>
        <w:spacing w:before="100" w:beforeAutospacing="1" w:after="100" w:afterAutospacing="1"/>
        <w:jc w:val="left"/>
        <w:rPr>
          <w:rFonts w:eastAsia="Times New Roman" w:cs="Times New Roman"/>
          <w:color w:val="196B24" w:themeColor="accent3"/>
          <w:kern w:val="0"/>
          <w:sz w:val="24"/>
          <w:szCs w:val="24"/>
          <w:lang w:eastAsia="en-GB"/>
          <w14:ligatures w14:val="none"/>
        </w:rPr>
      </w:pPr>
      <w:r w:rsidRPr="00BD6713">
        <w:rPr>
          <w:rFonts w:eastAsia="Times New Roman" w:cs="Times New Roman"/>
          <w:color w:val="196B24" w:themeColor="accent3"/>
          <w:kern w:val="0"/>
          <w:sz w:val="24"/>
          <w:szCs w:val="24"/>
          <w:lang w:eastAsia="en-GB"/>
          <w14:ligatures w14:val="none"/>
        </w:rPr>
        <w:t>Differentiates you from existing schemes (eco-led positioning).</w:t>
      </w:r>
    </w:p>
    <w:p w14:paraId="152A23EE" w14:textId="77777777" w:rsidR="00BD6713" w:rsidRPr="00BD6713" w:rsidRDefault="00BD6713" w:rsidP="00BD6713">
      <w:pPr>
        <w:numPr>
          <w:ilvl w:val="0"/>
          <w:numId w:val="3"/>
        </w:numPr>
        <w:spacing w:before="100" w:beforeAutospacing="1" w:after="100" w:afterAutospacing="1"/>
        <w:jc w:val="left"/>
        <w:rPr>
          <w:rFonts w:eastAsia="Times New Roman" w:cs="Times New Roman"/>
          <w:color w:val="196B24" w:themeColor="accent3"/>
          <w:kern w:val="0"/>
          <w:sz w:val="24"/>
          <w:szCs w:val="24"/>
          <w:lang w:eastAsia="en-GB"/>
          <w14:ligatures w14:val="none"/>
        </w:rPr>
      </w:pPr>
      <w:r w:rsidRPr="00BD6713">
        <w:rPr>
          <w:rFonts w:eastAsia="Times New Roman" w:cs="Times New Roman"/>
          <w:color w:val="196B24" w:themeColor="accent3"/>
          <w:kern w:val="0"/>
          <w:sz w:val="24"/>
          <w:szCs w:val="24"/>
          <w:lang w:eastAsia="en-GB"/>
          <w14:ligatures w14:val="none"/>
        </w:rPr>
        <w:t xml:space="preserve">Taps into tourists and middle-class locals willing to pay </w:t>
      </w:r>
      <w:r w:rsidRPr="00BD6713">
        <w:rPr>
          <w:rFonts w:eastAsia="Times New Roman" w:cs="Times New Roman"/>
          <w:b/>
          <w:bCs/>
          <w:color w:val="196B24" w:themeColor="accent3"/>
          <w:kern w:val="0"/>
          <w:sz w:val="24"/>
          <w:szCs w:val="24"/>
          <w:lang w:eastAsia="en-GB"/>
          <w14:ligatures w14:val="none"/>
        </w:rPr>
        <w:t>~8–12% more</w:t>
      </w:r>
      <w:r w:rsidRPr="00BD6713">
        <w:rPr>
          <w:rFonts w:eastAsia="Times New Roman" w:cs="Times New Roman"/>
          <w:color w:val="196B24" w:themeColor="accent3"/>
          <w:kern w:val="0"/>
          <w:sz w:val="24"/>
          <w:szCs w:val="24"/>
          <w:lang w:eastAsia="en-GB"/>
          <w14:ligatures w14:val="none"/>
        </w:rPr>
        <w:t>.</w:t>
      </w:r>
    </w:p>
    <w:p w14:paraId="0CB1177D" w14:textId="77777777" w:rsidR="00BD6713" w:rsidRPr="00BD6713" w:rsidRDefault="00BD6713" w:rsidP="00BD6713">
      <w:pPr>
        <w:numPr>
          <w:ilvl w:val="0"/>
          <w:numId w:val="3"/>
        </w:numPr>
        <w:spacing w:before="100" w:beforeAutospacing="1" w:after="100" w:afterAutospacing="1"/>
        <w:jc w:val="left"/>
        <w:rPr>
          <w:rFonts w:eastAsia="Times New Roman" w:cs="Times New Roman"/>
          <w:color w:val="196B24" w:themeColor="accent3"/>
          <w:kern w:val="0"/>
          <w:sz w:val="24"/>
          <w:szCs w:val="24"/>
          <w:lang w:eastAsia="en-GB"/>
          <w14:ligatures w14:val="none"/>
        </w:rPr>
      </w:pPr>
      <w:r w:rsidRPr="00BD6713">
        <w:rPr>
          <w:rFonts w:eastAsia="Times New Roman" w:cs="Times New Roman"/>
          <w:color w:val="196B24" w:themeColor="accent3"/>
          <w:kern w:val="0"/>
          <w:sz w:val="24"/>
          <w:szCs w:val="24"/>
          <w:lang w:eastAsia="en-GB"/>
          <w14:ligatures w14:val="none"/>
        </w:rPr>
        <w:t xml:space="preserve">Opens doors to </w:t>
      </w:r>
      <w:r w:rsidRPr="00BD6713">
        <w:rPr>
          <w:rFonts w:eastAsia="Times New Roman" w:cs="Times New Roman"/>
          <w:b/>
          <w:bCs/>
          <w:color w:val="196B24" w:themeColor="accent3"/>
          <w:kern w:val="0"/>
          <w:sz w:val="24"/>
          <w:szCs w:val="24"/>
          <w:lang w:eastAsia="en-GB"/>
          <w14:ligatures w14:val="none"/>
        </w:rPr>
        <w:t>funding &amp; partnerships</w:t>
      </w:r>
      <w:r w:rsidRPr="00BD6713">
        <w:rPr>
          <w:rFonts w:eastAsia="Times New Roman" w:cs="Times New Roman"/>
          <w:color w:val="196B24" w:themeColor="accent3"/>
          <w:kern w:val="0"/>
          <w:sz w:val="24"/>
          <w:szCs w:val="24"/>
          <w:lang w:eastAsia="en-GB"/>
          <w14:ligatures w14:val="none"/>
        </w:rPr>
        <w:t xml:space="preserve"> (local council, ESG investors).</w:t>
      </w:r>
    </w:p>
    <w:p w14:paraId="00DEC877" w14:textId="77777777" w:rsidR="00BD6713" w:rsidRPr="00BD6713" w:rsidRDefault="00BD6713" w:rsidP="00BD6713">
      <w:pPr>
        <w:numPr>
          <w:ilvl w:val="0"/>
          <w:numId w:val="3"/>
        </w:numPr>
        <w:spacing w:before="100" w:beforeAutospacing="1" w:after="100" w:afterAutospacing="1"/>
        <w:jc w:val="left"/>
        <w:rPr>
          <w:rFonts w:eastAsia="Times New Roman" w:cs="Times New Roman"/>
          <w:color w:val="196B24" w:themeColor="accent3"/>
          <w:kern w:val="0"/>
          <w:sz w:val="24"/>
          <w:szCs w:val="24"/>
          <w:lang w:eastAsia="en-GB"/>
          <w14:ligatures w14:val="none"/>
        </w:rPr>
      </w:pPr>
      <w:r w:rsidRPr="00BD6713">
        <w:rPr>
          <w:rFonts w:eastAsia="Times New Roman" w:cs="Times New Roman"/>
          <w:color w:val="196B24" w:themeColor="accent3"/>
          <w:kern w:val="0"/>
          <w:sz w:val="24"/>
          <w:szCs w:val="24"/>
          <w:lang w:eastAsia="en-GB"/>
          <w14:ligatures w14:val="none"/>
        </w:rPr>
        <w:t>Better margin per ride.</w:t>
      </w:r>
    </w:p>
    <w:p w14:paraId="7DBD3D97" w14:textId="77777777" w:rsidR="00BD6713" w:rsidRPr="00BD6713" w:rsidRDefault="00BD6713" w:rsidP="00BD6713">
      <w:pPr>
        <w:spacing w:before="100" w:beforeAutospacing="1" w:after="100" w:afterAutospacing="1"/>
        <w:jc w:val="left"/>
        <w:rPr>
          <w:rFonts w:eastAsia="Times New Roman" w:cs="Times New Roman"/>
          <w:color w:val="C00000"/>
          <w:kern w:val="0"/>
          <w:sz w:val="24"/>
          <w:szCs w:val="24"/>
          <w:lang w:eastAsia="en-GB"/>
          <w14:ligatures w14:val="none"/>
        </w:rPr>
      </w:pPr>
      <w:r w:rsidRPr="00BD6713">
        <w:rPr>
          <w:rFonts w:ascii="Segoe UI Emoji" w:eastAsia="Times New Roman" w:hAnsi="Segoe UI Emoji" w:cs="Segoe UI Emoji"/>
          <w:color w:val="C00000"/>
          <w:kern w:val="0"/>
          <w:sz w:val="24"/>
          <w:szCs w:val="24"/>
          <w:lang w:eastAsia="en-GB"/>
          <w14:ligatures w14:val="none"/>
        </w:rPr>
        <w:t>❌</w:t>
      </w:r>
      <w:r w:rsidRPr="00BD6713">
        <w:rPr>
          <w:rFonts w:eastAsia="Times New Roman" w:cs="Times New Roman"/>
          <w:color w:val="C00000"/>
          <w:kern w:val="0"/>
          <w:sz w:val="24"/>
          <w:szCs w:val="24"/>
          <w:lang w:eastAsia="en-GB"/>
          <w14:ligatures w14:val="none"/>
        </w:rPr>
        <w:t xml:space="preserve"> </w:t>
      </w:r>
      <w:r w:rsidRPr="00BD6713">
        <w:rPr>
          <w:rFonts w:eastAsia="Times New Roman" w:cs="Times New Roman"/>
          <w:b/>
          <w:bCs/>
          <w:color w:val="C00000"/>
          <w:kern w:val="0"/>
          <w:sz w:val="24"/>
          <w:szCs w:val="24"/>
          <w:lang w:eastAsia="en-GB"/>
          <w14:ligatures w14:val="none"/>
        </w:rPr>
        <w:t>Risks:</w:t>
      </w:r>
    </w:p>
    <w:p w14:paraId="5FF0CB2E" w14:textId="77777777" w:rsidR="00BD6713" w:rsidRPr="00BD6713" w:rsidRDefault="00BD6713" w:rsidP="00BD6713">
      <w:pPr>
        <w:numPr>
          <w:ilvl w:val="0"/>
          <w:numId w:val="4"/>
        </w:numPr>
        <w:spacing w:before="100" w:beforeAutospacing="1" w:after="100" w:afterAutospacing="1"/>
        <w:jc w:val="left"/>
        <w:rPr>
          <w:rFonts w:eastAsia="Times New Roman" w:cs="Times New Roman"/>
          <w:color w:val="C00000"/>
          <w:kern w:val="0"/>
          <w:sz w:val="24"/>
          <w:szCs w:val="24"/>
          <w:lang w:eastAsia="en-GB"/>
          <w14:ligatures w14:val="none"/>
        </w:rPr>
      </w:pPr>
      <w:r w:rsidRPr="00BD6713">
        <w:rPr>
          <w:rFonts w:eastAsia="Times New Roman" w:cs="Times New Roman"/>
          <w:color w:val="C00000"/>
          <w:kern w:val="0"/>
          <w:sz w:val="24"/>
          <w:szCs w:val="24"/>
          <w:lang w:eastAsia="en-GB"/>
          <w14:ligatures w14:val="none"/>
        </w:rPr>
        <w:t>Smaller customer base if priced above Lime/Beryl.</w:t>
      </w:r>
    </w:p>
    <w:p w14:paraId="33AF9CB9" w14:textId="3673A79A" w:rsidR="00BD6713" w:rsidRPr="00BD6713" w:rsidRDefault="00BD6713" w:rsidP="00BD6713">
      <w:pPr>
        <w:numPr>
          <w:ilvl w:val="0"/>
          <w:numId w:val="4"/>
        </w:numPr>
        <w:spacing w:before="100" w:beforeAutospacing="1" w:after="100" w:afterAutospacing="1"/>
        <w:jc w:val="left"/>
        <w:rPr>
          <w:rFonts w:eastAsia="Times New Roman" w:cs="Times New Roman"/>
          <w:color w:val="C00000"/>
          <w:kern w:val="0"/>
          <w:sz w:val="24"/>
          <w:szCs w:val="24"/>
          <w:lang w:eastAsia="en-GB"/>
          <w14:ligatures w14:val="none"/>
        </w:rPr>
      </w:pPr>
      <w:r w:rsidRPr="00BD6713">
        <w:rPr>
          <w:rFonts w:eastAsia="Times New Roman" w:cs="Times New Roman"/>
          <w:color w:val="C00000"/>
          <w:kern w:val="0"/>
          <w:sz w:val="24"/>
          <w:szCs w:val="24"/>
          <w:lang w:eastAsia="en-GB"/>
          <w14:ligatures w14:val="none"/>
        </w:rPr>
        <w:t xml:space="preserve">Tourists may pay once but locals might </w:t>
      </w:r>
      <w:r>
        <w:rPr>
          <w:rFonts w:eastAsia="Times New Roman" w:cs="Times New Roman"/>
          <w:color w:val="C00000"/>
          <w:kern w:val="0"/>
          <w:sz w:val="24"/>
          <w:szCs w:val="24"/>
          <w:lang w:eastAsia="en-GB"/>
          <w14:ligatures w14:val="none"/>
        </w:rPr>
        <w:t>t</w:t>
      </w:r>
      <w:r w:rsidRPr="00BD6713">
        <w:rPr>
          <w:rFonts w:eastAsia="Times New Roman" w:cs="Times New Roman"/>
          <w:color w:val="C00000"/>
          <w:kern w:val="0"/>
          <w:sz w:val="24"/>
          <w:szCs w:val="24"/>
          <w:lang w:eastAsia="en-GB"/>
          <w14:ligatures w14:val="none"/>
        </w:rPr>
        <w:t>urn to cheaper alternatives.</w:t>
      </w:r>
    </w:p>
    <w:p w14:paraId="731C2618" w14:textId="77777777" w:rsidR="00BD6713" w:rsidRPr="00BD6713" w:rsidRDefault="00BD6713" w:rsidP="00BD6713">
      <w:pPr>
        <w:numPr>
          <w:ilvl w:val="0"/>
          <w:numId w:val="4"/>
        </w:numPr>
        <w:spacing w:before="100" w:beforeAutospacing="1" w:after="100" w:afterAutospacing="1"/>
        <w:jc w:val="left"/>
        <w:rPr>
          <w:rFonts w:eastAsia="Times New Roman" w:cs="Times New Roman"/>
          <w:color w:val="C00000"/>
          <w:kern w:val="0"/>
          <w:sz w:val="24"/>
          <w:szCs w:val="24"/>
          <w:lang w:eastAsia="en-GB"/>
          <w14:ligatures w14:val="none"/>
        </w:rPr>
      </w:pPr>
      <w:r w:rsidRPr="00BD6713">
        <w:rPr>
          <w:rFonts w:eastAsia="Times New Roman" w:cs="Times New Roman"/>
          <w:color w:val="C00000"/>
          <w:kern w:val="0"/>
          <w:sz w:val="24"/>
          <w:szCs w:val="24"/>
          <w:lang w:eastAsia="en-GB"/>
          <w14:ligatures w14:val="none"/>
        </w:rPr>
        <w:t xml:space="preserve">You’d need to </w:t>
      </w:r>
      <w:r w:rsidRPr="00BD6713">
        <w:rPr>
          <w:rFonts w:eastAsia="Times New Roman" w:cs="Times New Roman"/>
          <w:i/>
          <w:iCs/>
          <w:color w:val="C00000"/>
          <w:kern w:val="0"/>
          <w:sz w:val="24"/>
          <w:szCs w:val="24"/>
          <w:lang w:eastAsia="en-GB"/>
          <w14:ligatures w14:val="none"/>
        </w:rPr>
        <w:t>prove</w:t>
      </w:r>
      <w:r w:rsidRPr="00BD6713">
        <w:rPr>
          <w:rFonts w:eastAsia="Times New Roman" w:cs="Times New Roman"/>
          <w:color w:val="C00000"/>
          <w:kern w:val="0"/>
          <w:sz w:val="24"/>
          <w:szCs w:val="24"/>
          <w:lang w:eastAsia="en-GB"/>
          <w14:ligatures w14:val="none"/>
        </w:rPr>
        <w:t xml:space="preserve"> the value (clear eco-branding, storytelling, impact reports).</w:t>
      </w:r>
    </w:p>
    <w:p w14:paraId="07356D19" w14:textId="77777777" w:rsidR="00BD6713" w:rsidRDefault="00BD6713" w:rsidP="008B5F7D"/>
    <w:sectPr w:rsidR="00BD6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E5725"/>
    <w:multiLevelType w:val="multilevel"/>
    <w:tmpl w:val="ED1A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8624E"/>
    <w:multiLevelType w:val="multilevel"/>
    <w:tmpl w:val="155E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F1067"/>
    <w:multiLevelType w:val="multilevel"/>
    <w:tmpl w:val="F12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70579"/>
    <w:multiLevelType w:val="multilevel"/>
    <w:tmpl w:val="550E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176350">
    <w:abstractNumId w:val="2"/>
  </w:num>
  <w:num w:numId="2" w16cid:durableId="420953302">
    <w:abstractNumId w:val="3"/>
  </w:num>
  <w:num w:numId="3" w16cid:durableId="616713582">
    <w:abstractNumId w:val="0"/>
  </w:num>
  <w:num w:numId="4" w16cid:durableId="1940485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7D"/>
    <w:rsid w:val="001E2780"/>
    <w:rsid w:val="00386643"/>
    <w:rsid w:val="004B3411"/>
    <w:rsid w:val="00565B86"/>
    <w:rsid w:val="00566240"/>
    <w:rsid w:val="006D3C75"/>
    <w:rsid w:val="00793949"/>
    <w:rsid w:val="008B5F7D"/>
    <w:rsid w:val="00971A5D"/>
    <w:rsid w:val="009F7BC5"/>
    <w:rsid w:val="00A47CD1"/>
    <w:rsid w:val="00AE25DA"/>
    <w:rsid w:val="00B368F3"/>
    <w:rsid w:val="00BD6713"/>
    <w:rsid w:val="00D41098"/>
    <w:rsid w:val="00F31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2FB4"/>
  <w15:chartTrackingRefBased/>
  <w15:docId w15:val="{6C227F93-DD73-4E6E-9B16-3CFAE998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CD1"/>
  </w:style>
  <w:style w:type="paragraph" w:styleId="Heading1">
    <w:name w:val="heading 1"/>
    <w:basedOn w:val="Normal"/>
    <w:next w:val="Normal"/>
    <w:link w:val="Heading1Char"/>
    <w:uiPriority w:val="9"/>
    <w:qFormat/>
    <w:rsid w:val="008B5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F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F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F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F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F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F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F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F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F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F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F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F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F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F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F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F7D"/>
    <w:rPr>
      <w:rFonts w:eastAsiaTheme="majorEastAsia" w:cstheme="majorBidi"/>
      <w:color w:val="272727" w:themeColor="text1" w:themeTint="D8"/>
    </w:rPr>
  </w:style>
  <w:style w:type="paragraph" w:styleId="Title">
    <w:name w:val="Title"/>
    <w:basedOn w:val="Normal"/>
    <w:next w:val="Normal"/>
    <w:link w:val="TitleChar"/>
    <w:uiPriority w:val="10"/>
    <w:qFormat/>
    <w:rsid w:val="008B5F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F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F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F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5F7D"/>
    <w:rPr>
      <w:i/>
      <w:iCs/>
      <w:color w:val="404040" w:themeColor="text1" w:themeTint="BF"/>
    </w:rPr>
  </w:style>
  <w:style w:type="paragraph" w:styleId="ListParagraph">
    <w:name w:val="List Paragraph"/>
    <w:basedOn w:val="Normal"/>
    <w:uiPriority w:val="34"/>
    <w:qFormat/>
    <w:rsid w:val="008B5F7D"/>
    <w:pPr>
      <w:ind w:left="720"/>
      <w:contextualSpacing/>
    </w:pPr>
  </w:style>
  <w:style w:type="character" w:styleId="IntenseEmphasis">
    <w:name w:val="Intense Emphasis"/>
    <w:basedOn w:val="DefaultParagraphFont"/>
    <w:uiPriority w:val="21"/>
    <w:qFormat/>
    <w:rsid w:val="008B5F7D"/>
    <w:rPr>
      <w:i/>
      <w:iCs/>
      <w:color w:val="0F4761" w:themeColor="accent1" w:themeShade="BF"/>
    </w:rPr>
  </w:style>
  <w:style w:type="paragraph" w:styleId="IntenseQuote">
    <w:name w:val="Intense Quote"/>
    <w:basedOn w:val="Normal"/>
    <w:next w:val="Normal"/>
    <w:link w:val="IntenseQuoteChar"/>
    <w:uiPriority w:val="30"/>
    <w:qFormat/>
    <w:rsid w:val="008B5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F7D"/>
    <w:rPr>
      <w:i/>
      <w:iCs/>
      <w:color w:val="0F4761" w:themeColor="accent1" w:themeShade="BF"/>
    </w:rPr>
  </w:style>
  <w:style w:type="character" w:styleId="IntenseReference">
    <w:name w:val="Intense Reference"/>
    <w:basedOn w:val="DefaultParagraphFont"/>
    <w:uiPriority w:val="32"/>
    <w:qFormat/>
    <w:rsid w:val="008B5F7D"/>
    <w:rPr>
      <w:b/>
      <w:bCs/>
      <w:smallCaps/>
      <w:color w:val="0F4761" w:themeColor="accent1" w:themeShade="BF"/>
      <w:spacing w:val="5"/>
    </w:rPr>
  </w:style>
  <w:style w:type="table" w:styleId="TableGrid">
    <w:name w:val="Table Grid"/>
    <w:basedOn w:val="TableNormal"/>
    <w:uiPriority w:val="39"/>
    <w:rsid w:val="00BD6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Vettraino</dc:creator>
  <cp:keywords/>
  <dc:description/>
  <cp:lastModifiedBy>Tom Vettraino</cp:lastModifiedBy>
  <cp:revision>1</cp:revision>
  <dcterms:created xsi:type="dcterms:W3CDTF">2025-08-28T21:14:00Z</dcterms:created>
  <dcterms:modified xsi:type="dcterms:W3CDTF">2025-08-28T21:32:00Z</dcterms:modified>
</cp:coreProperties>
</file>