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B09" w:rsidRDefault="00920EF8" w:rsidP="002D4B09">
      <w:pPr>
        <w:pStyle w:val="Heading1"/>
      </w:pPr>
      <w:r>
        <w:t>Question 3</w:t>
      </w:r>
    </w:p>
    <w:tbl>
      <w:tblPr>
        <w:tblStyle w:val="TableGrid"/>
        <w:tblW w:w="9952" w:type="dxa"/>
        <w:tblInd w:w="-34" w:type="dxa"/>
        <w:tblLook w:val="04A0" w:firstRow="1" w:lastRow="0" w:firstColumn="1" w:lastColumn="0" w:noHBand="0" w:noVBand="1"/>
      </w:tblPr>
      <w:tblGrid>
        <w:gridCol w:w="2784"/>
        <w:gridCol w:w="2389"/>
        <w:gridCol w:w="2389"/>
        <w:gridCol w:w="2390"/>
      </w:tblGrid>
      <w:tr w:rsidR="00920EF8" w:rsidTr="00920EF8">
        <w:tc>
          <w:tcPr>
            <w:tcW w:w="2784" w:type="dxa"/>
            <w:tcBorders>
              <w:top w:val="single" w:sz="4" w:space="0" w:color="auto"/>
              <w:left w:val="single" w:sz="4" w:space="0" w:color="auto"/>
              <w:bottom w:val="single" w:sz="4" w:space="0" w:color="auto"/>
              <w:right w:val="single" w:sz="4" w:space="0" w:color="auto"/>
            </w:tcBorders>
          </w:tcPr>
          <w:p w:rsidR="00920EF8" w:rsidRPr="00920EF8" w:rsidRDefault="00920EF8" w:rsidP="00920EF8">
            <w:pPr>
              <w:pStyle w:val="ListParagraph"/>
              <w:numPr>
                <w:ilvl w:val="0"/>
                <w:numId w:val="3"/>
              </w:numPr>
              <w:rPr>
                <w:b/>
              </w:rPr>
            </w:pPr>
            <w:r>
              <w:t>Do charities which seek to help the public engage more with Twitter to reach the public?</w:t>
            </w:r>
          </w:p>
          <w:p w:rsidR="00920EF8" w:rsidRDefault="00920EF8">
            <w:pPr>
              <w:rPr>
                <w:b/>
              </w:rPr>
            </w:pPr>
          </w:p>
        </w:tc>
        <w:tc>
          <w:tcPr>
            <w:tcW w:w="2389" w:type="dxa"/>
            <w:tcBorders>
              <w:top w:val="single" w:sz="4" w:space="0" w:color="auto"/>
              <w:left w:val="single" w:sz="4" w:space="0" w:color="auto"/>
              <w:bottom w:val="single" w:sz="4" w:space="0" w:color="auto"/>
              <w:right w:val="single" w:sz="4" w:space="0" w:color="auto"/>
            </w:tcBorders>
          </w:tcPr>
          <w:p w:rsidR="00920EF8" w:rsidRDefault="00920EF8">
            <w:r>
              <w:t xml:space="preserve">- Table of </w:t>
            </w:r>
            <w:bookmarkStart w:id="0" w:name="OLE_LINK19"/>
            <w:bookmarkStart w:id="1" w:name="OLE_LINK20"/>
            <w:r>
              <w:t>public facing chars</w:t>
            </w:r>
            <w:bookmarkEnd w:id="0"/>
            <w:bookmarkEnd w:id="1"/>
          </w:p>
          <w:p w:rsidR="00920EF8" w:rsidRDefault="00920EF8">
            <w:r>
              <w:t>- Possibly summary of income and other for public and non-public</w:t>
            </w:r>
          </w:p>
          <w:p w:rsidR="00920EF8" w:rsidRDefault="00920EF8">
            <w:r>
              <w:t>- Summary of followed on Twitter</w:t>
            </w:r>
          </w:p>
          <w:p w:rsidR="00920EF8" w:rsidRDefault="00920EF8"/>
        </w:tc>
        <w:tc>
          <w:tcPr>
            <w:tcW w:w="2389" w:type="dxa"/>
            <w:tcBorders>
              <w:top w:val="single" w:sz="4" w:space="0" w:color="auto"/>
              <w:left w:val="single" w:sz="4" w:space="0" w:color="auto"/>
              <w:bottom w:val="single" w:sz="4" w:space="0" w:color="auto"/>
              <w:right w:val="single" w:sz="4" w:space="0" w:color="auto"/>
            </w:tcBorders>
            <w:hideMark/>
          </w:tcPr>
          <w:p w:rsidR="00920EF8" w:rsidRDefault="00920EF8">
            <w:r>
              <w:t>-</w:t>
            </w:r>
          </w:p>
        </w:tc>
        <w:tc>
          <w:tcPr>
            <w:tcW w:w="2390" w:type="dxa"/>
            <w:tcBorders>
              <w:top w:val="single" w:sz="4" w:space="0" w:color="auto"/>
              <w:left w:val="single" w:sz="4" w:space="0" w:color="auto"/>
              <w:bottom w:val="single" w:sz="4" w:space="0" w:color="auto"/>
              <w:right w:val="single" w:sz="4" w:space="0" w:color="auto"/>
            </w:tcBorders>
            <w:hideMark/>
          </w:tcPr>
          <w:p w:rsidR="00920EF8" w:rsidRDefault="00920EF8">
            <w:r>
              <w:t>- Linear followed on Twitter with public facing and income control</w:t>
            </w:r>
          </w:p>
          <w:p w:rsidR="00920EF8" w:rsidRDefault="00920EF8">
            <w:r>
              <w:t>- Inverse logit with following predicted public facing?</w:t>
            </w:r>
          </w:p>
        </w:tc>
      </w:tr>
    </w:tbl>
    <w:p w:rsidR="002D4B09" w:rsidRPr="002D4B09" w:rsidRDefault="002D4B09" w:rsidP="002D4B09"/>
    <w:p w:rsidR="002D4B09" w:rsidRDefault="002D4B09"/>
    <w:p w:rsidR="002D4B09" w:rsidRDefault="002D4B09" w:rsidP="002D4B09">
      <w:pPr>
        <w:pStyle w:val="Heading2"/>
      </w:pPr>
      <w:r>
        <w:t>Univariate</w:t>
      </w:r>
    </w:p>
    <w:p w:rsidR="008814E4" w:rsidRPr="008814E4" w:rsidRDefault="008814E4" w:rsidP="008814E4"/>
    <w:tbl>
      <w:tblPr>
        <w:tblStyle w:val="TableGrid"/>
        <w:tblW w:w="0" w:type="auto"/>
        <w:tblLook w:val="04A0" w:firstRow="1" w:lastRow="0" w:firstColumn="1" w:lastColumn="0" w:noHBand="0" w:noVBand="1"/>
      </w:tblPr>
      <w:tblGrid>
        <w:gridCol w:w="1840"/>
        <w:gridCol w:w="3174"/>
        <w:gridCol w:w="3174"/>
      </w:tblGrid>
      <w:tr w:rsidR="008814E4" w:rsidTr="008814E4">
        <w:tc>
          <w:tcPr>
            <w:tcW w:w="1840" w:type="dxa"/>
            <w:tcBorders>
              <w:top w:val="nil"/>
              <w:left w:val="nil"/>
            </w:tcBorders>
          </w:tcPr>
          <w:p w:rsidR="008814E4" w:rsidRPr="00DD5DE7" w:rsidRDefault="008814E4" w:rsidP="00395208">
            <w:pPr>
              <w:jc w:val="center"/>
              <w:rPr>
                <w:b/>
              </w:rPr>
            </w:pPr>
          </w:p>
        </w:tc>
        <w:tc>
          <w:tcPr>
            <w:tcW w:w="3174" w:type="dxa"/>
          </w:tcPr>
          <w:p w:rsidR="008814E4" w:rsidRPr="00DD5DE7" w:rsidRDefault="008814E4" w:rsidP="00395208">
            <w:pPr>
              <w:jc w:val="center"/>
              <w:rPr>
                <w:b/>
              </w:rPr>
            </w:pPr>
            <w:r>
              <w:rPr>
                <w:b/>
              </w:rPr>
              <w:t>Helps the general public</w:t>
            </w:r>
          </w:p>
        </w:tc>
        <w:tc>
          <w:tcPr>
            <w:tcW w:w="3174" w:type="dxa"/>
          </w:tcPr>
          <w:p w:rsidR="008814E4" w:rsidRPr="00DD5DE7" w:rsidRDefault="008814E4" w:rsidP="00395208">
            <w:pPr>
              <w:jc w:val="center"/>
              <w:rPr>
                <w:b/>
              </w:rPr>
            </w:pPr>
            <w:r>
              <w:rPr>
                <w:b/>
              </w:rPr>
              <w:t>Does not help general public</w:t>
            </w:r>
          </w:p>
        </w:tc>
      </w:tr>
      <w:tr w:rsidR="008814E4" w:rsidTr="008814E4">
        <w:tc>
          <w:tcPr>
            <w:tcW w:w="1840" w:type="dxa"/>
          </w:tcPr>
          <w:p w:rsidR="008814E4" w:rsidRDefault="008814E4" w:rsidP="00395208">
            <w:pPr>
              <w:jc w:val="center"/>
            </w:pPr>
            <w:r>
              <w:t>n</w:t>
            </w:r>
          </w:p>
        </w:tc>
        <w:tc>
          <w:tcPr>
            <w:tcW w:w="3174" w:type="dxa"/>
          </w:tcPr>
          <w:p w:rsidR="008814E4" w:rsidRDefault="008814E4" w:rsidP="00395208">
            <w:pPr>
              <w:jc w:val="center"/>
            </w:pPr>
            <w:r>
              <w:t>5528</w:t>
            </w:r>
          </w:p>
        </w:tc>
        <w:tc>
          <w:tcPr>
            <w:tcW w:w="3174" w:type="dxa"/>
          </w:tcPr>
          <w:p w:rsidR="008814E4" w:rsidRDefault="008814E4" w:rsidP="00395208">
            <w:pPr>
              <w:jc w:val="center"/>
            </w:pPr>
            <w:r>
              <w:t>5272</w:t>
            </w:r>
          </w:p>
        </w:tc>
      </w:tr>
      <w:tr w:rsidR="008814E4" w:rsidTr="008814E4">
        <w:tc>
          <w:tcPr>
            <w:tcW w:w="1840" w:type="dxa"/>
          </w:tcPr>
          <w:p w:rsidR="008814E4" w:rsidRDefault="008814E4" w:rsidP="00395208">
            <w:pPr>
              <w:jc w:val="center"/>
            </w:pPr>
            <w:r>
              <w:t>%</w:t>
            </w:r>
          </w:p>
        </w:tc>
        <w:tc>
          <w:tcPr>
            <w:tcW w:w="3174" w:type="dxa"/>
          </w:tcPr>
          <w:p w:rsidR="008814E4" w:rsidRDefault="008814E4" w:rsidP="00395208">
            <w:pPr>
              <w:jc w:val="center"/>
            </w:pPr>
            <w:r>
              <w:t>51.2</w:t>
            </w:r>
          </w:p>
        </w:tc>
        <w:tc>
          <w:tcPr>
            <w:tcW w:w="3174" w:type="dxa"/>
          </w:tcPr>
          <w:p w:rsidR="008814E4" w:rsidRDefault="008814E4" w:rsidP="00395208">
            <w:pPr>
              <w:jc w:val="center"/>
            </w:pPr>
            <w:r>
              <w:t>48.8</w:t>
            </w:r>
          </w:p>
        </w:tc>
      </w:tr>
    </w:tbl>
    <w:p w:rsidR="00DD5DE7" w:rsidRDefault="00DD5DE7" w:rsidP="00DD5DE7"/>
    <w:p w:rsidR="00B23A36" w:rsidRDefault="00B23A36" w:rsidP="00DD5DE7">
      <w:r>
        <w:t xml:space="preserve">The table above summarises the binary </w:t>
      </w:r>
      <w:bookmarkStart w:id="2" w:name="OLE_LINK1"/>
      <w:bookmarkStart w:id="3" w:name="OLE_LINK2"/>
      <w:r>
        <w:t xml:space="preserve">‘Helps the general public’ variable </w:t>
      </w:r>
      <w:bookmarkEnd w:id="2"/>
      <w:bookmarkEnd w:id="3"/>
      <w:r>
        <w:t>which records if a charity seeks to help the general public or a more focused group (such as other charities, animals, etc.). Charities such as educational trusts are also usually excluded from this group. Roughly half of the sample is in each category.</w:t>
      </w:r>
    </w:p>
    <w:p w:rsidR="00B23A36" w:rsidRDefault="00B23A36" w:rsidP="00DD5DE7"/>
    <w:p w:rsidR="002D4B09" w:rsidRPr="00B23A36" w:rsidRDefault="008814E4" w:rsidP="002D4B09">
      <w:pPr>
        <w:rPr>
          <w:b/>
        </w:rPr>
      </w:pPr>
      <w:r w:rsidRPr="00B23A36">
        <w:rPr>
          <w:b/>
        </w:rPr>
        <w:t>Does not help general public</w:t>
      </w:r>
    </w:p>
    <w:tbl>
      <w:tblPr>
        <w:tblStyle w:val="TableGrid"/>
        <w:tblW w:w="7905" w:type="dxa"/>
        <w:tblLayout w:type="fixed"/>
        <w:tblLook w:val="04A0" w:firstRow="1" w:lastRow="0" w:firstColumn="1" w:lastColumn="0" w:noHBand="0" w:noVBand="1"/>
      </w:tblPr>
      <w:tblGrid>
        <w:gridCol w:w="1165"/>
        <w:gridCol w:w="2246"/>
        <w:gridCol w:w="2247"/>
        <w:gridCol w:w="2247"/>
      </w:tblGrid>
      <w:tr w:rsidR="008814E4" w:rsidTr="008814E4">
        <w:tc>
          <w:tcPr>
            <w:tcW w:w="1165" w:type="dxa"/>
            <w:tcBorders>
              <w:top w:val="nil"/>
              <w:left w:val="nil"/>
            </w:tcBorders>
          </w:tcPr>
          <w:p w:rsidR="008814E4" w:rsidRDefault="008814E4" w:rsidP="002D4B09">
            <w:bookmarkStart w:id="4" w:name="_Hlk529863496"/>
            <w:bookmarkStart w:id="5" w:name="_Hlk529264828"/>
          </w:p>
        </w:tc>
        <w:tc>
          <w:tcPr>
            <w:tcW w:w="2246" w:type="dxa"/>
          </w:tcPr>
          <w:p w:rsidR="008814E4" w:rsidRPr="002D4B09" w:rsidRDefault="008814E4" w:rsidP="002D4B09">
            <w:pPr>
              <w:rPr>
                <w:b/>
              </w:rPr>
            </w:pPr>
            <w:r>
              <w:rPr>
                <w:b/>
              </w:rPr>
              <w:t>Income 2018</w:t>
            </w:r>
          </w:p>
        </w:tc>
        <w:tc>
          <w:tcPr>
            <w:tcW w:w="2247" w:type="dxa"/>
          </w:tcPr>
          <w:p w:rsidR="008814E4" w:rsidRPr="002D4B09" w:rsidRDefault="008814E4" w:rsidP="002D4B09">
            <w:pPr>
              <w:rPr>
                <w:b/>
              </w:rPr>
            </w:pPr>
            <w:r>
              <w:rPr>
                <w:b/>
              </w:rPr>
              <w:t>Proportion of general public funding</w:t>
            </w:r>
          </w:p>
        </w:tc>
        <w:tc>
          <w:tcPr>
            <w:tcW w:w="2247" w:type="dxa"/>
          </w:tcPr>
          <w:p w:rsidR="008814E4" w:rsidRPr="002D4B09" w:rsidRDefault="008814E4" w:rsidP="002D4B09">
            <w:pPr>
              <w:rPr>
                <w:b/>
              </w:rPr>
            </w:pPr>
            <w:r>
              <w:rPr>
                <w:b/>
              </w:rPr>
              <w:t>Twitter followers</w:t>
            </w:r>
          </w:p>
        </w:tc>
      </w:tr>
      <w:bookmarkEnd w:id="4"/>
      <w:tr w:rsidR="008814E4" w:rsidTr="008814E4">
        <w:tc>
          <w:tcPr>
            <w:tcW w:w="1165" w:type="dxa"/>
          </w:tcPr>
          <w:p w:rsidR="008814E4" w:rsidRPr="002D4B09" w:rsidRDefault="008814E4" w:rsidP="002D4B09">
            <w:pPr>
              <w:rPr>
                <w:b/>
              </w:rPr>
            </w:pPr>
            <w:r w:rsidRPr="002D4B09">
              <w:rPr>
                <w:b/>
              </w:rPr>
              <w:t>Count</w:t>
            </w:r>
          </w:p>
        </w:tc>
        <w:tc>
          <w:tcPr>
            <w:tcW w:w="2246" w:type="dxa"/>
          </w:tcPr>
          <w:p w:rsidR="008814E4" w:rsidRPr="006A7609" w:rsidRDefault="00454CDD" w:rsidP="00CB2089">
            <w:pPr>
              <w:jc w:val="center"/>
              <w:rPr>
                <w:sz w:val="18"/>
              </w:rPr>
            </w:pPr>
            <w:r>
              <w:rPr>
                <w:sz w:val="18"/>
              </w:rPr>
              <w:t>4612</w:t>
            </w:r>
          </w:p>
        </w:tc>
        <w:tc>
          <w:tcPr>
            <w:tcW w:w="2247" w:type="dxa"/>
          </w:tcPr>
          <w:p w:rsidR="008814E4" w:rsidRPr="006A7609" w:rsidRDefault="00454CDD" w:rsidP="00CB2089">
            <w:pPr>
              <w:jc w:val="center"/>
              <w:rPr>
                <w:sz w:val="18"/>
              </w:rPr>
            </w:pPr>
            <w:r>
              <w:rPr>
                <w:sz w:val="18"/>
              </w:rPr>
              <w:t>5747</w:t>
            </w:r>
          </w:p>
        </w:tc>
        <w:tc>
          <w:tcPr>
            <w:tcW w:w="2247" w:type="dxa"/>
          </w:tcPr>
          <w:p w:rsidR="008814E4" w:rsidRPr="006A7609" w:rsidRDefault="00454CDD" w:rsidP="00CB2089">
            <w:pPr>
              <w:jc w:val="center"/>
              <w:rPr>
                <w:sz w:val="18"/>
              </w:rPr>
            </w:pPr>
            <w:r>
              <w:rPr>
                <w:sz w:val="18"/>
              </w:rPr>
              <w:t>1976</w:t>
            </w:r>
          </w:p>
        </w:tc>
      </w:tr>
      <w:tr w:rsidR="008814E4" w:rsidTr="008814E4">
        <w:tc>
          <w:tcPr>
            <w:tcW w:w="1165" w:type="dxa"/>
          </w:tcPr>
          <w:p w:rsidR="008814E4" w:rsidRPr="002D4B09" w:rsidRDefault="008814E4" w:rsidP="002D4B09">
            <w:pPr>
              <w:rPr>
                <w:b/>
              </w:rPr>
            </w:pPr>
            <w:r w:rsidRPr="002D4B09">
              <w:rPr>
                <w:b/>
              </w:rPr>
              <w:t>Mean</w:t>
            </w:r>
          </w:p>
        </w:tc>
        <w:tc>
          <w:tcPr>
            <w:tcW w:w="2246" w:type="dxa"/>
          </w:tcPr>
          <w:p w:rsidR="008814E4" w:rsidRPr="006A7609" w:rsidRDefault="00454CDD" w:rsidP="00CB2089">
            <w:pPr>
              <w:jc w:val="center"/>
              <w:rPr>
                <w:sz w:val="18"/>
              </w:rPr>
            </w:pPr>
            <w:r>
              <w:rPr>
                <w:sz w:val="18"/>
              </w:rPr>
              <w:t>1407509</w:t>
            </w:r>
          </w:p>
        </w:tc>
        <w:tc>
          <w:tcPr>
            <w:tcW w:w="2247" w:type="dxa"/>
          </w:tcPr>
          <w:p w:rsidR="008814E4" w:rsidRPr="006A7609" w:rsidRDefault="00454CDD" w:rsidP="00CB2089">
            <w:pPr>
              <w:jc w:val="center"/>
              <w:rPr>
                <w:sz w:val="18"/>
              </w:rPr>
            </w:pPr>
            <w:r>
              <w:rPr>
                <w:sz w:val="18"/>
              </w:rPr>
              <w:t>0.014</w:t>
            </w:r>
          </w:p>
        </w:tc>
        <w:tc>
          <w:tcPr>
            <w:tcW w:w="2247" w:type="dxa"/>
          </w:tcPr>
          <w:p w:rsidR="008814E4" w:rsidRPr="006A7609" w:rsidRDefault="00454CDD" w:rsidP="00CB2089">
            <w:pPr>
              <w:jc w:val="center"/>
              <w:rPr>
                <w:sz w:val="18"/>
              </w:rPr>
            </w:pPr>
            <w:r>
              <w:rPr>
                <w:sz w:val="18"/>
              </w:rPr>
              <w:t>2735</w:t>
            </w:r>
          </w:p>
        </w:tc>
      </w:tr>
      <w:tr w:rsidR="008814E4" w:rsidTr="008814E4">
        <w:tc>
          <w:tcPr>
            <w:tcW w:w="1165" w:type="dxa"/>
          </w:tcPr>
          <w:p w:rsidR="008814E4" w:rsidRPr="002D4B09" w:rsidRDefault="008814E4" w:rsidP="002D4B09">
            <w:pPr>
              <w:rPr>
                <w:b/>
              </w:rPr>
            </w:pPr>
            <w:proofErr w:type="spellStart"/>
            <w:r w:rsidRPr="002D4B09">
              <w:rPr>
                <w:b/>
              </w:rPr>
              <w:t>Std</w:t>
            </w:r>
            <w:proofErr w:type="spellEnd"/>
          </w:p>
        </w:tc>
        <w:tc>
          <w:tcPr>
            <w:tcW w:w="2246" w:type="dxa"/>
          </w:tcPr>
          <w:p w:rsidR="008814E4" w:rsidRPr="006A7609" w:rsidRDefault="00454CDD" w:rsidP="00CB2089">
            <w:pPr>
              <w:jc w:val="center"/>
              <w:rPr>
                <w:sz w:val="18"/>
              </w:rPr>
            </w:pPr>
            <w:r>
              <w:rPr>
                <w:sz w:val="18"/>
              </w:rPr>
              <w:t>1687574</w:t>
            </w:r>
          </w:p>
        </w:tc>
        <w:tc>
          <w:tcPr>
            <w:tcW w:w="2247" w:type="dxa"/>
          </w:tcPr>
          <w:p w:rsidR="008814E4" w:rsidRPr="006A7609" w:rsidRDefault="00454CDD" w:rsidP="00CB2089">
            <w:pPr>
              <w:jc w:val="center"/>
              <w:rPr>
                <w:sz w:val="18"/>
              </w:rPr>
            </w:pPr>
            <w:r>
              <w:rPr>
                <w:sz w:val="18"/>
              </w:rPr>
              <w:t>0.029</w:t>
            </w:r>
          </w:p>
        </w:tc>
        <w:tc>
          <w:tcPr>
            <w:tcW w:w="2247" w:type="dxa"/>
          </w:tcPr>
          <w:p w:rsidR="008814E4" w:rsidRPr="006A7609" w:rsidRDefault="00454CDD" w:rsidP="00CB2089">
            <w:pPr>
              <w:jc w:val="center"/>
              <w:rPr>
                <w:sz w:val="18"/>
              </w:rPr>
            </w:pPr>
            <w:r>
              <w:rPr>
                <w:sz w:val="18"/>
              </w:rPr>
              <w:t>3358</w:t>
            </w:r>
          </w:p>
        </w:tc>
      </w:tr>
      <w:tr w:rsidR="008814E4" w:rsidTr="008814E4">
        <w:tc>
          <w:tcPr>
            <w:tcW w:w="1165" w:type="dxa"/>
          </w:tcPr>
          <w:p w:rsidR="008814E4" w:rsidRPr="002D4B09" w:rsidRDefault="008814E4" w:rsidP="002D4B09">
            <w:pPr>
              <w:rPr>
                <w:b/>
              </w:rPr>
            </w:pPr>
            <w:r w:rsidRPr="002D4B09">
              <w:rPr>
                <w:b/>
              </w:rPr>
              <w:t>Median</w:t>
            </w:r>
          </w:p>
        </w:tc>
        <w:tc>
          <w:tcPr>
            <w:tcW w:w="2246" w:type="dxa"/>
          </w:tcPr>
          <w:p w:rsidR="008814E4" w:rsidRPr="006A7609" w:rsidRDefault="00454CDD" w:rsidP="00CB2089">
            <w:pPr>
              <w:jc w:val="center"/>
              <w:rPr>
                <w:sz w:val="18"/>
              </w:rPr>
            </w:pPr>
            <w:r>
              <w:rPr>
                <w:sz w:val="18"/>
              </w:rPr>
              <w:t>758100</w:t>
            </w:r>
          </w:p>
        </w:tc>
        <w:tc>
          <w:tcPr>
            <w:tcW w:w="2247" w:type="dxa"/>
          </w:tcPr>
          <w:p w:rsidR="008814E4" w:rsidRPr="006A7609" w:rsidRDefault="00454CDD" w:rsidP="00CB2089">
            <w:pPr>
              <w:jc w:val="center"/>
              <w:rPr>
                <w:sz w:val="18"/>
              </w:rPr>
            </w:pPr>
            <w:r>
              <w:rPr>
                <w:sz w:val="18"/>
              </w:rPr>
              <w:t>0</w:t>
            </w:r>
          </w:p>
        </w:tc>
        <w:tc>
          <w:tcPr>
            <w:tcW w:w="2247" w:type="dxa"/>
          </w:tcPr>
          <w:p w:rsidR="008814E4" w:rsidRPr="006A7609" w:rsidRDefault="00454CDD" w:rsidP="00CB2089">
            <w:pPr>
              <w:jc w:val="center"/>
              <w:rPr>
                <w:sz w:val="18"/>
              </w:rPr>
            </w:pPr>
            <w:r>
              <w:rPr>
                <w:sz w:val="18"/>
              </w:rPr>
              <w:t>1508</w:t>
            </w:r>
          </w:p>
        </w:tc>
      </w:tr>
      <w:tr w:rsidR="008814E4" w:rsidTr="008814E4">
        <w:tc>
          <w:tcPr>
            <w:tcW w:w="1165" w:type="dxa"/>
          </w:tcPr>
          <w:p w:rsidR="008814E4" w:rsidRPr="002D4B09" w:rsidRDefault="008814E4" w:rsidP="002D4B09">
            <w:pPr>
              <w:rPr>
                <w:b/>
              </w:rPr>
            </w:pPr>
            <w:r w:rsidRPr="002D4B09">
              <w:rPr>
                <w:b/>
              </w:rPr>
              <w:t>Min</w:t>
            </w:r>
          </w:p>
        </w:tc>
        <w:tc>
          <w:tcPr>
            <w:tcW w:w="2246" w:type="dxa"/>
          </w:tcPr>
          <w:p w:rsidR="008814E4" w:rsidRPr="006A7609" w:rsidRDefault="00454CDD" w:rsidP="00CB2089">
            <w:pPr>
              <w:jc w:val="center"/>
              <w:rPr>
                <w:sz w:val="18"/>
              </w:rPr>
            </w:pPr>
            <w:r>
              <w:rPr>
                <w:sz w:val="18"/>
              </w:rPr>
              <w:t>0</w:t>
            </w:r>
          </w:p>
        </w:tc>
        <w:tc>
          <w:tcPr>
            <w:tcW w:w="2247" w:type="dxa"/>
          </w:tcPr>
          <w:p w:rsidR="008814E4" w:rsidRPr="006A7609" w:rsidRDefault="00454CDD" w:rsidP="00CB2089">
            <w:pPr>
              <w:jc w:val="center"/>
              <w:rPr>
                <w:sz w:val="18"/>
              </w:rPr>
            </w:pPr>
            <w:r>
              <w:rPr>
                <w:sz w:val="18"/>
              </w:rPr>
              <w:t>-0.046</w:t>
            </w:r>
          </w:p>
        </w:tc>
        <w:tc>
          <w:tcPr>
            <w:tcW w:w="2247" w:type="dxa"/>
          </w:tcPr>
          <w:p w:rsidR="008814E4" w:rsidRPr="006A7609" w:rsidRDefault="00454CDD" w:rsidP="00CB2089">
            <w:pPr>
              <w:jc w:val="center"/>
              <w:rPr>
                <w:sz w:val="18"/>
              </w:rPr>
            </w:pPr>
            <w:r>
              <w:rPr>
                <w:sz w:val="18"/>
              </w:rPr>
              <w:t>0</w:t>
            </w:r>
          </w:p>
        </w:tc>
      </w:tr>
      <w:tr w:rsidR="008814E4" w:rsidTr="008814E4">
        <w:tc>
          <w:tcPr>
            <w:tcW w:w="1165" w:type="dxa"/>
          </w:tcPr>
          <w:p w:rsidR="008814E4" w:rsidRPr="002D4B09" w:rsidRDefault="008814E4" w:rsidP="002D4B09">
            <w:pPr>
              <w:rPr>
                <w:b/>
              </w:rPr>
            </w:pPr>
            <w:r w:rsidRPr="002D4B09">
              <w:rPr>
                <w:b/>
              </w:rPr>
              <w:t>Max</w:t>
            </w:r>
          </w:p>
        </w:tc>
        <w:tc>
          <w:tcPr>
            <w:tcW w:w="2246" w:type="dxa"/>
          </w:tcPr>
          <w:p w:rsidR="008814E4" w:rsidRPr="006A7609" w:rsidRDefault="00454CDD" w:rsidP="00CB2089">
            <w:pPr>
              <w:jc w:val="center"/>
              <w:rPr>
                <w:sz w:val="18"/>
              </w:rPr>
            </w:pPr>
            <w:r>
              <w:rPr>
                <w:sz w:val="18"/>
              </w:rPr>
              <w:t>7400000</w:t>
            </w:r>
          </w:p>
        </w:tc>
        <w:tc>
          <w:tcPr>
            <w:tcW w:w="2247" w:type="dxa"/>
          </w:tcPr>
          <w:p w:rsidR="008814E4" w:rsidRPr="006A7609" w:rsidRDefault="00B23A36" w:rsidP="00CB2089">
            <w:pPr>
              <w:jc w:val="center"/>
              <w:rPr>
                <w:sz w:val="18"/>
              </w:rPr>
            </w:pPr>
            <w:r>
              <w:rPr>
                <w:sz w:val="18"/>
              </w:rPr>
              <w:t>0</w:t>
            </w:r>
            <w:r w:rsidR="00454CDD">
              <w:rPr>
                <w:sz w:val="18"/>
              </w:rPr>
              <w:t>.151</w:t>
            </w:r>
          </w:p>
        </w:tc>
        <w:tc>
          <w:tcPr>
            <w:tcW w:w="2247" w:type="dxa"/>
          </w:tcPr>
          <w:p w:rsidR="008814E4" w:rsidRPr="006A7609" w:rsidRDefault="00454CDD" w:rsidP="00CB2089">
            <w:pPr>
              <w:jc w:val="center"/>
              <w:rPr>
                <w:sz w:val="18"/>
              </w:rPr>
            </w:pPr>
            <w:r>
              <w:rPr>
                <w:sz w:val="18"/>
              </w:rPr>
              <w:t>17324</w:t>
            </w:r>
          </w:p>
        </w:tc>
      </w:tr>
      <w:bookmarkEnd w:id="5"/>
    </w:tbl>
    <w:p w:rsidR="00B23A36" w:rsidRDefault="00B23A36" w:rsidP="002D4B09"/>
    <w:p w:rsidR="008814E4" w:rsidRPr="00B23A36" w:rsidRDefault="008814E4" w:rsidP="002D4B09">
      <w:pPr>
        <w:rPr>
          <w:b/>
        </w:rPr>
      </w:pPr>
      <w:r w:rsidRPr="00B23A36">
        <w:rPr>
          <w:b/>
        </w:rPr>
        <w:t>Just charities which help general public</w:t>
      </w:r>
    </w:p>
    <w:tbl>
      <w:tblPr>
        <w:tblStyle w:val="TableGrid"/>
        <w:tblW w:w="7905" w:type="dxa"/>
        <w:tblLayout w:type="fixed"/>
        <w:tblLook w:val="04A0" w:firstRow="1" w:lastRow="0" w:firstColumn="1" w:lastColumn="0" w:noHBand="0" w:noVBand="1"/>
      </w:tblPr>
      <w:tblGrid>
        <w:gridCol w:w="1165"/>
        <w:gridCol w:w="2246"/>
        <w:gridCol w:w="2247"/>
        <w:gridCol w:w="2247"/>
      </w:tblGrid>
      <w:tr w:rsidR="008814E4" w:rsidRPr="002D4B09" w:rsidTr="008814E4">
        <w:tc>
          <w:tcPr>
            <w:tcW w:w="1165" w:type="dxa"/>
            <w:tcBorders>
              <w:top w:val="nil"/>
              <w:left w:val="nil"/>
            </w:tcBorders>
          </w:tcPr>
          <w:p w:rsidR="008814E4" w:rsidRDefault="008814E4" w:rsidP="008814E4"/>
        </w:tc>
        <w:tc>
          <w:tcPr>
            <w:tcW w:w="2246" w:type="dxa"/>
          </w:tcPr>
          <w:p w:rsidR="008814E4" w:rsidRPr="002D4B09" w:rsidRDefault="008814E4" w:rsidP="008814E4">
            <w:pPr>
              <w:rPr>
                <w:b/>
              </w:rPr>
            </w:pPr>
            <w:r>
              <w:rPr>
                <w:b/>
              </w:rPr>
              <w:t>Income 2018</w:t>
            </w:r>
          </w:p>
        </w:tc>
        <w:tc>
          <w:tcPr>
            <w:tcW w:w="2247" w:type="dxa"/>
          </w:tcPr>
          <w:p w:rsidR="008814E4" w:rsidRPr="002D4B09" w:rsidRDefault="008814E4" w:rsidP="008814E4">
            <w:pPr>
              <w:rPr>
                <w:b/>
              </w:rPr>
            </w:pPr>
            <w:r>
              <w:rPr>
                <w:b/>
              </w:rPr>
              <w:t>Proportion of general public funding</w:t>
            </w:r>
          </w:p>
        </w:tc>
        <w:tc>
          <w:tcPr>
            <w:tcW w:w="2247" w:type="dxa"/>
          </w:tcPr>
          <w:p w:rsidR="008814E4" w:rsidRPr="002D4B09" w:rsidRDefault="008814E4" w:rsidP="008814E4">
            <w:pPr>
              <w:rPr>
                <w:b/>
              </w:rPr>
            </w:pPr>
            <w:r>
              <w:rPr>
                <w:b/>
              </w:rPr>
              <w:t>Twitter followers</w:t>
            </w:r>
          </w:p>
        </w:tc>
      </w:tr>
      <w:tr w:rsidR="008814E4" w:rsidRPr="006A7609" w:rsidTr="008814E4">
        <w:tc>
          <w:tcPr>
            <w:tcW w:w="1165" w:type="dxa"/>
          </w:tcPr>
          <w:p w:rsidR="008814E4" w:rsidRPr="002D4B09" w:rsidRDefault="008814E4" w:rsidP="008814E4">
            <w:pPr>
              <w:rPr>
                <w:b/>
              </w:rPr>
            </w:pPr>
            <w:r w:rsidRPr="002D4B09">
              <w:rPr>
                <w:b/>
              </w:rPr>
              <w:t>Count</w:t>
            </w:r>
          </w:p>
        </w:tc>
        <w:tc>
          <w:tcPr>
            <w:tcW w:w="2246" w:type="dxa"/>
          </w:tcPr>
          <w:p w:rsidR="008814E4" w:rsidRPr="006A7609" w:rsidRDefault="00454CDD" w:rsidP="008814E4">
            <w:pPr>
              <w:jc w:val="center"/>
              <w:rPr>
                <w:sz w:val="18"/>
              </w:rPr>
            </w:pPr>
            <w:r>
              <w:rPr>
                <w:sz w:val="18"/>
              </w:rPr>
              <w:t>4846</w:t>
            </w:r>
          </w:p>
        </w:tc>
        <w:tc>
          <w:tcPr>
            <w:tcW w:w="2247" w:type="dxa"/>
          </w:tcPr>
          <w:p w:rsidR="008814E4" w:rsidRPr="006A7609" w:rsidRDefault="00454CDD" w:rsidP="008814E4">
            <w:pPr>
              <w:jc w:val="center"/>
              <w:rPr>
                <w:sz w:val="18"/>
              </w:rPr>
            </w:pPr>
            <w:r>
              <w:rPr>
                <w:sz w:val="18"/>
              </w:rPr>
              <w:t>5544</w:t>
            </w:r>
          </w:p>
        </w:tc>
        <w:tc>
          <w:tcPr>
            <w:tcW w:w="2247" w:type="dxa"/>
          </w:tcPr>
          <w:p w:rsidR="008814E4" w:rsidRPr="006A7609" w:rsidRDefault="00454CDD" w:rsidP="008814E4">
            <w:pPr>
              <w:jc w:val="center"/>
              <w:rPr>
                <w:sz w:val="18"/>
              </w:rPr>
            </w:pPr>
            <w:r>
              <w:rPr>
                <w:sz w:val="18"/>
              </w:rPr>
              <w:t>2218</w:t>
            </w:r>
          </w:p>
        </w:tc>
      </w:tr>
      <w:tr w:rsidR="008814E4" w:rsidRPr="006A7609" w:rsidTr="008814E4">
        <w:tc>
          <w:tcPr>
            <w:tcW w:w="1165" w:type="dxa"/>
          </w:tcPr>
          <w:p w:rsidR="008814E4" w:rsidRPr="002D4B09" w:rsidRDefault="008814E4" w:rsidP="008814E4">
            <w:pPr>
              <w:rPr>
                <w:b/>
              </w:rPr>
            </w:pPr>
            <w:r w:rsidRPr="002D4B09">
              <w:rPr>
                <w:b/>
              </w:rPr>
              <w:t>Mean</w:t>
            </w:r>
          </w:p>
        </w:tc>
        <w:tc>
          <w:tcPr>
            <w:tcW w:w="2246" w:type="dxa"/>
          </w:tcPr>
          <w:p w:rsidR="008814E4" w:rsidRPr="006A7609" w:rsidRDefault="00454CDD" w:rsidP="008814E4">
            <w:pPr>
              <w:jc w:val="center"/>
              <w:rPr>
                <w:sz w:val="18"/>
              </w:rPr>
            </w:pPr>
            <w:r>
              <w:rPr>
                <w:sz w:val="18"/>
              </w:rPr>
              <w:t>1297389</w:t>
            </w:r>
          </w:p>
        </w:tc>
        <w:tc>
          <w:tcPr>
            <w:tcW w:w="2247" w:type="dxa"/>
          </w:tcPr>
          <w:p w:rsidR="008814E4" w:rsidRPr="006A7609" w:rsidRDefault="00454CDD" w:rsidP="008814E4">
            <w:pPr>
              <w:jc w:val="center"/>
              <w:rPr>
                <w:sz w:val="18"/>
              </w:rPr>
            </w:pPr>
            <w:r>
              <w:rPr>
                <w:sz w:val="18"/>
              </w:rPr>
              <w:t>0.018</w:t>
            </w:r>
          </w:p>
        </w:tc>
        <w:tc>
          <w:tcPr>
            <w:tcW w:w="2247" w:type="dxa"/>
          </w:tcPr>
          <w:p w:rsidR="008814E4" w:rsidRPr="006A7609" w:rsidRDefault="00454CDD" w:rsidP="008814E4">
            <w:pPr>
              <w:jc w:val="center"/>
              <w:rPr>
                <w:sz w:val="18"/>
              </w:rPr>
            </w:pPr>
            <w:r>
              <w:rPr>
                <w:sz w:val="18"/>
              </w:rPr>
              <w:t>3788</w:t>
            </w:r>
          </w:p>
        </w:tc>
      </w:tr>
      <w:tr w:rsidR="008814E4" w:rsidRPr="006A7609" w:rsidTr="008814E4">
        <w:tc>
          <w:tcPr>
            <w:tcW w:w="1165" w:type="dxa"/>
          </w:tcPr>
          <w:p w:rsidR="008814E4" w:rsidRPr="002D4B09" w:rsidRDefault="008814E4" w:rsidP="008814E4">
            <w:pPr>
              <w:rPr>
                <w:b/>
              </w:rPr>
            </w:pPr>
            <w:proofErr w:type="spellStart"/>
            <w:r w:rsidRPr="002D4B09">
              <w:rPr>
                <w:b/>
              </w:rPr>
              <w:t>Std</w:t>
            </w:r>
            <w:proofErr w:type="spellEnd"/>
          </w:p>
        </w:tc>
        <w:tc>
          <w:tcPr>
            <w:tcW w:w="2246" w:type="dxa"/>
          </w:tcPr>
          <w:p w:rsidR="008814E4" w:rsidRPr="006A7609" w:rsidRDefault="00454CDD" w:rsidP="008814E4">
            <w:pPr>
              <w:jc w:val="center"/>
              <w:rPr>
                <w:sz w:val="18"/>
              </w:rPr>
            </w:pPr>
            <w:r>
              <w:rPr>
                <w:sz w:val="18"/>
              </w:rPr>
              <w:t>1622773</w:t>
            </w:r>
          </w:p>
        </w:tc>
        <w:tc>
          <w:tcPr>
            <w:tcW w:w="2247" w:type="dxa"/>
          </w:tcPr>
          <w:p w:rsidR="008814E4" w:rsidRPr="006A7609" w:rsidRDefault="00454CDD" w:rsidP="008814E4">
            <w:pPr>
              <w:jc w:val="center"/>
              <w:rPr>
                <w:sz w:val="18"/>
              </w:rPr>
            </w:pPr>
            <w:r>
              <w:rPr>
                <w:sz w:val="18"/>
              </w:rPr>
              <w:t>0.034</w:t>
            </w:r>
          </w:p>
        </w:tc>
        <w:tc>
          <w:tcPr>
            <w:tcW w:w="2247" w:type="dxa"/>
          </w:tcPr>
          <w:p w:rsidR="008814E4" w:rsidRPr="006A7609" w:rsidRDefault="00454CDD" w:rsidP="008814E4">
            <w:pPr>
              <w:jc w:val="center"/>
              <w:rPr>
                <w:sz w:val="18"/>
              </w:rPr>
            </w:pPr>
            <w:r>
              <w:rPr>
                <w:sz w:val="18"/>
              </w:rPr>
              <w:t>4118</w:t>
            </w:r>
          </w:p>
        </w:tc>
      </w:tr>
      <w:tr w:rsidR="008814E4" w:rsidRPr="006A7609" w:rsidTr="008814E4">
        <w:tc>
          <w:tcPr>
            <w:tcW w:w="1165" w:type="dxa"/>
          </w:tcPr>
          <w:p w:rsidR="008814E4" w:rsidRPr="002D4B09" w:rsidRDefault="008814E4" w:rsidP="008814E4">
            <w:pPr>
              <w:rPr>
                <w:b/>
              </w:rPr>
            </w:pPr>
            <w:r w:rsidRPr="002D4B09">
              <w:rPr>
                <w:b/>
              </w:rPr>
              <w:t>Median</w:t>
            </w:r>
          </w:p>
        </w:tc>
        <w:tc>
          <w:tcPr>
            <w:tcW w:w="2246" w:type="dxa"/>
          </w:tcPr>
          <w:p w:rsidR="008814E4" w:rsidRPr="006A7609" w:rsidRDefault="00454CDD" w:rsidP="008814E4">
            <w:pPr>
              <w:jc w:val="center"/>
              <w:rPr>
                <w:sz w:val="18"/>
              </w:rPr>
            </w:pPr>
            <w:r>
              <w:rPr>
                <w:sz w:val="18"/>
              </w:rPr>
              <w:t>664300</w:t>
            </w:r>
          </w:p>
        </w:tc>
        <w:tc>
          <w:tcPr>
            <w:tcW w:w="2247" w:type="dxa"/>
          </w:tcPr>
          <w:p w:rsidR="008814E4" w:rsidRPr="006A7609" w:rsidRDefault="00454CDD" w:rsidP="008814E4">
            <w:pPr>
              <w:jc w:val="center"/>
              <w:rPr>
                <w:sz w:val="18"/>
              </w:rPr>
            </w:pPr>
            <w:r>
              <w:rPr>
                <w:sz w:val="18"/>
              </w:rPr>
              <w:t>0</w:t>
            </w:r>
          </w:p>
        </w:tc>
        <w:tc>
          <w:tcPr>
            <w:tcW w:w="2247" w:type="dxa"/>
          </w:tcPr>
          <w:p w:rsidR="008814E4" w:rsidRPr="006A7609" w:rsidRDefault="00454CDD" w:rsidP="008814E4">
            <w:pPr>
              <w:jc w:val="center"/>
              <w:rPr>
                <w:sz w:val="18"/>
              </w:rPr>
            </w:pPr>
            <w:r>
              <w:rPr>
                <w:sz w:val="18"/>
              </w:rPr>
              <w:t>2134</w:t>
            </w:r>
          </w:p>
        </w:tc>
      </w:tr>
      <w:tr w:rsidR="008814E4" w:rsidRPr="006A7609" w:rsidTr="008814E4">
        <w:tc>
          <w:tcPr>
            <w:tcW w:w="1165" w:type="dxa"/>
          </w:tcPr>
          <w:p w:rsidR="008814E4" w:rsidRPr="002D4B09" w:rsidRDefault="008814E4" w:rsidP="008814E4">
            <w:pPr>
              <w:rPr>
                <w:b/>
              </w:rPr>
            </w:pPr>
            <w:r w:rsidRPr="002D4B09">
              <w:rPr>
                <w:b/>
              </w:rPr>
              <w:t>Min</w:t>
            </w:r>
          </w:p>
        </w:tc>
        <w:tc>
          <w:tcPr>
            <w:tcW w:w="2246" w:type="dxa"/>
          </w:tcPr>
          <w:p w:rsidR="008814E4" w:rsidRPr="006A7609" w:rsidRDefault="00454CDD" w:rsidP="008814E4">
            <w:pPr>
              <w:jc w:val="center"/>
              <w:rPr>
                <w:sz w:val="18"/>
              </w:rPr>
            </w:pPr>
            <w:r>
              <w:rPr>
                <w:sz w:val="18"/>
              </w:rPr>
              <w:t>0</w:t>
            </w:r>
          </w:p>
        </w:tc>
        <w:tc>
          <w:tcPr>
            <w:tcW w:w="2247" w:type="dxa"/>
          </w:tcPr>
          <w:p w:rsidR="008814E4" w:rsidRPr="006A7609" w:rsidRDefault="00454CDD" w:rsidP="008814E4">
            <w:pPr>
              <w:jc w:val="center"/>
              <w:rPr>
                <w:sz w:val="18"/>
              </w:rPr>
            </w:pPr>
            <w:r>
              <w:rPr>
                <w:sz w:val="18"/>
              </w:rPr>
              <w:t>-0.024</w:t>
            </w:r>
          </w:p>
        </w:tc>
        <w:tc>
          <w:tcPr>
            <w:tcW w:w="2247" w:type="dxa"/>
          </w:tcPr>
          <w:p w:rsidR="008814E4" w:rsidRPr="006A7609" w:rsidRDefault="00454CDD" w:rsidP="008814E4">
            <w:pPr>
              <w:jc w:val="center"/>
              <w:rPr>
                <w:sz w:val="18"/>
              </w:rPr>
            </w:pPr>
            <w:r>
              <w:rPr>
                <w:sz w:val="18"/>
              </w:rPr>
              <w:t>0</w:t>
            </w:r>
          </w:p>
        </w:tc>
      </w:tr>
      <w:tr w:rsidR="008814E4" w:rsidRPr="006A7609" w:rsidTr="008814E4">
        <w:tc>
          <w:tcPr>
            <w:tcW w:w="1165" w:type="dxa"/>
          </w:tcPr>
          <w:p w:rsidR="008814E4" w:rsidRPr="002D4B09" w:rsidRDefault="008814E4" w:rsidP="008814E4">
            <w:pPr>
              <w:rPr>
                <w:b/>
              </w:rPr>
            </w:pPr>
            <w:r w:rsidRPr="002D4B09">
              <w:rPr>
                <w:b/>
              </w:rPr>
              <w:t>Max</w:t>
            </w:r>
          </w:p>
        </w:tc>
        <w:tc>
          <w:tcPr>
            <w:tcW w:w="2246" w:type="dxa"/>
          </w:tcPr>
          <w:p w:rsidR="008814E4" w:rsidRPr="006A7609" w:rsidRDefault="00454CDD" w:rsidP="008814E4">
            <w:pPr>
              <w:jc w:val="center"/>
              <w:rPr>
                <w:sz w:val="18"/>
              </w:rPr>
            </w:pPr>
            <w:r>
              <w:rPr>
                <w:sz w:val="18"/>
              </w:rPr>
              <w:t>7400000</w:t>
            </w:r>
          </w:p>
        </w:tc>
        <w:tc>
          <w:tcPr>
            <w:tcW w:w="2247" w:type="dxa"/>
          </w:tcPr>
          <w:p w:rsidR="008814E4" w:rsidRPr="006A7609" w:rsidRDefault="00454CDD" w:rsidP="008814E4">
            <w:pPr>
              <w:jc w:val="center"/>
              <w:rPr>
                <w:sz w:val="18"/>
              </w:rPr>
            </w:pPr>
            <w:r>
              <w:rPr>
                <w:sz w:val="18"/>
              </w:rPr>
              <w:t>0.151</w:t>
            </w:r>
          </w:p>
        </w:tc>
        <w:tc>
          <w:tcPr>
            <w:tcW w:w="2247" w:type="dxa"/>
          </w:tcPr>
          <w:p w:rsidR="008814E4" w:rsidRPr="006A7609" w:rsidRDefault="00454CDD" w:rsidP="008814E4">
            <w:pPr>
              <w:jc w:val="center"/>
              <w:rPr>
                <w:sz w:val="18"/>
              </w:rPr>
            </w:pPr>
            <w:r>
              <w:rPr>
                <w:sz w:val="18"/>
              </w:rPr>
              <w:t>17446</w:t>
            </w:r>
          </w:p>
        </w:tc>
      </w:tr>
    </w:tbl>
    <w:p w:rsidR="00DD5DE7" w:rsidRDefault="00DD5DE7"/>
    <w:p w:rsidR="00B23A36" w:rsidRDefault="00B23A36" w:rsidP="00B23A36">
      <w:r>
        <w:t xml:space="preserve">The summary tables above are split by the binary </w:t>
      </w:r>
      <w:r>
        <w:t>‘Helps the general public’ variable</w:t>
      </w:r>
      <w:r w:rsidR="006E3920">
        <w:t xml:space="preserve"> to show how these groups differ in terms of funding and popularity on Twitter. </w:t>
      </w:r>
      <w:r w:rsidR="00D2358B">
        <w:t xml:space="preserve">As shown, charities which do help the general public tend to have slightly lower incomes, but gain more of their income from public funding. Most importantly they appear to </w:t>
      </w:r>
      <w:proofErr w:type="gramStart"/>
      <w:r w:rsidR="00D2358B">
        <w:t>have  more</w:t>
      </w:r>
      <w:proofErr w:type="gramEnd"/>
      <w:r w:rsidR="00D2358B">
        <w:t xml:space="preserve"> followers on Twitter, but this will be fully explored in the modelling.</w:t>
      </w:r>
    </w:p>
    <w:p w:rsidR="00593BB4" w:rsidRDefault="007F4A29">
      <w:r w:rsidRPr="007F4A29">
        <w:rPr>
          <w:noProof/>
          <w:lang w:eastAsia="en-GB"/>
        </w:rPr>
        <w:lastRenderedPageBreak/>
        <w:drawing>
          <wp:inline distT="0" distB="0" distL="0" distR="0">
            <wp:extent cx="3552825" cy="2642259"/>
            <wp:effectExtent l="0" t="0" r="0" b="5715"/>
            <wp:docPr id="1" name="Picture 1" descr="C:\Users\tw18\Dropbox\2PostyGrady_theReturn\ITNPBD2_Representing_Data\Group_project\Python\zAnalysis test\RQ2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8\Dropbox\2PostyGrady_theReturn\ITNPBD2_Representing_Data\Group_project\Python\zAnalysis test\RQ2 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877" cy="2652710"/>
                    </a:xfrm>
                    <a:prstGeom prst="rect">
                      <a:avLst/>
                    </a:prstGeom>
                    <a:noFill/>
                    <a:ln>
                      <a:noFill/>
                    </a:ln>
                  </pic:spPr>
                </pic:pic>
              </a:graphicData>
            </a:graphic>
          </wp:inline>
        </w:drawing>
      </w:r>
    </w:p>
    <w:p w:rsidR="007F4A29" w:rsidRDefault="00D2358B">
      <w:r>
        <w:t>This histogram shows the distribution of twitter followers after it had been treated for outliers. The distribution is half normal but is not overly afflicted with outliers and should be suitable for modelling.</w:t>
      </w:r>
    </w:p>
    <w:p w:rsidR="00D2358B" w:rsidRDefault="00D2358B"/>
    <w:p w:rsidR="002D4B09" w:rsidRDefault="002D4B09" w:rsidP="002D4B09">
      <w:pPr>
        <w:pStyle w:val="Heading2"/>
      </w:pPr>
      <w:r>
        <w:t>Multivariate</w:t>
      </w:r>
      <w:r w:rsidR="00943AED">
        <w:t xml:space="preserve"> modelling</w:t>
      </w:r>
    </w:p>
    <w:p w:rsidR="008D3AEF" w:rsidRDefault="008D3AEF" w:rsidP="00C45E5B"/>
    <w:tbl>
      <w:tblPr>
        <w:tblStyle w:val="TableGrid"/>
        <w:tblW w:w="0" w:type="auto"/>
        <w:tblLook w:val="04A0" w:firstRow="1" w:lastRow="0" w:firstColumn="1" w:lastColumn="0" w:noHBand="0" w:noVBand="1"/>
      </w:tblPr>
      <w:tblGrid>
        <w:gridCol w:w="2091"/>
        <w:gridCol w:w="2091"/>
        <w:gridCol w:w="2091"/>
        <w:gridCol w:w="2091"/>
      </w:tblGrid>
      <w:tr w:rsidR="008D3AEF" w:rsidTr="009B0B30">
        <w:tc>
          <w:tcPr>
            <w:tcW w:w="2091" w:type="dxa"/>
          </w:tcPr>
          <w:p w:rsidR="008D3AEF" w:rsidRPr="008D3AEF" w:rsidRDefault="008D3AEF" w:rsidP="00523C93">
            <w:bookmarkStart w:id="6" w:name="OLE_LINK86"/>
            <w:bookmarkStart w:id="7" w:name="OLE_LINK87"/>
            <w:r w:rsidRPr="008D3AEF">
              <w:rPr>
                <w:b/>
              </w:rPr>
              <w:t>Dependent</w:t>
            </w:r>
            <w:r w:rsidRPr="008D3AEF">
              <w:t xml:space="preserve">: </w:t>
            </w:r>
            <w:r w:rsidR="00454CDD">
              <w:t>Twitter followers</w:t>
            </w:r>
          </w:p>
        </w:tc>
        <w:tc>
          <w:tcPr>
            <w:tcW w:w="2091" w:type="dxa"/>
          </w:tcPr>
          <w:p w:rsidR="008D3AEF" w:rsidRPr="008D3AEF" w:rsidRDefault="008D3AEF" w:rsidP="009B0B30">
            <w:pPr>
              <w:rPr>
                <w:b/>
              </w:rPr>
            </w:pPr>
            <w:r w:rsidRPr="008D3AEF">
              <w:rPr>
                <w:b/>
              </w:rPr>
              <w:t>Coef.</w:t>
            </w:r>
          </w:p>
        </w:tc>
        <w:tc>
          <w:tcPr>
            <w:tcW w:w="2091" w:type="dxa"/>
          </w:tcPr>
          <w:p w:rsidR="008D3AEF" w:rsidRPr="008D3AEF" w:rsidRDefault="008D3AEF" w:rsidP="009B0B30">
            <w:pPr>
              <w:rPr>
                <w:b/>
              </w:rPr>
            </w:pPr>
            <w:proofErr w:type="spellStart"/>
            <w:r w:rsidRPr="008D3AEF">
              <w:rPr>
                <w:b/>
              </w:rPr>
              <w:t>Std</w:t>
            </w:r>
            <w:proofErr w:type="spellEnd"/>
            <w:r w:rsidRPr="008D3AEF">
              <w:rPr>
                <w:b/>
              </w:rPr>
              <w:t xml:space="preserve"> error</w:t>
            </w:r>
          </w:p>
        </w:tc>
        <w:tc>
          <w:tcPr>
            <w:tcW w:w="2091" w:type="dxa"/>
          </w:tcPr>
          <w:p w:rsidR="008D3AEF" w:rsidRPr="008D3AEF" w:rsidRDefault="008D3AEF" w:rsidP="009B0B30">
            <w:pPr>
              <w:rPr>
                <w:b/>
              </w:rPr>
            </w:pPr>
            <w:r w:rsidRPr="008D3AEF">
              <w:rPr>
                <w:b/>
              </w:rPr>
              <w:t>P&gt;|t|</w:t>
            </w:r>
          </w:p>
        </w:tc>
      </w:tr>
      <w:tr w:rsidR="008D3AEF" w:rsidTr="009B0B30">
        <w:tc>
          <w:tcPr>
            <w:tcW w:w="2091" w:type="dxa"/>
          </w:tcPr>
          <w:p w:rsidR="008D3AEF" w:rsidRPr="008D3AEF" w:rsidRDefault="00454CDD" w:rsidP="009B0B30">
            <w:bookmarkStart w:id="8" w:name="_Hlk529864277"/>
            <w:r>
              <w:t>Helps general public</w:t>
            </w:r>
          </w:p>
        </w:tc>
        <w:tc>
          <w:tcPr>
            <w:tcW w:w="2091" w:type="dxa"/>
          </w:tcPr>
          <w:p w:rsidR="008D3AEF" w:rsidRDefault="00454CDD" w:rsidP="009B0B30">
            <w:r>
              <w:t>1193</w:t>
            </w:r>
          </w:p>
        </w:tc>
        <w:tc>
          <w:tcPr>
            <w:tcW w:w="2091" w:type="dxa"/>
          </w:tcPr>
          <w:p w:rsidR="008D3AEF" w:rsidRDefault="00454CDD" w:rsidP="009B0B30">
            <w:r>
              <w:t>121</w:t>
            </w:r>
          </w:p>
        </w:tc>
        <w:tc>
          <w:tcPr>
            <w:tcW w:w="2091" w:type="dxa"/>
          </w:tcPr>
          <w:p w:rsidR="008D3AEF" w:rsidRDefault="00454CDD" w:rsidP="009B0B30">
            <w:r>
              <w:t>0.000</w:t>
            </w:r>
          </w:p>
        </w:tc>
      </w:tr>
      <w:tr w:rsidR="008D3AEF" w:rsidTr="009B0B30">
        <w:tc>
          <w:tcPr>
            <w:tcW w:w="2091" w:type="dxa"/>
          </w:tcPr>
          <w:p w:rsidR="008D3AEF" w:rsidRPr="008D3AEF" w:rsidRDefault="00454CDD" w:rsidP="009B0B30">
            <w:r>
              <w:t>Income 2018</w:t>
            </w:r>
          </w:p>
        </w:tc>
        <w:tc>
          <w:tcPr>
            <w:tcW w:w="2091" w:type="dxa"/>
          </w:tcPr>
          <w:p w:rsidR="008D3AEF" w:rsidRDefault="00454CDD" w:rsidP="00454CDD">
            <w:r>
              <w:t>0.000</w:t>
            </w:r>
          </w:p>
        </w:tc>
        <w:tc>
          <w:tcPr>
            <w:tcW w:w="2091" w:type="dxa"/>
          </w:tcPr>
          <w:p w:rsidR="008D3AEF" w:rsidRDefault="00454CDD" w:rsidP="00454CDD">
            <w:r>
              <w:t>0.000</w:t>
            </w:r>
          </w:p>
        </w:tc>
        <w:tc>
          <w:tcPr>
            <w:tcW w:w="2091" w:type="dxa"/>
          </w:tcPr>
          <w:p w:rsidR="008D3AEF" w:rsidRDefault="00454CDD" w:rsidP="009B0B30">
            <w:r>
              <w:t>0.000</w:t>
            </w:r>
          </w:p>
        </w:tc>
      </w:tr>
      <w:tr w:rsidR="008D3AEF" w:rsidTr="009B0B30">
        <w:tc>
          <w:tcPr>
            <w:tcW w:w="2091" w:type="dxa"/>
          </w:tcPr>
          <w:p w:rsidR="008D3AEF" w:rsidRDefault="00454CDD" w:rsidP="009B0B30">
            <w:r>
              <w:t>Constant</w:t>
            </w:r>
          </w:p>
        </w:tc>
        <w:tc>
          <w:tcPr>
            <w:tcW w:w="2091" w:type="dxa"/>
          </w:tcPr>
          <w:p w:rsidR="008D3AEF" w:rsidRDefault="00454CDD" w:rsidP="009B0B30">
            <w:r>
              <w:t>1632</w:t>
            </w:r>
          </w:p>
        </w:tc>
        <w:tc>
          <w:tcPr>
            <w:tcW w:w="2091" w:type="dxa"/>
          </w:tcPr>
          <w:p w:rsidR="008D3AEF" w:rsidRDefault="00454CDD" w:rsidP="009B0B30">
            <w:r>
              <w:t>110</w:t>
            </w:r>
          </w:p>
        </w:tc>
        <w:tc>
          <w:tcPr>
            <w:tcW w:w="2091" w:type="dxa"/>
          </w:tcPr>
          <w:p w:rsidR="008D3AEF" w:rsidRDefault="00454CDD" w:rsidP="009B0B30">
            <w:r>
              <w:t>0.000</w:t>
            </w:r>
          </w:p>
        </w:tc>
      </w:tr>
    </w:tbl>
    <w:bookmarkEnd w:id="8"/>
    <w:p w:rsidR="008D3AEF" w:rsidRPr="00C45E5B" w:rsidRDefault="008D3AEF" w:rsidP="008D3AEF">
      <w:r>
        <w:t>R-squared 0.</w:t>
      </w:r>
      <w:r w:rsidR="00454CDD">
        <w:t>064</w:t>
      </w:r>
      <w:r>
        <w:tab/>
        <w:t xml:space="preserve">Prob = </w:t>
      </w:r>
      <w:r w:rsidR="00382B60">
        <w:t>0.</w:t>
      </w:r>
      <w:r w:rsidR="00454CDD">
        <w:t>000</w:t>
      </w:r>
      <w:r>
        <w:tab/>
        <w:t>AIC =</w:t>
      </w:r>
      <w:r w:rsidR="00454CDD">
        <w:t>68230</w:t>
      </w:r>
      <w:r>
        <w:tab/>
        <w:t>BIC =</w:t>
      </w:r>
      <w:r w:rsidR="00454CDD">
        <w:t>68250</w:t>
      </w:r>
      <w:r>
        <w:t xml:space="preserve"> </w:t>
      </w:r>
    </w:p>
    <w:bookmarkEnd w:id="6"/>
    <w:bookmarkEnd w:id="7"/>
    <w:p w:rsidR="00382B60" w:rsidRDefault="00382B60" w:rsidP="00C45E5B"/>
    <w:p w:rsidR="00995416" w:rsidRDefault="00995416" w:rsidP="00DA020F">
      <w:r>
        <w:t>This first model is an OLS model</w:t>
      </w:r>
      <w:r w:rsidR="00D2358B">
        <w:t xml:space="preserve"> which predicts number of Twitter followers (popularity) based on </w:t>
      </w:r>
      <w:r w:rsidR="00DA020F">
        <w:t xml:space="preserve">whether the charity helps the general public. Income is included as a control for size which usually has a large effect on Twitter popularity. Both the </w:t>
      </w:r>
      <w:bookmarkStart w:id="9" w:name="OLE_LINK3"/>
      <w:bookmarkStart w:id="10" w:name="OLE_LINK4"/>
      <w:r w:rsidR="00DA020F">
        <w:t xml:space="preserve">primary </w:t>
      </w:r>
      <w:bookmarkEnd w:id="9"/>
      <w:bookmarkEnd w:id="10"/>
      <w:r w:rsidR="00DA020F">
        <w:t xml:space="preserve">independent and the control are significant in this model. The </w:t>
      </w:r>
      <w:r w:rsidR="00DA020F">
        <w:t>primary</w:t>
      </w:r>
      <w:r w:rsidR="00DA020F">
        <w:t xml:space="preserve"> is binary which means the result of 1193 means that charities which help the general public, on average, have 1193 more twitter followers than those who do not – controlling for size.</w:t>
      </w:r>
      <w:r w:rsidR="003977C2">
        <w:t xml:space="preserve"> This suggests public facing charities may be more likely to maintain a popular twitter account to engage with the public.</w:t>
      </w:r>
      <w:bookmarkStart w:id="11" w:name="_GoBack"/>
      <w:bookmarkEnd w:id="11"/>
    </w:p>
    <w:sectPr w:rsidR="00995416" w:rsidSect="002D4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AA681D"/>
    <w:multiLevelType w:val="hybridMultilevel"/>
    <w:tmpl w:val="14242920"/>
    <w:lvl w:ilvl="0" w:tplc="0809000F">
      <w:start w:val="3"/>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U0N7YwMzcyMjcxtDBS0lEKTi0uzszPAykwrQUA5aADWSwAAAA="/>
  </w:docVars>
  <w:rsids>
    <w:rsidRoot w:val="00070EDE"/>
    <w:rsid w:val="00000BF3"/>
    <w:rsid w:val="00013F62"/>
    <w:rsid w:val="0001462E"/>
    <w:rsid w:val="00020A53"/>
    <w:rsid w:val="00024632"/>
    <w:rsid w:val="000430CE"/>
    <w:rsid w:val="00052E0A"/>
    <w:rsid w:val="00056F56"/>
    <w:rsid w:val="000627E5"/>
    <w:rsid w:val="00065ABB"/>
    <w:rsid w:val="00070EDE"/>
    <w:rsid w:val="000722AD"/>
    <w:rsid w:val="000726E8"/>
    <w:rsid w:val="00073A40"/>
    <w:rsid w:val="000762C8"/>
    <w:rsid w:val="00080BAB"/>
    <w:rsid w:val="000854E1"/>
    <w:rsid w:val="00086AB0"/>
    <w:rsid w:val="00091329"/>
    <w:rsid w:val="000942FB"/>
    <w:rsid w:val="000A0FC9"/>
    <w:rsid w:val="000A5D1C"/>
    <w:rsid w:val="000C56FA"/>
    <w:rsid w:val="000D7308"/>
    <w:rsid w:val="000E0C15"/>
    <w:rsid w:val="00103915"/>
    <w:rsid w:val="00114B7A"/>
    <w:rsid w:val="00121959"/>
    <w:rsid w:val="001259B1"/>
    <w:rsid w:val="00131CC9"/>
    <w:rsid w:val="00135DAE"/>
    <w:rsid w:val="00145256"/>
    <w:rsid w:val="00150671"/>
    <w:rsid w:val="00157B58"/>
    <w:rsid w:val="00161875"/>
    <w:rsid w:val="00163FF9"/>
    <w:rsid w:val="00167DE4"/>
    <w:rsid w:val="00175679"/>
    <w:rsid w:val="00184504"/>
    <w:rsid w:val="00193045"/>
    <w:rsid w:val="001937F1"/>
    <w:rsid w:val="001A0743"/>
    <w:rsid w:val="001A13F3"/>
    <w:rsid w:val="001A3618"/>
    <w:rsid w:val="001A65EE"/>
    <w:rsid w:val="001B1755"/>
    <w:rsid w:val="001B30F4"/>
    <w:rsid w:val="001C2C78"/>
    <w:rsid w:val="001D0D7B"/>
    <w:rsid w:val="001D1014"/>
    <w:rsid w:val="001D1528"/>
    <w:rsid w:val="001D2434"/>
    <w:rsid w:val="001D592F"/>
    <w:rsid w:val="001D66CD"/>
    <w:rsid w:val="001D66F7"/>
    <w:rsid w:val="001E07F5"/>
    <w:rsid w:val="001E7B61"/>
    <w:rsid w:val="001E7E09"/>
    <w:rsid w:val="001F3CF4"/>
    <w:rsid w:val="001F4812"/>
    <w:rsid w:val="001F5D9B"/>
    <w:rsid w:val="001F679F"/>
    <w:rsid w:val="001F706B"/>
    <w:rsid w:val="00207384"/>
    <w:rsid w:val="00212023"/>
    <w:rsid w:val="00221D6C"/>
    <w:rsid w:val="0023015B"/>
    <w:rsid w:val="0023068F"/>
    <w:rsid w:val="0025075A"/>
    <w:rsid w:val="002526F3"/>
    <w:rsid w:val="00253863"/>
    <w:rsid w:val="00253B44"/>
    <w:rsid w:val="00256082"/>
    <w:rsid w:val="00277037"/>
    <w:rsid w:val="002773C2"/>
    <w:rsid w:val="0028093E"/>
    <w:rsid w:val="00291A0F"/>
    <w:rsid w:val="0029210E"/>
    <w:rsid w:val="002930F0"/>
    <w:rsid w:val="002955D2"/>
    <w:rsid w:val="002969DB"/>
    <w:rsid w:val="002A519F"/>
    <w:rsid w:val="002B20DF"/>
    <w:rsid w:val="002B44A4"/>
    <w:rsid w:val="002B4920"/>
    <w:rsid w:val="002B4CE2"/>
    <w:rsid w:val="002D4B09"/>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21E2C"/>
    <w:rsid w:val="00332F55"/>
    <w:rsid w:val="003336AE"/>
    <w:rsid w:val="003410C4"/>
    <w:rsid w:val="00353B75"/>
    <w:rsid w:val="0035776C"/>
    <w:rsid w:val="0036391B"/>
    <w:rsid w:val="00366B8D"/>
    <w:rsid w:val="003707DB"/>
    <w:rsid w:val="0037543F"/>
    <w:rsid w:val="00375695"/>
    <w:rsid w:val="003823E5"/>
    <w:rsid w:val="00382B60"/>
    <w:rsid w:val="003840A0"/>
    <w:rsid w:val="0038428C"/>
    <w:rsid w:val="00385860"/>
    <w:rsid w:val="00393456"/>
    <w:rsid w:val="00394A4A"/>
    <w:rsid w:val="003956C1"/>
    <w:rsid w:val="00395D85"/>
    <w:rsid w:val="003977C2"/>
    <w:rsid w:val="003A2A7C"/>
    <w:rsid w:val="003A46B3"/>
    <w:rsid w:val="003B2C27"/>
    <w:rsid w:val="003C4122"/>
    <w:rsid w:val="003F3EC2"/>
    <w:rsid w:val="00402219"/>
    <w:rsid w:val="00407501"/>
    <w:rsid w:val="004143B2"/>
    <w:rsid w:val="00420568"/>
    <w:rsid w:val="00420CB5"/>
    <w:rsid w:val="004252DA"/>
    <w:rsid w:val="00434902"/>
    <w:rsid w:val="00437042"/>
    <w:rsid w:val="00440E95"/>
    <w:rsid w:val="004410BF"/>
    <w:rsid w:val="0044296B"/>
    <w:rsid w:val="00442B73"/>
    <w:rsid w:val="004529DD"/>
    <w:rsid w:val="00454CDD"/>
    <w:rsid w:val="0045517E"/>
    <w:rsid w:val="00455451"/>
    <w:rsid w:val="00464577"/>
    <w:rsid w:val="00475F66"/>
    <w:rsid w:val="0048040D"/>
    <w:rsid w:val="004833DB"/>
    <w:rsid w:val="004912FB"/>
    <w:rsid w:val="0049226F"/>
    <w:rsid w:val="00496202"/>
    <w:rsid w:val="004A20A3"/>
    <w:rsid w:val="004C1949"/>
    <w:rsid w:val="004C3108"/>
    <w:rsid w:val="004D2522"/>
    <w:rsid w:val="004E02CE"/>
    <w:rsid w:val="004E77AE"/>
    <w:rsid w:val="00507DDF"/>
    <w:rsid w:val="0051050A"/>
    <w:rsid w:val="005143A0"/>
    <w:rsid w:val="00514927"/>
    <w:rsid w:val="00523C93"/>
    <w:rsid w:val="005314DC"/>
    <w:rsid w:val="005321A7"/>
    <w:rsid w:val="005379F1"/>
    <w:rsid w:val="00540835"/>
    <w:rsid w:val="005450C6"/>
    <w:rsid w:val="0055267D"/>
    <w:rsid w:val="00560FFA"/>
    <w:rsid w:val="005625AC"/>
    <w:rsid w:val="005644BB"/>
    <w:rsid w:val="00585002"/>
    <w:rsid w:val="005859A0"/>
    <w:rsid w:val="00587D6E"/>
    <w:rsid w:val="0059316C"/>
    <w:rsid w:val="00593BB4"/>
    <w:rsid w:val="005B0430"/>
    <w:rsid w:val="005B13A7"/>
    <w:rsid w:val="005B4442"/>
    <w:rsid w:val="005B7E19"/>
    <w:rsid w:val="005C08A5"/>
    <w:rsid w:val="005C2F84"/>
    <w:rsid w:val="005D09D6"/>
    <w:rsid w:val="005D20E0"/>
    <w:rsid w:val="005D4C66"/>
    <w:rsid w:val="005E3036"/>
    <w:rsid w:val="005E33AC"/>
    <w:rsid w:val="005E4414"/>
    <w:rsid w:val="0060135C"/>
    <w:rsid w:val="0060754B"/>
    <w:rsid w:val="00612FC2"/>
    <w:rsid w:val="006132DF"/>
    <w:rsid w:val="00620A67"/>
    <w:rsid w:val="00620D49"/>
    <w:rsid w:val="0062285B"/>
    <w:rsid w:val="00627329"/>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A7609"/>
    <w:rsid w:val="006C2AF1"/>
    <w:rsid w:val="006C54F9"/>
    <w:rsid w:val="006D1BA3"/>
    <w:rsid w:val="006D42B6"/>
    <w:rsid w:val="006D5201"/>
    <w:rsid w:val="006D6F04"/>
    <w:rsid w:val="006E1CF2"/>
    <w:rsid w:val="006E2CF3"/>
    <w:rsid w:val="006E3920"/>
    <w:rsid w:val="006E4385"/>
    <w:rsid w:val="006E4CD2"/>
    <w:rsid w:val="006E65C0"/>
    <w:rsid w:val="006E787D"/>
    <w:rsid w:val="006F39DE"/>
    <w:rsid w:val="006F72FD"/>
    <w:rsid w:val="00702694"/>
    <w:rsid w:val="00712EBB"/>
    <w:rsid w:val="00734DC9"/>
    <w:rsid w:val="007514BD"/>
    <w:rsid w:val="00754DF6"/>
    <w:rsid w:val="007647EA"/>
    <w:rsid w:val="007650AA"/>
    <w:rsid w:val="00765C05"/>
    <w:rsid w:val="00766D1D"/>
    <w:rsid w:val="007810FA"/>
    <w:rsid w:val="00781C8B"/>
    <w:rsid w:val="0078685C"/>
    <w:rsid w:val="007A478E"/>
    <w:rsid w:val="007A5143"/>
    <w:rsid w:val="007B123E"/>
    <w:rsid w:val="007B4E46"/>
    <w:rsid w:val="007C0CF2"/>
    <w:rsid w:val="007E0976"/>
    <w:rsid w:val="007E3EE7"/>
    <w:rsid w:val="007F4A29"/>
    <w:rsid w:val="007F530B"/>
    <w:rsid w:val="00801302"/>
    <w:rsid w:val="0080150B"/>
    <w:rsid w:val="00803DDB"/>
    <w:rsid w:val="00804137"/>
    <w:rsid w:val="008150DF"/>
    <w:rsid w:val="0081674E"/>
    <w:rsid w:val="00816AB8"/>
    <w:rsid w:val="00822AE7"/>
    <w:rsid w:val="0082728B"/>
    <w:rsid w:val="00832723"/>
    <w:rsid w:val="008365A3"/>
    <w:rsid w:val="008440D5"/>
    <w:rsid w:val="0085092A"/>
    <w:rsid w:val="008540E5"/>
    <w:rsid w:val="00857738"/>
    <w:rsid w:val="008607B7"/>
    <w:rsid w:val="008609D3"/>
    <w:rsid w:val="00870732"/>
    <w:rsid w:val="0087114B"/>
    <w:rsid w:val="00873864"/>
    <w:rsid w:val="00873AA9"/>
    <w:rsid w:val="008814E4"/>
    <w:rsid w:val="008817DB"/>
    <w:rsid w:val="008C058B"/>
    <w:rsid w:val="008C1871"/>
    <w:rsid w:val="008D08B4"/>
    <w:rsid w:val="008D3AEF"/>
    <w:rsid w:val="008F5E96"/>
    <w:rsid w:val="00900D98"/>
    <w:rsid w:val="00903544"/>
    <w:rsid w:val="009046F2"/>
    <w:rsid w:val="00920EF8"/>
    <w:rsid w:val="00921FAD"/>
    <w:rsid w:val="009222CB"/>
    <w:rsid w:val="00931CB5"/>
    <w:rsid w:val="00933B7C"/>
    <w:rsid w:val="00935566"/>
    <w:rsid w:val="0093573C"/>
    <w:rsid w:val="00943AED"/>
    <w:rsid w:val="009467AA"/>
    <w:rsid w:val="0095527B"/>
    <w:rsid w:val="009571BF"/>
    <w:rsid w:val="00962B17"/>
    <w:rsid w:val="00972CDB"/>
    <w:rsid w:val="00975EA9"/>
    <w:rsid w:val="0098160B"/>
    <w:rsid w:val="00995416"/>
    <w:rsid w:val="00995F7D"/>
    <w:rsid w:val="009A21C1"/>
    <w:rsid w:val="009A3AED"/>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3A36"/>
    <w:rsid w:val="00B26A28"/>
    <w:rsid w:val="00B27A52"/>
    <w:rsid w:val="00B31089"/>
    <w:rsid w:val="00B34870"/>
    <w:rsid w:val="00B37FA3"/>
    <w:rsid w:val="00B531E8"/>
    <w:rsid w:val="00B565FE"/>
    <w:rsid w:val="00B56D11"/>
    <w:rsid w:val="00B571DD"/>
    <w:rsid w:val="00B70797"/>
    <w:rsid w:val="00B7093A"/>
    <w:rsid w:val="00B71FFD"/>
    <w:rsid w:val="00B76B8C"/>
    <w:rsid w:val="00B81946"/>
    <w:rsid w:val="00B81EE6"/>
    <w:rsid w:val="00B835CB"/>
    <w:rsid w:val="00B84E2D"/>
    <w:rsid w:val="00B90171"/>
    <w:rsid w:val="00B908C8"/>
    <w:rsid w:val="00B90D28"/>
    <w:rsid w:val="00B925F5"/>
    <w:rsid w:val="00B969DB"/>
    <w:rsid w:val="00B97953"/>
    <w:rsid w:val="00BD53BB"/>
    <w:rsid w:val="00BF42E0"/>
    <w:rsid w:val="00BF4401"/>
    <w:rsid w:val="00C11570"/>
    <w:rsid w:val="00C13779"/>
    <w:rsid w:val="00C143F4"/>
    <w:rsid w:val="00C17027"/>
    <w:rsid w:val="00C23B8E"/>
    <w:rsid w:val="00C24289"/>
    <w:rsid w:val="00C275AA"/>
    <w:rsid w:val="00C45E5B"/>
    <w:rsid w:val="00C46E16"/>
    <w:rsid w:val="00C50FB6"/>
    <w:rsid w:val="00C6168B"/>
    <w:rsid w:val="00C647B0"/>
    <w:rsid w:val="00C80A55"/>
    <w:rsid w:val="00C83B22"/>
    <w:rsid w:val="00C83F55"/>
    <w:rsid w:val="00C93DEC"/>
    <w:rsid w:val="00C940A7"/>
    <w:rsid w:val="00C97B48"/>
    <w:rsid w:val="00CA4104"/>
    <w:rsid w:val="00CA438E"/>
    <w:rsid w:val="00CA6084"/>
    <w:rsid w:val="00CB2089"/>
    <w:rsid w:val="00CD21E7"/>
    <w:rsid w:val="00CE3223"/>
    <w:rsid w:val="00CE43F4"/>
    <w:rsid w:val="00CF2799"/>
    <w:rsid w:val="00CF596F"/>
    <w:rsid w:val="00CF5AAA"/>
    <w:rsid w:val="00D02023"/>
    <w:rsid w:val="00D02BD8"/>
    <w:rsid w:val="00D1179B"/>
    <w:rsid w:val="00D13E66"/>
    <w:rsid w:val="00D14295"/>
    <w:rsid w:val="00D15958"/>
    <w:rsid w:val="00D17CAA"/>
    <w:rsid w:val="00D17DAF"/>
    <w:rsid w:val="00D2358B"/>
    <w:rsid w:val="00D27DFB"/>
    <w:rsid w:val="00D345C1"/>
    <w:rsid w:val="00D37B85"/>
    <w:rsid w:val="00D438D7"/>
    <w:rsid w:val="00D45639"/>
    <w:rsid w:val="00D569BF"/>
    <w:rsid w:val="00D608CC"/>
    <w:rsid w:val="00D61BBF"/>
    <w:rsid w:val="00D732C2"/>
    <w:rsid w:val="00D74172"/>
    <w:rsid w:val="00D81669"/>
    <w:rsid w:val="00D82490"/>
    <w:rsid w:val="00D8605A"/>
    <w:rsid w:val="00D87C31"/>
    <w:rsid w:val="00D91215"/>
    <w:rsid w:val="00D9135E"/>
    <w:rsid w:val="00DA020F"/>
    <w:rsid w:val="00DA4644"/>
    <w:rsid w:val="00DA4764"/>
    <w:rsid w:val="00DA4C96"/>
    <w:rsid w:val="00DA5644"/>
    <w:rsid w:val="00DB2101"/>
    <w:rsid w:val="00DB4B8E"/>
    <w:rsid w:val="00DB6841"/>
    <w:rsid w:val="00DB771D"/>
    <w:rsid w:val="00DD2957"/>
    <w:rsid w:val="00DD5DE7"/>
    <w:rsid w:val="00DE3AB0"/>
    <w:rsid w:val="00DE46B9"/>
    <w:rsid w:val="00DF1923"/>
    <w:rsid w:val="00E006A7"/>
    <w:rsid w:val="00E03038"/>
    <w:rsid w:val="00E127F3"/>
    <w:rsid w:val="00E15EFA"/>
    <w:rsid w:val="00E234C8"/>
    <w:rsid w:val="00E24ED2"/>
    <w:rsid w:val="00E32A39"/>
    <w:rsid w:val="00E34637"/>
    <w:rsid w:val="00E35DF2"/>
    <w:rsid w:val="00E3637C"/>
    <w:rsid w:val="00E4736E"/>
    <w:rsid w:val="00E5400C"/>
    <w:rsid w:val="00E578FD"/>
    <w:rsid w:val="00E57D28"/>
    <w:rsid w:val="00E61BF2"/>
    <w:rsid w:val="00E710ED"/>
    <w:rsid w:val="00E72FCF"/>
    <w:rsid w:val="00E76DBA"/>
    <w:rsid w:val="00E837F6"/>
    <w:rsid w:val="00E95BF2"/>
    <w:rsid w:val="00E9615E"/>
    <w:rsid w:val="00E96B37"/>
    <w:rsid w:val="00E97571"/>
    <w:rsid w:val="00EA1874"/>
    <w:rsid w:val="00EB17F1"/>
    <w:rsid w:val="00EB1B36"/>
    <w:rsid w:val="00EB3057"/>
    <w:rsid w:val="00EB3E58"/>
    <w:rsid w:val="00EB5EAC"/>
    <w:rsid w:val="00EC61B5"/>
    <w:rsid w:val="00EC6DBE"/>
    <w:rsid w:val="00ED0034"/>
    <w:rsid w:val="00ED3A6B"/>
    <w:rsid w:val="00ED7F37"/>
    <w:rsid w:val="00EE138D"/>
    <w:rsid w:val="00EE2681"/>
    <w:rsid w:val="00EF2D0C"/>
    <w:rsid w:val="00EF33F7"/>
    <w:rsid w:val="00EF6BD0"/>
    <w:rsid w:val="00F01F21"/>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8487"/>
  <w15:docId w15:val="{240146E0-7BC4-4A2A-9468-6415B61D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20F"/>
    <w:pPr>
      <w:spacing w:after="0" w:line="276" w:lineRule="auto"/>
    </w:pPr>
    <w:rPr>
      <w:rFonts w:ascii="Times New Roman" w:hAnsi="Times New Roman"/>
    </w:rPr>
  </w:style>
  <w:style w:type="paragraph" w:styleId="Heading1">
    <w:name w:val="heading 1"/>
    <w:basedOn w:val="Normal"/>
    <w:next w:val="Normal"/>
    <w:link w:val="Heading1Char"/>
    <w:uiPriority w:val="9"/>
    <w:qFormat/>
    <w:rsid w:val="002D4B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09"/>
    <w:pPr>
      <w:ind w:left="720"/>
      <w:contextualSpacing/>
    </w:pPr>
  </w:style>
  <w:style w:type="table" w:styleId="TableGrid">
    <w:name w:val="Table Grid"/>
    <w:basedOn w:val="TableNormal"/>
    <w:uiPriority w:val="39"/>
    <w:rsid w:val="002D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4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4B0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23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6883">
      <w:bodyDiv w:val="1"/>
      <w:marLeft w:val="0"/>
      <w:marRight w:val="0"/>
      <w:marTop w:val="0"/>
      <w:marBottom w:val="0"/>
      <w:divBdr>
        <w:top w:val="none" w:sz="0" w:space="0" w:color="auto"/>
        <w:left w:val="none" w:sz="0" w:space="0" w:color="auto"/>
        <w:bottom w:val="none" w:sz="0" w:space="0" w:color="auto"/>
        <w:right w:val="none" w:sz="0" w:space="0" w:color="auto"/>
      </w:divBdr>
    </w:div>
    <w:div w:id="621155159">
      <w:bodyDiv w:val="1"/>
      <w:marLeft w:val="0"/>
      <w:marRight w:val="0"/>
      <w:marTop w:val="0"/>
      <w:marBottom w:val="0"/>
      <w:divBdr>
        <w:top w:val="none" w:sz="0" w:space="0" w:color="auto"/>
        <w:left w:val="none" w:sz="0" w:space="0" w:color="auto"/>
        <w:bottom w:val="none" w:sz="0" w:space="0" w:color="auto"/>
        <w:right w:val="none" w:sz="0" w:space="0" w:color="auto"/>
      </w:divBdr>
    </w:div>
    <w:div w:id="739524401">
      <w:bodyDiv w:val="1"/>
      <w:marLeft w:val="0"/>
      <w:marRight w:val="0"/>
      <w:marTop w:val="0"/>
      <w:marBottom w:val="0"/>
      <w:divBdr>
        <w:top w:val="none" w:sz="0" w:space="0" w:color="auto"/>
        <w:left w:val="none" w:sz="0" w:space="0" w:color="auto"/>
        <w:bottom w:val="none" w:sz="0" w:space="0" w:color="auto"/>
        <w:right w:val="none" w:sz="0" w:space="0" w:color="auto"/>
      </w:divBdr>
    </w:div>
    <w:div w:id="1429932487">
      <w:bodyDiv w:val="1"/>
      <w:marLeft w:val="0"/>
      <w:marRight w:val="0"/>
      <w:marTop w:val="0"/>
      <w:marBottom w:val="0"/>
      <w:divBdr>
        <w:top w:val="none" w:sz="0" w:space="0" w:color="auto"/>
        <w:left w:val="none" w:sz="0" w:space="0" w:color="auto"/>
        <w:bottom w:val="none" w:sz="0" w:space="0" w:color="auto"/>
        <w:right w:val="none" w:sz="0" w:space="0" w:color="auto"/>
      </w:divBdr>
    </w:div>
    <w:div w:id="20846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28</cp:revision>
  <dcterms:created xsi:type="dcterms:W3CDTF">2018-11-06T10:31:00Z</dcterms:created>
  <dcterms:modified xsi:type="dcterms:W3CDTF">2018-11-15T11:23:00Z</dcterms:modified>
</cp:coreProperties>
</file>