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jc w:val="center"/>
      </w:pPr>
      <w:r>
        <w:rPr>
          <w:rFonts w:ascii="Calibri" w:cs="Calibri" w:eastAsia="Calibri" w:hAnsi="Calibri"/>
          <w:b/>
          <w:bCs/>
          <w:color w:val="595959"/>
          <w:sz w:val="18"/>
          <w:szCs w:val="18"/>
        </w:rPr>
        <w:t xml:space="preserve">SUPPORTING MEMO — PRELIMINARY &amp; CONFIDENTIAL</w:t>
      </w:r>
    </w:p>
    <w:p>
      <w:pPr>
        <w:spacing w:after="60"/>
        <w:jc w:val="center"/>
      </w:pPr>
      <w:r>
        <w:rPr>
          <w:rFonts w:ascii="Calibri" w:cs="Calibri" w:eastAsia="Calibri" w:hAnsi="Calibri"/>
          <w:b/>
          <w:bCs/>
          <w:color w:val="1E2761"/>
          <w:sz w:val="30"/>
          <w:szCs w:val="30"/>
        </w:rPr>
        <w:t xml:space="preserve">TWB — 10-Year Growth Plan &amp; Illustrative Go-Public Valuation</w:t>
      </w:r>
    </w:p>
    <w:p>
      <w:pPr>
        <w:spacing w:after="300"/>
        <w:jc w:val="center"/>
      </w:pPr>
      <w:r>
        <w:rPr>
          <w:rFonts w:ascii="Calibri" w:cs="Calibri" w:eastAsia="Calibri" w:hAnsi="Calibri"/>
          <w:i/>
          <w:iCs/>
          <w:color w:val="595959"/>
          <w:sz w:val="19"/>
          <w:szCs w:val="19"/>
        </w:rPr>
        <w:t xml:space="preserve">Backup detail for the accompanying investor deck and TWB_10-15yr_Forecast.xlsx model · Prepared August 2026</w:t>
      </w:r>
    </w:p>
    <w:p>
      <w:pPr>
        <w:pStyle w:val="Heading1"/>
        <w:spacing w:after="140" w:before="320"/>
      </w:pPr>
      <w:r>
        <w:rPr>
          <w:rFonts w:ascii="Calibri" w:cs="Calibri" w:eastAsia="Calibri" w:hAnsi="Calibri"/>
          <w:b/>
          <w:bCs/>
          <w:color w:val="1E2761"/>
          <w:sz w:val="26"/>
          <w:szCs w:val="26"/>
        </w:rPr>
        <w:t xml:space="preserve">1. Purpose and Scope</w:t>
      </w:r>
    </w:p>
    <w:p>
      <w:pPr>
        <w:spacing w:after="140"/>
      </w:pPr>
      <w:r>
        <w:rPr>
          <w:rFonts w:ascii="Calibri" w:cs="Calibri" w:eastAsia="Calibri" w:hAnsi="Calibri"/>
          <w:color w:val="1A1A2E"/>
          <w:sz w:val="21"/>
          <w:szCs w:val="21"/>
        </w:rPr>
        <w:t xml:space="preserve">This memo provides the sourcing, assumptions, and reasoning behind two companion deliverables: TWB_Investor_Deck.pptx (a board/investor presentation) and TWB_10-15yr_Forecast.xlsx (the underlying financial model, including a dedicated “2027 Go-Public Valuation” tab). It is organized to let a reader trace any number in the deck back to its source — a real financial statement, a cited external source, or an explicitly labeled modeling assumption.</w:t>
      </w:r>
    </w:p>
    <w:p>
      <w:pPr>
        <w:spacing w:after="140"/>
      </w:pPr>
      <w:r>
        <w:rPr>
          <w:rFonts w:ascii="Calibri" w:cs="Calibri" w:eastAsia="Calibri" w:hAnsi="Calibri"/>
          <w:color w:val="1A1A2E"/>
          <w:sz w:val="21"/>
          <w:szCs w:val="21"/>
        </w:rPr>
        <w:t xml:space="preserve">Scope note on the deck (revised August 2026): the investor deck is deliberately forward-looking. It presents the market need, TWB’s existing technology, partnerships and field position, the 10-year plan and the valuation lens — but it does not present the current business’s revenue or EBITDA. Those actuals are retained here (Section 2 and the summary table in Section 8) as the diligence baseline and the honest disclosure of how the modeled Year-0 figure differs from the real starting point. Any reader moving from the deck to a term sheet should read Section 2 first.</w:t>
      </w:r>
    </w:p>
    <w:p>
      <w:pPr>
        <w:spacing w:after="140"/>
      </w:pPr>
      <w:r>
        <w:rPr>
          <w:rFonts w:ascii="Calibri" w:cs="Calibri" w:eastAsia="Calibri" w:hAnsi="Calibri"/>
          <w:color w:val="1A1A2E"/>
          <w:sz w:val="21"/>
          <w:szCs w:val="21"/>
        </w:rPr>
        <w:t xml:space="preserve">Three principles govern every figure in this package:</w:t>
      </w:r>
    </w:p>
    <w:p>
      <w:pPr>
        <w:pStyle w:val="ListParagraph"/>
        <w:numPr>
          <w:ilvl w:val="0"/>
          <w:numId w:val="2"/>
        </w:numPr>
        <w:spacing w:after="80"/>
      </w:pPr>
      <w:r>
        <w:rPr>
          <w:rFonts w:ascii="Calibri" w:cs="Calibri" w:eastAsia="Calibri" w:hAnsi="Calibri"/>
          <w:color w:val="1A1A2E"/>
          <w:sz w:val="21"/>
          <w:szCs w:val="21"/>
        </w:rPr>
        <w:t xml:space="preserve">SOURCED figures are cited to a specific document, filing, or published source — never invented.</w:t>
      </w:r>
    </w:p>
    <w:p>
      <w:pPr>
        <w:pStyle w:val="ListParagraph"/>
        <w:numPr>
          <w:ilvl w:val="0"/>
          <w:numId w:val="2"/>
        </w:numPr>
        <w:spacing w:after="80"/>
      </w:pPr>
      <w:r>
        <w:rPr>
          <w:rFonts w:ascii="Calibri" w:cs="Calibri" w:eastAsia="Calibri" w:hAnsi="Calibri"/>
          <w:color w:val="1A1A2E"/>
          <w:sz w:val="21"/>
          <w:szCs w:val="21"/>
        </w:rPr>
        <w:t xml:space="preserve">MODELED figures are explicitly labeled as assumptions, with the reasoning behind the choice stated alongside them.</w:t>
      </w:r>
    </w:p>
    <w:p>
      <w:pPr>
        <w:pStyle w:val="ListParagraph"/>
        <w:numPr>
          <w:ilvl w:val="0"/>
          <w:numId w:val="2"/>
        </w:numPr>
        <w:spacing w:after="80"/>
      </w:pPr>
      <w:r>
        <w:rPr>
          <w:rFonts w:ascii="Calibri" w:cs="Calibri" w:eastAsia="Calibri" w:hAnsi="Calibri"/>
          <w:color w:val="1A1A2E"/>
          <w:sz w:val="21"/>
          <w:szCs w:val="21"/>
        </w:rPr>
        <w:t xml:space="preserve">Where a modeling choice materially drives the output (as with the discount-period assumption in Section 5), that sensitivity is shown explicitly rather than buried.</w:t>
      </w:r>
    </w:p>
    <w:p>
      <w:pPr>
        <w:pStyle w:val="Heading1"/>
        <w:spacing w:after="140" w:before="320"/>
      </w:pPr>
      <w:r>
        <w:rPr>
          <w:rFonts w:ascii="Calibri" w:cs="Calibri" w:eastAsia="Calibri" w:hAnsi="Calibri"/>
          <w:b/>
          <w:bCs/>
          <w:color w:val="1E2761"/>
          <w:sz w:val="26"/>
          <w:szCs w:val="26"/>
        </w:rPr>
        <w:t xml:space="preserve">2. TWB Today — The Real, Audited-Adjacent Baseline</w:t>
      </w:r>
    </w:p>
    <w:p>
      <w:pPr>
        <w:spacing w:after="140"/>
      </w:pPr>
      <w:r>
        <w:rPr>
          <w:rFonts w:ascii="Calibri" w:cs="Calibri" w:eastAsia="Calibri" w:hAnsi="Calibri"/>
          <w:color w:val="1A1A2E"/>
          <w:sz w:val="21"/>
          <w:szCs w:val="21"/>
        </w:rPr>
        <w:t xml:space="preserve">TWB's current operations sit across two related entities: TWB Designs Inc. (which owns the eMACS/MACS ammunition combustion system IP and sells the equipment) and Canadian Ammunition Disposal Services Inc. (CADS, which performs the ammunition destruction service for Canadian police agencies using that equipment). Financial figures below are drawn from compiled (unaudited) financial statements prepared by Steve Herman Accounting for both entities, FY2023-FY2025.</w:t>
      </w:r>
    </w:p>
    <w:p>
      <w:pPr>
        <w:pStyle w:val="Heading2"/>
        <w:spacing w:after="100" w:before="220"/>
      </w:pPr>
      <w:r>
        <w:rPr>
          <w:rFonts w:ascii="Calibri" w:cs="Calibri" w:eastAsia="Calibri" w:hAnsi="Calibri"/>
          <w:b/>
          <w:bCs/>
          <w:color w:val="1E2761"/>
          <w:sz w:val="22"/>
          <w:szCs w:val="22"/>
        </w:rPr>
        <w:t xml:space="preserve">2.1 Combined income statement (CAD)</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3200"/>
        <w:gridCol w:w="2000"/>
        <w:gridCol w:w="2000"/>
        <w:gridCol w:w="2000"/>
      </w:tblGrid>
      <w:tr>
        <w:trPr>
          <w:tblHeader/>
        </w:trPr>
        <w:tc>
          <w:tcPr>
            <w:tcW w:type="dxa" w:w="3200"/>
            <w:shd w:fill="D9E2F3" w:val="clear"/>
            <w:tcMar>
              <w:top w:type="dxa" w:w="80"/>
              <w:left w:type="dxa" w:w="100"/>
              <w:bottom w:type="dxa" w:w="80"/>
              <w:right w:type="dxa" w:w="100"/>
            </w:tcMar>
          </w:tcPr>
          <w:p>
            <w:r>
              <w:rPr>
                <w:rFonts w:ascii="Calibri" w:cs="Calibri" w:eastAsia="Calibri" w:hAnsi="Calibri"/>
                <w:b/>
                <w:bCs/>
                <w:color w:val="1A1A2E"/>
                <w:sz w:val="19"/>
                <w:szCs w:val="19"/>
              </w:rPr>
              <w:t xml:space="preserve">($CAD)</w:t>
            </w:r>
          </w:p>
        </w:tc>
        <w:tc>
          <w:tcPr>
            <w:tcW w:type="dxa" w:w="2000"/>
            <w:shd w:fill="D9E2F3" w:val="clear"/>
            <w:tcMar>
              <w:top w:type="dxa" w:w="80"/>
              <w:left w:type="dxa" w:w="100"/>
              <w:bottom w:type="dxa" w:w="80"/>
              <w:right w:type="dxa" w:w="100"/>
            </w:tcMar>
          </w:tcPr>
          <w:p>
            <w:r>
              <w:rPr>
                <w:rFonts w:ascii="Calibri" w:cs="Calibri" w:eastAsia="Calibri" w:hAnsi="Calibri"/>
                <w:b/>
                <w:bCs/>
                <w:color w:val="1A1A2E"/>
                <w:sz w:val="19"/>
                <w:szCs w:val="19"/>
              </w:rPr>
              <w:t xml:space="preserve">2023</w:t>
            </w:r>
          </w:p>
        </w:tc>
        <w:tc>
          <w:tcPr>
            <w:tcW w:type="dxa" w:w="2000"/>
            <w:shd w:fill="D9E2F3" w:val="clear"/>
            <w:tcMar>
              <w:top w:type="dxa" w:w="80"/>
              <w:left w:type="dxa" w:w="100"/>
              <w:bottom w:type="dxa" w:w="80"/>
              <w:right w:type="dxa" w:w="100"/>
            </w:tcMar>
          </w:tcPr>
          <w:p>
            <w:r>
              <w:rPr>
                <w:rFonts w:ascii="Calibri" w:cs="Calibri" w:eastAsia="Calibri" w:hAnsi="Calibri"/>
                <w:b/>
                <w:bCs/>
                <w:color w:val="1A1A2E"/>
                <w:sz w:val="19"/>
                <w:szCs w:val="19"/>
              </w:rPr>
              <w:t xml:space="preserve">2024</w:t>
            </w:r>
          </w:p>
        </w:tc>
        <w:tc>
          <w:tcPr>
            <w:tcW w:type="dxa" w:w="2000"/>
            <w:shd w:fill="D9E2F3" w:val="clear"/>
            <w:tcMar>
              <w:top w:type="dxa" w:w="80"/>
              <w:left w:type="dxa" w:w="100"/>
              <w:bottom w:type="dxa" w:w="80"/>
              <w:right w:type="dxa" w:w="100"/>
            </w:tcMar>
          </w:tcPr>
          <w:p>
            <w:r>
              <w:rPr>
                <w:rFonts w:ascii="Calibri" w:cs="Calibri" w:eastAsia="Calibri" w:hAnsi="Calibri"/>
                <w:b/>
                <w:bCs/>
                <w:color w:val="1A1A2E"/>
                <w:sz w:val="19"/>
                <w:szCs w:val="19"/>
              </w:rPr>
              <w:t xml:space="preserve">2025</w:t>
            </w:r>
          </w:p>
        </w:tc>
      </w:tr>
      <w:tr>
        <w:tc>
          <w:tcPr>
            <w:tcW w:type="dxa" w:w="3200"/>
            <w:tcMar>
              <w:top w:type="dxa" w:w="80"/>
              <w:left w:type="dxa" w:w="100"/>
              <w:bottom w:type="dxa" w:w="80"/>
              <w:right w:type="dxa" w:w="100"/>
            </w:tcMar>
          </w:tcPr>
          <w:p>
            <w:r>
              <w:rPr>
                <w:rFonts w:ascii="Calibri" w:cs="Calibri" w:eastAsia="Calibri" w:hAnsi="Calibri"/>
                <w:b w:val="false"/>
                <w:bCs w:val="false"/>
                <w:color w:val="1A1A2E"/>
                <w:sz w:val="19"/>
                <w:szCs w:val="19"/>
              </w:rPr>
              <w:t xml:space="preserve">CADS revenue</w:t>
            </w:r>
          </w:p>
        </w:tc>
        <w:tc>
          <w:tcPr>
            <w:tcW w:type="dxa" w:w="2000"/>
            <w:tcMar>
              <w:top w:type="dxa" w:w="80"/>
              <w:left w:type="dxa" w:w="100"/>
              <w:bottom w:type="dxa" w:w="80"/>
              <w:right w:type="dxa" w:w="100"/>
            </w:tcMar>
          </w:tcPr>
          <w:p>
            <w:r>
              <w:rPr>
                <w:rFonts w:ascii="Calibri" w:cs="Calibri" w:eastAsia="Calibri" w:hAnsi="Calibri"/>
                <w:b w:val="false"/>
                <w:bCs w:val="false"/>
                <w:color w:val="1A1A2E"/>
                <w:sz w:val="19"/>
                <w:szCs w:val="19"/>
              </w:rPr>
              <w:t xml:space="preserve">901,305</w:t>
            </w:r>
          </w:p>
        </w:tc>
        <w:tc>
          <w:tcPr>
            <w:tcW w:type="dxa" w:w="2000"/>
            <w:tcMar>
              <w:top w:type="dxa" w:w="80"/>
              <w:left w:type="dxa" w:w="100"/>
              <w:bottom w:type="dxa" w:w="80"/>
              <w:right w:type="dxa" w:w="100"/>
            </w:tcMar>
          </w:tcPr>
          <w:p>
            <w:r>
              <w:rPr>
                <w:rFonts w:ascii="Calibri" w:cs="Calibri" w:eastAsia="Calibri" w:hAnsi="Calibri"/>
                <w:b w:val="false"/>
                <w:bCs w:val="false"/>
                <w:color w:val="1A1A2E"/>
                <w:sz w:val="19"/>
                <w:szCs w:val="19"/>
              </w:rPr>
              <w:t xml:space="preserve">847,761</w:t>
            </w:r>
          </w:p>
        </w:tc>
        <w:tc>
          <w:tcPr>
            <w:tcW w:type="dxa" w:w="2000"/>
            <w:tcMar>
              <w:top w:type="dxa" w:w="80"/>
              <w:left w:type="dxa" w:w="100"/>
              <w:bottom w:type="dxa" w:w="80"/>
              <w:right w:type="dxa" w:w="100"/>
            </w:tcMar>
          </w:tcPr>
          <w:p>
            <w:r>
              <w:rPr>
                <w:rFonts w:ascii="Calibri" w:cs="Calibri" w:eastAsia="Calibri" w:hAnsi="Calibri"/>
                <w:b w:val="false"/>
                <w:bCs w:val="false"/>
                <w:color w:val="1A1A2E"/>
                <w:sz w:val="19"/>
                <w:szCs w:val="19"/>
              </w:rPr>
              <w:t xml:space="preserve">720,044</w:t>
            </w:r>
          </w:p>
        </w:tc>
      </w:tr>
      <w:tr>
        <w:tc>
          <w:tcPr>
            <w:tcW w:type="dxa" w:w="3200"/>
            <w:tcMar>
              <w:top w:type="dxa" w:w="80"/>
              <w:left w:type="dxa" w:w="100"/>
              <w:bottom w:type="dxa" w:w="80"/>
              <w:right w:type="dxa" w:w="100"/>
            </w:tcMar>
          </w:tcPr>
          <w:p>
            <w:r>
              <w:rPr>
                <w:rFonts w:ascii="Calibri" w:cs="Calibri" w:eastAsia="Calibri" w:hAnsi="Calibri"/>
                <w:b w:val="false"/>
                <w:bCs w:val="false"/>
                <w:color w:val="1A1A2E"/>
                <w:sz w:val="19"/>
                <w:szCs w:val="19"/>
              </w:rPr>
              <w:t xml:space="preserve">TWB Designs revenue</w:t>
            </w:r>
          </w:p>
        </w:tc>
        <w:tc>
          <w:tcPr>
            <w:tcW w:type="dxa" w:w="2000"/>
            <w:tcMar>
              <w:top w:type="dxa" w:w="80"/>
              <w:left w:type="dxa" w:w="100"/>
              <w:bottom w:type="dxa" w:w="80"/>
              <w:right w:type="dxa" w:w="100"/>
            </w:tcMar>
          </w:tcPr>
          <w:p>
            <w:r>
              <w:rPr>
                <w:rFonts w:ascii="Calibri" w:cs="Calibri" w:eastAsia="Calibri" w:hAnsi="Calibri"/>
                <w:b w:val="false"/>
                <w:bCs w:val="false"/>
                <w:color w:val="1A1A2E"/>
                <w:sz w:val="19"/>
                <w:szCs w:val="19"/>
              </w:rPr>
              <w:t xml:space="preserve">64,425</w:t>
            </w:r>
          </w:p>
        </w:tc>
        <w:tc>
          <w:tcPr>
            <w:tcW w:type="dxa" w:w="2000"/>
            <w:tcMar>
              <w:top w:type="dxa" w:w="80"/>
              <w:left w:type="dxa" w:w="100"/>
              <w:bottom w:type="dxa" w:w="80"/>
              <w:right w:type="dxa" w:w="100"/>
            </w:tcMar>
          </w:tcPr>
          <w:p>
            <w:r>
              <w:rPr>
                <w:rFonts w:ascii="Calibri" w:cs="Calibri" w:eastAsia="Calibri" w:hAnsi="Calibri"/>
                <w:b w:val="false"/>
                <w:bCs w:val="false"/>
                <w:color w:val="1A1A2E"/>
                <w:sz w:val="19"/>
                <w:szCs w:val="19"/>
              </w:rPr>
              <w:t xml:space="preserve">863,500</w:t>
            </w:r>
          </w:p>
        </w:tc>
        <w:tc>
          <w:tcPr>
            <w:tcW w:type="dxa" w:w="2000"/>
            <w:tcMar>
              <w:top w:type="dxa" w:w="80"/>
              <w:left w:type="dxa" w:w="100"/>
              <w:bottom w:type="dxa" w:w="80"/>
              <w:right w:type="dxa" w:w="100"/>
            </w:tcMar>
          </w:tcPr>
          <w:p>
            <w:r>
              <w:rPr>
                <w:rFonts w:ascii="Calibri" w:cs="Calibri" w:eastAsia="Calibri" w:hAnsi="Calibri"/>
                <w:b w:val="false"/>
                <w:bCs w:val="false"/>
                <w:color w:val="1A1A2E"/>
                <w:sz w:val="19"/>
                <w:szCs w:val="19"/>
              </w:rPr>
              <w:t xml:space="preserve">142,812</w:t>
            </w:r>
          </w:p>
        </w:tc>
      </w:tr>
      <w:tr>
        <w:tc>
          <w:tcPr>
            <w:tcW w:type="dxa" w:w="3200"/>
            <w:tcMar>
              <w:top w:type="dxa" w:w="80"/>
              <w:left w:type="dxa" w:w="100"/>
              <w:bottom w:type="dxa" w:w="80"/>
              <w:right w:type="dxa" w:w="100"/>
            </w:tcMar>
          </w:tcPr>
          <w:p>
            <w:r>
              <w:rPr>
                <w:rFonts w:ascii="Calibri" w:cs="Calibri" w:eastAsia="Calibri" w:hAnsi="Calibri"/>
                <w:b w:val="false"/>
                <w:bCs w:val="false"/>
                <w:color w:val="1A1A2E"/>
                <w:sz w:val="19"/>
                <w:szCs w:val="19"/>
              </w:rPr>
              <w:t xml:space="preserve">Combined revenue</w:t>
            </w:r>
          </w:p>
        </w:tc>
        <w:tc>
          <w:tcPr>
            <w:tcW w:type="dxa" w:w="2000"/>
            <w:tcMar>
              <w:top w:type="dxa" w:w="80"/>
              <w:left w:type="dxa" w:w="100"/>
              <w:bottom w:type="dxa" w:w="80"/>
              <w:right w:type="dxa" w:w="100"/>
            </w:tcMar>
          </w:tcPr>
          <w:p>
            <w:r>
              <w:rPr>
                <w:rFonts w:ascii="Calibri" w:cs="Calibri" w:eastAsia="Calibri" w:hAnsi="Calibri"/>
                <w:b w:val="false"/>
                <w:bCs w:val="false"/>
                <w:color w:val="1A1A2E"/>
                <w:sz w:val="19"/>
                <w:szCs w:val="19"/>
              </w:rPr>
              <w:t xml:space="preserve">965,730</w:t>
            </w:r>
          </w:p>
        </w:tc>
        <w:tc>
          <w:tcPr>
            <w:tcW w:type="dxa" w:w="2000"/>
            <w:tcMar>
              <w:top w:type="dxa" w:w="80"/>
              <w:left w:type="dxa" w:w="100"/>
              <w:bottom w:type="dxa" w:w="80"/>
              <w:right w:type="dxa" w:w="100"/>
            </w:tcMar>
          </w:tcPr>
          <w:p>
            <w:r>
              <w:rPr>
                <w:rFonts w:ascii="Calibri" w:cs="Calibri" w:eastAsia="Calibri" w:hAnsi="Calibri"/>
                <w:b w:val="false"/>
                <w:bCs w:val="false"/>
                <w:color w:val="1A1A2E"/>
                <w:sz w:val="19"/>
                <w:szCs w:val="19"/>
              </w:rPr>
              <w:t xml:space="preserve">1,711,261</w:t>
            </w:r>
          </w:p>
        </w:tc>
        <w:tc>
          <w:tcPr>
            <w:tcW w:type="dxa" w:w="2000"/>
            <w:tcMar>
              <w:top w:type="dxa" w:w="80"/>
              <w:left w:type="dxa" w:w="100"/>
              <w:bottom w:type="dxa" w:w="80"/>
              <w:right w:type="dxa" w:w="100"/>
            </w:tcMar>
          </w:tcPr>
          <w:p>
            <w:r>
              <w:rPr>
                <w:rFonts w:ascii="Calibri" w:cs="Calibri" w:eastAsia="Calibri" w:hAnsi="Calibri"/>
                <w:b w:val="false"/>
                <w:bCs w:val="false"/>
                <w:color w:val="1A1A2E"/>
                <w:sz w:val="19"/>
                <w:szCs w:val="19"/>
              </w:rPr>
              <w:t xml:space="preserve">862,856</w:t>
            </w:r>
          </w:p>
        </w:tc>
      </w:tr>
      <w:tr>
        <w:tc>
          <w:tcPr>
            <w:tcW w:type="dxa" w:w="3200"/>
            <w:tcMar>
              <w:top w:type="dxa" w:w="80"/>
              <w:left w:type="dxa" w:w="100"/>
              <w:bottom w:type="dxa" w:w="80"/>
              <w:right w:type="dxa" w:w="100"/>
            </w:tcMar>
          </w:tcPr>
          <w:p>
            <w:r>
              <w:rPr>
                <w:rFonts w:ascii="Calibri" w:cs="Calibri" w:eastAsia="Calibri" w:hAnsi="Calibri"/>
                <w:b w:val="false"/>
                <w:bCs w:val="false"/>
                <w:color w:val="1A1A2E"/>
                <w:sz w:val="19"/>
                <w:szCs w:val="19"/>
              </w:rPr>
              <w:t xml:space="preserve">Combined gross profit</w:t>
            </w:r>
          </w:p>
        </w:tc>
        <w:tc>
          <w:tcPr>
            <w:tcW w:type="dxa" w:w="2000"/>
            <w:tcMar>
              <w:top w:type="dxa" w:w="80"/>
              <w:left w:type="dxa" w:w="100"/>
              <w:bottom w:type="dxa" w:w="80"/>
              <w:right w:type="dxa" w:w="100"/>
            </w:tcMar>
          </w:tcPr>
          <w:p>
            <w:r>
              <w:rPr>
                <w:rFonts w:ascii="Calibri" w:cs="Calibri" w:eastAsia="Calibri" w:hAnsi="Calibri"/>
                <w:b w:val="false"/>
                <w:bCs w:val="false"/>
                <w:color w:val="1A1A2E"/>
                <w:sz w:val="19"/>
                <w:szCs w:val="19"/>
              </w:rPr>
              <w:t xml:space="preserve">759,474</w:t>
            </w:r>
          </w:p>
        </w:tc>
        <w:tc>
          <w:tcPr>
            <w:tcW w:type="dxa" w:w="2000"/>
            <w:tcMar>
              <w:top w:type="dxa" w:w="80"/>
              <w:left w:type="dxa" w:w="100"/>
              <w:bottom w:type="dxa" w:w="80"/>
              <w:right w:type="dxa" w:w="100"/>
            </w:tcMar>
          </w:tcPr>
          <w:p>
            <w:r>
              <w:rPr>
                <w:rFonts w:ascii="Calibri" w:cs="Calibri" w:eastAsia="Calibri" w:hAnsi="Calibri"/>
                <w:b w:val="false"/>
                <w:bCs w:val="false"/>
                <w:color w:val="1A1A2E"/>
                <w:sz w:val="19"/>
                <w:szCs w:val="19"/>
              </w:rPr>
              <w:t xml:space="preserve">760,306</w:t>
            </w:r>
          </w:p>
        </w:tc>
        <w:tc>
          <w:tcPr>
            <w:tcW w:type="dxa" w:w="2000"/>
            <w:tcMar>
              <w:top w:type="dxa" w:w="80"/>
              <w:left w:type="dxa" w:w="100"/>
              <w:bottom w:type="dxa" w:w="80"/>
              <w:right w:type="dxa" w:w="100"/>
            </w:tcMar>
          </w:tcPr>
          <w:p>
            <w:r>
              <w:rPr>
                <w:rFonts w:ascii="Calibri" w:cs="Calibri" w:eastAsia="Calibri" w:hAnsi="Calibri"/>
                <w:b w:val="false"/>
                <w:bCs w:val="false"/>
                <w:color w:val="1A1A2E"/>
                <w:sz w:val="19"/>
                <w:szCs w:val="19"/>
              </w:rPr>
              <w:t xml:space="preserve">569,099</w:t>
            </w:r>
          </w:p>
        </w:tc>
      </w:tr>
      <w:tr>
        <w:tc>
          <w:tcPr>
            <w:tcW w:type="dxa" w:w="3200"/>
            <w:tcMar>
              <w:top w:type="dxa" w:w="80"/>
              <w:left w:type="dxa" w:w="100"/>
              <w:bottom w:type="dxa" w:w="80"/>
              <w:right w:type="dxa" w:w="100"/>
            </w:tcMar>
          </w:tcPr>
          <w:p>
            <w:r>
              <w:rPr>
                <w:rFonts w:ascii="Calibri" w:cs="Calibri" w:eastAsia="Calibri" w:hAnsi="Calibri"/>
                <w:b w:val="false"/>
                <w:bCs w:val="false"/>
                <w:color w:val="1A1A2E"/>
                <w:sz w:val="19"/>
                <w:szCs w:val="19"/>
              </w:rPr>
              <w:t xml:space="preserve">Combined EBITDA</w:t>
            </w:r>
          </w:p>
        </w:tc>
        <w:tc>
          <w:tcPr>
            <w:tcW w:type="dxa" w:w="2000"/>
            <w:tcMar>
              <w:top w:type="dxa" w:w="80"/>
              <w:left w:type="dxa" w:w="100"/>
              <w:bottom w:type="dxa" w:w="80"/>
              <w:right w:type="dxa" w:w="100"/>
            </w:tcMar>
          </w:tcPr>
          <w:p>
            <w:r>
              <w:rPr>
                <w:rFonts w:ascii="Calibri" w:cs="Calibri" w:eastAsia="Calibri" w:hAnsi="Calibri"/>
                <w:b w:val="false"/>
                <w:bCs w:val="false"/>
                <w:color w:val="1A1A2E"/>
                <w:sz w:val="19"/>
                <w:szCs w:val="19"/>
              </w:rPr>
              <w:t xml:space="preserve">~419,000</w:t>
            </w:r>
          </w:p>
        </w:tc>
        <w:tc>
          <w:tcPr>
            <w:tcW w:type="dxa" w:w="2000"/>
            <w:tcMar>
              <w:top w:type="dxa" w:w="80"/>
              <w:left w:type="dxa" w:w="100"/>
              <w:bottom w:type="dxa" w:w="80"/>
              <w:right w:type="dxa" w:w="100"/>
            </w:tcMar>
          </w:tcPr>
          <w:p>
            <w:r>
              <w:rPr>
                <w:rFonts w:ascii="Calibri" w:cs="Calibri" w:eastAsia="Calibri" w:hAnsi="Calibri"/>
                <w:b w:val="false"/>
                <w:bCs w:val="false"/>
                <w:color w:val="1A1A2E"/>
                <w:sz w:val="19"/>
                <w:szCs w:val="19"/>
              </w:rPr>
              <w:t xml:space="preserve">~492,000</w:t>
            </w:r>
          </w:p>
        </w:tc>
        <w:tc>
          <w:tcPr>
            <w:tcW w:type="dxa" w:w="2000"/>
            <w:tcMar>
              <w:top w:type="dxa" w:w="80"/>
              <w:left w:type="dxa" w:w="100"/>
              <w:bottom w:type="dxa" w:w="80"/>
              <w:right w:type="dxa" w:w="100"/>
            </w:tcMar>
          </w:tcPr>
          <w:p>
            <w:r>
              <w:rPr>
                <w:rFonts w:ascii="Calibri" w:cs="Calibri" w:eastAsia="Calibri" w:hAnsi="Calibri"/>
                <w:b w:val="false"/>
                <w:bCs w:val="false"/>
                <w:color w:val="1A1A2E"/>
                <w:sz w:val="19"/>
                <w:szCs w:val="19"/>
              </w:rPr>
              <w:t xml:space="preserve">~235,000</w:t>
            </w:r>
          </w:p>
        </w:tc>
      </w:tr>
      <w:tr>
        <w:tc>
          <w:tcPr>
            <w:tcW w:type="dxa" w:w="3200"/>
            <w:tcMar>
              <w:top w:type="dxa" w:w="80"/>
              <w:left w:type="dxa" w:w="100"/>
              <w:bottom w:type="dxa" w:w="80"/>
              <w:right w:type="dxa" w:w="100"/>
            </w:tcMar>
          </w:tcPr>
          <w:p>
            <w:r>
              <w:rPr>
                <w:rFonts w:ascii="Calibri" w:cs="Calibri" w:eastAsia="Calibri" w:hAnsi="Calibri"/>
                <w:b w:val="false"/>
                <w:bCs w:val="false"/>
                <w:color w:val="1A1A2E"/>
                <w:sz w:val="19"/>
                <w:szCs w:val="19"/>
              </w:rPr>
              <w:t xml:space="preserve">Combined net income</w:t>
            </w:r>
          </w:p>
        </w:tc>
        <w:tc>
          <w:tcPr>
            <w:tcW w:type="dxa" w:w="2000"/>
            <w:tcMar>
              <w:top w:type="dxa" w:w="80"/>
              <w:left w:type="dxa" w:w="100"/>
              <w:bottom w:type="dxa" w:w="80"/>
              <w:right w:type="dxa" w:w="100"/>
            </w:tcMar>
          </w:tcPr>
          <w:p>
            <w:r>
              <w:rPr>
                <w:rFonts w:ascii="Calibri" w:cs="Calibri" w:eastAsia="Calibri" w:hAnsi="Calibri"/>
                <w:b w:val="false"/>
                <w:bCs w:val="false"/>
                <w:color w:val="1A1A2E"/>
                <w:sz w:val="19"/>
                <w:szCs w:val="19"/>
              </w:rPr>
              <w:t xml:space="preserve">337,094</w:t>
            </w:r>
          </w:p>
        </w:tc>
        <w:tc>
          <w:tcPr>
            <w:tcW w:type="dxa" w:w="2000"/>
            <w:tcMar>
              <w:top w:type="dxa" w:w="80"/>
              <w:left w:type="dxa" w:w="100"/>
              <w:bottom w:type="dxa" w:w="80"/>
              <w:right w:type="dxa" w:w="100"/>
            </w:tcMar>
          </w:tcPr>
          <w:p>
            <w:r>
              <w:rPr>
                <w:rFonts w:ascii="Calibri" w:cs="Calibri" w:eastAsia="Calibri" w:hAnsi="Calibri"/>
                <w:b w:val="false"/>
                <w:bCs w:val="false"/>
                <w:color w:val="1A1A2E"/>
                <w:sz w:val="19"/>
                <w:szCs w:val="19"/>
              </w:rPr>
              <w:t xml:space="preserve">589,471</w:t>
            </w:r>
          </w:p>
        </w:tc>
        <w:tc>
          <w:tcPr>
            <w:tcW w:type="dxa" w:w="2000"/>
            <w:tcMar>
              <w:top w:type="dxa" w:w="80"/>
              <w:left w:type="dxa" w:w="100"/>
              <w:bottom w:type="dxa" w:w="80"/>
              <w:right w:type="dxa" w:w="100"/>
            </w:tcMar>
          </w:tcPr>
          <w:p>
            <w:r>
              <w:rPr>
                <w:rFonts w:ascii="Calibri" w:cs="Calibri" w:eastAsia="Calibri" w:hAnsi="Calibri"/>
                <w:b w:val="false"/>
                <w:bCs w:val="false"/>
                <w:color w:val="1A1A2E"/>
                <w:sz w:val="19"/>
                <w:szCs w:val="19"/>
              </w:rPr>
              <w:t xml:space="preserve">125,174</w:t>
            </w:r>
          </w:p>
        </w:tc>
      </w:tr>
    </w:tbl>
    <w:p>
      <w:pPr>
        <w:spacing w:after="160" w:before="160"/>
      </w:pPr>
    </w:p>
    <w:p>
      <w:pPr>
        <w:pStyle w:val="Heading2"/>
        <w:spacing w:after="100" w:before="220"/>
      </w:pPr>
      <w:r>
        <w:rPr>
          <w:rFonts w:ascii="Calibri" w:cs="Calibri" w:eastAsia="Calibri" w:hAnsi="Calibri"/>
          <w:b/>
          <w:bCs/>
          <w:color w:val="1E2761"/>
          <w:sz w:val="22"/>
          <w:szCs w:val="22"/>
        </w:rPr>
        <w:t xml:space="preserve">2.2 Combined balance sheet (CAD, at Dec 31, 2025)</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3200"/>
        <w:gridCol w:w="2000"/>
        <w:gridCol w:w="2000"/>
        <w:gridCol w:w="2000"/>
      </w:tblGrid>
      <w:tr>
        <w:trPr>
          <w:tblHeader/>
        </w:trPr>
        <w:tc>
          <w:tcPr>
            <w:tcW w:type="dxa" w:w="3200"/>
            <w:shd w:fill="D9E2F3" w:val="clear"/>
            <w:tcMar>
              <w:top w:type="dxa" w:w="80"/>
              <w:left w:type="dxa" w:w="100"/>
              <w:bottom w:type="dxa" w:w="80"/>
              <w:right w:type="dxa" w:w="100"/>
            </w:tcMar>
          </w:tcPr>
          <w:p>
            <w:r>
              <w:rPr>
                <w:rFonts w:ascii="Calibri" w:cs="Calibri" w:eastAsia="Calibri" w:hAnsi="Calibri"/>
                <w:b/>
                <w:bCs/>
                <w:color w:val="1A1A2E"/>
                <w:sz w:val="19"/>
                <w:szCs w:val="19"/>
              </w:rPr>
              <w:t xml:space="preserve">($CAD, at Dec 31, 2025)</w:t>
            </w:r>
          </w:p>
        </w:tc>
        <w:tc>
          <w:tcPr>
            <w:tcW w:type="dxa" w:w="2000"/>
            <w:shd w:fill="D9E2F3" w:val="clear"/>
            <w:tcMar>
              <w:top w:type="dxa" w:w="80"/>
              <w:left w:type="dxa" w:w="100"/>
              <w:bottom w:type="dxa" w:w="80"/>
              <w:right w:type="dxa" w:w="100"/>
            </w:tcMar>
          </w:tcPr>
          <w:p>
            <w:r>
              <w:rPr>
                <w:rFonts w:ascii="Calibri" w:cs="Calibri" w:eastAsia="Calibri" w:hAnsi="Calibri"/>
                <w:b/>
                <w:bCs/>
                <w:color w:val="1A1A2E"/>
                <w:sz w:val="19"/>
                <w:szCs w:val="19"/>
              </w:rPr>
              <w:t xml:space="preserve">CADS</w:t>
            </w:r>
          </w:p>
        </w:tc>
        <w:tc>
          <w:tcPr>
            <w:tcW w:type="dxa" w:w="2000"/>
            <w:shd w:fill="D9E2F3" w:val="clear"/>
            <w:tcMar>
              <w:top w:type="dxa" w:w="80"/>
              <w:left w:type="dxa" w:w="100"/>
              <w:bottom w:type="dxa" w:w="80"/>
              <w:right w:type="dxa" w:w="100"/>
            </w:tcMar>
          </w:tcPr>
          <w:p>
            <w:r>
              <w:rPr>
                <w:rFonts w:ascii="Calibri" w:cs="Calibri" w:eastAsia="Calibri" w:hAnsi="Calibri"/>
                <w:b/>
                <w:bCs/>
                <w:color w:val="1A1A2E"/>
                <w:sz w:val="19"/>
                <w:szCs w:val="19"/>
              </w:rPr>
              <w:t xml:space="preserve">TWB</w:t>
            </w:r>
          </w:p>
        </w:tc>
        <w:tc>
          <w:tcPr>
            <w:tcW w:type="dxa" w:w="2000"/>
            <w:shd w:fill="D9E2F3" w:val="clear"/>
            <w:tcMar>
              <w:top w:type="dxa" w:w="80"/>
              <w:left w:type="dxa" w:w="100"/>
              <w:bottom w:type="dxa" w:w="80"/>
              <w:right w:type="dxa" w:w="100"/>
            </w:tcMar>
          </w:tcPr>
          <w:p>
            <w:r>
              <w:rPr>
                <w:rFonts w:ascii="Calibri" w:cs="Calibri" w:eastAsia="Calibri" w:hAnsi="Calibri"/>
                <w:b/>
                <w:bCs/>
                <w:color w:val="1A1A2E"/>
                <w:sz w:val="19"/>
                <w:szCs w:val="19"/>
              </w:rPr>
              <w:t xml:space="preserve">Combined</w:t>
            </w:r>
          </w:p>
        </w:tc>
      </w:tr>
      <w:tr>
        <w:tc>
          <w:tcPr>
            <w:tcW w:type="dxa" w:w="3200"/>
            <w:tcMar>
              <w:top w:type="dxa" w:w="80"/>
              <w:left w:type="dxa" w:w="100"/>
              <w:bottom w:type="dxa" w:w="80"/>
              <w:right w:type="dxa" w:w="100"/>
            </w:tcMar>
          </w:tcPr>
          <w:p>
            <w:r>
              <w:rPr>
                <w:rFonts w:ascii="Calibri" w:cs="Calibri" w:eastAsia="Calibri" w:hAnsi="Calibri"/>
                <w:b w:val="false"/>
                <w:bCs w:val="false"/>
                <w:color w:val="1A1A2E"/>
                <w:sz w:val="19"/>
                <w:szCs w:val="19"/>
              </w:rPr>
              <w:t xml:space="preserve">Cash</w:t>
            </w:r>
          </w:p>
        </w:tc>
        <w:tc>
          <w:tcPr>
            <w:tcW w:type="dxa" w:w="2000"/>
            <w:tcMar>
              <w:top w:type="dxa" w:w="80"/>
              <w:left w:type="dxa" w:w="100"/>
              <w:bottom w:type="dxa" w:w="80"/>
              <w:right w:type="dxa" w:w="100"/>
            </w:tcMar>
          </w:tcPr>
          <w:p>
            <w:r>
              <w:rPr>
                <w:rFonts w:ascii="Calibri" w:cs="Calibri" w:eastAsia="Calibri" w:hAnsi="Calibri"/>
                <w:b w:val="false"/>
                <w:bCs w:val="false"/>
                <w:color w:val="1A1A2E"/>
                <w:sz w:val="19"/>
                <w:szCs w:val="19"/>
              </w:rPr>
              <w:t xml:space="preserve">139,667</w:t>
            </w:r>
          </w:p>
        </w:tc>
        <w:tc>
          <w:tcPr>
            <w:tcW w:type="dxa" w:w="2000"/>
            <w:tcMar>
              <w:top w:type="dxa" w:w="80"/>
              <w:left w:type="dxa" w:w="100"/>
              <w:bottom w:type="dxa" w:w="80"/>
              <w:right w:type="dxa" w:w="100"/>
            </w:tcMar>
          </w:tcPr>
          <w:p>
            <w:r>
              <w:rPr>
                <w:rFonts w:ascii="Calibri" w:cs="Calibri" w:eastAsia="Calibri" w:hAnsi="Calibri"/>
                <w:b w:val="false"/>
                <w:bCs w:val="false"/>
                <w:color w:val="1A1A2E"/>
                <w:sz w:val="19"/>
                <w:szCs w:val="19"/>
              </w:rPr>
              <w:t xml:space="preserve">59,431</w:t>
            </w:r>
          </w:p>
        </w:tc>
        <w:tc>
          <w:tcPr>
            <w:tcW w:type="dxa" w:w="2000"/>
            <w:tcMar>
              <w:top w:type="dxa" w:w="80"/>
              <w:left w:type="dxa" w:w="100"/>
              <w:bottom w:type="dxa" w:w="80"/>
              <w:right w:type="dxa" w:w="100"/>
            </w:tcMar>
          </w:tcPr>
          <w:p>
            <w:r>
              <w:rPr>
                <w:rFonts w:ascii="Calibri" w:cs="Calibri" w:eastAsia="Calibri" w:hAnsi="Calibri"/>
                <w:b w:val="false"/>
                <w:bCs w:val="false"/>
                <w:color w:val="1A1A2E"/>
                <w:sz w:val="19"/>
                <w:szCs w:val="19"/>
              </w:rPr>
              <w:t xml:space="preserve">199,098</w:t>
            </w:r>
          </w:p>
        </w:tc>
      </w:tr>
      <w:tr>
        <w:tc>
          <w:tcPr>
            <w:tcW w:type="dxa" w:w="3200"/>
            <w:tcMar>
              <w:top w:type="dxa" w:w="80"/>
              <w:left w:type="dxa" w:w="100"/>
              <w:bottom w:type="dxa" w:w="80"/>
              <w:right w:type="dxa" w:w="100"/>
            </w:tcMar>
          </w:tcPr>
          <w:p>
            <w:r>
              <w:rPr>
                <w:rFonts w:ascii="Calibri" w:cs="Calibri" w:eastAsia="Calibri" w:hAnsi="Calibri"/>
                <w:b w:val="false"/>
                <w:bCs w:val="false"/>
                <w:color w:val="1A1A2E"/>
                <w:sz w:val="19"/>
                <w:szCs w:val="19"/>
              </w:rPr>
              <w:t xml:space="preserve">Total assets</w:t>
            </w:r>
          </w:p>
        </w:tc>
        <w:tc>
          <w:tcPr>
            <w:tcW w:type="dxa" w:w="2000"/>
            <w:tcMar>
              <w:top w:type="dxa" w:w="80"/>
              <w:left w:type="dxa" w:w="100"/>
              <w:bottom w:type="dxa" w:w="80"/>
              <w:right w:type="dxa" w:w="100"/>
            </w:tcMar>
          </w:tcPr>
          <w:p>
            <w:r>
              <w:rPr>
                <w:rFonts w:ascii="Calibri" w:cs="Calibri" w:eastAsia="Calibri" w:hAnsi="Calibri"/>
                <w:b w:val="false"/>
                <w:bCs w:val="false"/>
                <w:color w:val="1A1A2E"/>
                <w:sz w:val="19"/>
                <w:szCs w:val="19"/>
              </w:rPr>
              <w:t xml:space="preserve">509,193</w:t>
            </w:r>
          </w:p>
        </w:tc>
        <w:tc>
          <w:tcPr>
            <w:tcW w:type="dxa" w:w="2000"/>
            <w:tcMar>
              <w:top w:type="dxa" w:w="80"/>
              <w:left w:type="dxa" w:w="100"/>
              <w:bottom w:type="dxa" w:w="80"/>
              <w:right w:type="dxa" w:w="100"/>
            </w:tcMar>
          </w:tcPr>
          <w:p>
            <w:r>
              <w:rPr>
                <w:rFonts w:ascii="Calibri" w:cs="Calibri" w:eastAsia="Calibri" w:hAnsi="Calibri"/>
                <w:b w:val="false"/>
                <w:bCs w:val="false"/>
                <w:color w:val="1A1A2E"/>
                <w:sz w:val="19"/>
                <w:szCs w:val="19"/>
              </w:rPr>
              <w:t xml:space="preserve">118,825</w:t>
            </w:r>
          </w:p>
        </w:tc>
        <w:tc>
          <w:tcPr>
            <w:tcW w:type="dxa" w:w="2000"/>
            <w:tcMar>
              <w:top w:type="dxa" w:w="80"/>
              <w:left w:type="dxa" w:w="100"/>
              <w:bottom w:type="dxa" w:w="80"/>
              <w:right w:type="dxa" w:w="100"/>
            </w:tcMar>
          </w:tcPr>
          <w:p>
            <w:r>
              <w:rPr>
                <w:rFonts w:ascii="Calibri" w:cs="Calibri" w:eastAsia="Calibri" w:hAnsi="Calibri"/>
                <w:b w:val="false"/>
                <w:bCs w:val="false"/>
                <w:color w:val="1A1A2E"/>
                <w:sz w:val="19"/>
                <w:szCs w:val="19"/>
              </w:rPr>
              <w:t xml:space="preserve">628,018</w:t>
            </w:r>
          </w:p>
        </w:tc>
      </w:tr>
      <w:tr>
        <w:tc>
          <w:tcPr>
            <w:tcW w:type="dxa" w:w="3200"/>
            <w:tcMar>
              <w:top w:type="dxa" w:w="80"/>
              <w:left w:type="dxa" w:w="100"/>
              <w:bottom w:type="dxa" w:w="80"/>
              <w:right w:type="dxa" w:w="100"/>
            </w:tcMar>
          </w:tcPr>
          <w:p>
            <w:r>
              <w:rPr>
                <w:rFonts w:ascii="Calibri" w:cs="Calibri" w:eastAsia="Calibri" w:hAnsi="Calibri"/>
                <w:b w:val="false"/>
                <w:bCs w:val="false"/>
                <w:color w:val="1A1A2E"/>
                <w:sz w:val="19"/>
                <w:szCs w:val="19"/>
              </w:rPr>
              <w:t xml:space="preserve">Total liabilities</w:t>
            </w:r>
          </w:p>
        </w:tc>
        <w:tc>
          <w:tcPr>
            <w:tcW w:type="dxa" w:w="2000"/>
            <w:tcMar>
              <w:top w:type="dxa" w:w="80"/>
              <w:left w:type="dxa" w:w="100"/>
              <w:bottom w:type="dxa" w:w="80"/>
              <w:right w:type="dxa" w:w="100"/>
            </w:tcMar>
          </w:tcPr>
          <w:p>
            <w:r>
              <w:rPr>
                <w:rFonts w:ascii="Calibri" w:cs="Calibri" w:eastAsia="Calibri" w:hAnsi="Calibri"/>
                <w:b w:val="false"/>
                <w:bCs w:val="false"/>
                <w:color w:val="1A1A2E"/>
                <w:sz w:val="19"/>
                <w:szCs w:val="19"/>
              </w:rPr>
              <w:t xml:space="preserve">42,890</w:t>
            </w:r>
          </w:p>
        </w:tc>
        <w:tc>
          <w:tcPr>
            <w:tcW w:type="dxa" w:w="2000"/>
            <w:tcMar>
              <w:top w:type="dxa" w:w="80"/>
              <w:left w:type="dxa" w:w="100"/>
              <w:bottom w:type="dxa" w:w="80"/>
              <w:right w:type="dxa" w:w="100"/>
            </w:tcMar>
          </w:tcPr>
          <w:p>
            <w:r>
              <w:rPr>
                <w:rFonts w:ascii="Calibri" w:cs="Calibri" w:eastAsia="Calibri" w:hAnsi="Calibri"/>
                <w:b w:val="false"/>
                <w:bCs w:val="false"/>
                <w:color w:val="1A1A2E"/>
                <w:sz w:val="19"/>
                <w:szCs w:val="19"/>
              </w:rPr>
              <w:t xml:space="preserve">4,799</w:t>
            </w:r>
          </w:p>
        </w:tc>
        <w:tc>
          <w:tcPr>
            <w:tcW w:type="dxa" w:w="2000"/>
            <w:tcMar>
              <w:top w:type="dxa" w:w="80"/>
              <w:left w:type="dxa" w:w="100"/>
              <w:bottom w:type="dxa" w:w="80"/>
              <w:right w:type="dxa" w:w="100"/>
            </w:tcMar>
          </w:tcPr>
          <w:p>
            <w:r>
              <w:rPr>
                <w:rFonts w:ascii="Calibri" w:cs="Calibri" w:eastAsia="Calibri" w:hAnsi="Calibri"/>
                <w:b w:val="false"/>
                <w:bCs w:val="false"/>
                <w:color w:val="1A1A2E"/>
                <w:sz w:val="19"/>
                <w:szCs w:val="19"/>
              </w:rPr>
              <w:t xml:space="preserve">47,689</w:t>
            </w:r>
          </w:p>
        </w:tc>
      </w:tr>
      <w:tr>
        <w:tc>
          <w:tcPr>
            <w:tcW w:type="dxa" w:w="3200"/>
            <w:tcMar>
              <w:top w:type="dxa" w:w="80"/>
              <w:left w:type="dxa" w:w="100"/>
              <w:bottom w:type="dxa" w:w="80"/>
              <w:right w:type="dxa" w:w="100"/>
            </w:tcMar>
          </w:tcPr>
          <w:p>
            <w:r>
              <w:rPr>
                <w:rFonts w:ascii="Calibri" w:cs="Calibri" w:eastAsia="Calibri" w:hAnsi="Calibri"/>
                <w:b w:val="false"/>
                <w:bCs w:val="false"/>
                <w:color w:val="1A1A2E"/>
                <w:sz w:val="19"/>
                <w:szCs w:val="19"/>
              </w:rPr>
              <w:t xml:space="preserve">Book value (equity)</w:t>
            </w:r>
          </w:p>
        </w:tc>
        <w:tc>
          <w:tcPr>
            <w:tcW w:type="dxa" w:w="2000"/>
            <w:tcMar>
              <w:top w:type="dxa" w:w="80"/>
              <w:left w:type="dxa" w:w="100"/>
              <w:bottom w:type="dxa" w:w="80"/>
              <w:right w:type="dxa" w:w="100"/>
            </w:tcMar>
          </w:tcPr>
          <w:p>
            <w:r>
              <w:rPr>
                <w:rFonts w:ascii="Calibri" w:cs="Calibri" w:eastAsia="Calibri" w:hAnsi="Calibri"/>
                <w:b w:val="false"/>
                <w:bCs w:val="false"/>
                <w:color w:val="1A1A2E"/>
                <w:sz w:val="19"/>
                <w:szCs w:val="19"/>
              </w:rPr>
              <w:t xml:space="preserve">466,303</w:t>
            </w:r>
          </w:p>
        </w:tc>
        <w:tc>
          <w:tcPr>
            <w:tcW w:type="dxa" w:w="2000"/>
            <w:tcMar>
              <w:top w:type="dxa" w:w="80"/>
              <w:left w:type="dxa" w:w="100"/>
              <w:bottom w:type="dxa" w:w="80"/>
              <w:right w:type="dxa" w:w="100"/>
            </w:tcMar>
          </w:tcPr>
          <w:p>
            <w:r>
              <w:rPr>
                <w:rFonts w:ascii="Calibri" w:cs="Calibri" w:eastAsia="Calibri" w:hAnsi="Calibri"/>
                <w:b w:val="false"/>
                <w:bCs w:val="false"/>
                <w:color w:val="1A1A2E"/>
                <w:sz w:val="19"/>
                <w:szCs w:val="19"/>
              </w:rPr>
              <w:t xml:space="preserve">114,026</w:t>
            </w:r>
          </w:p>
        </w:tc>
        <w:tc>
          <w:tcPr>
            <w:tcW w:type="dxa" w:w="2000"/>
            <w:tcMar>
              <w:top w:type="dxa" w:w="80"/>
              <w:left w:type="dxa" w:w="100"/>
              <w:bottom w:type="dxa" w:w="80"/>
              <w:right w:type="dxa" w:w="100"/>
            </w:tcMar>
          </w:tcPr>
          <w:p>
            <w:r>
              <w:rPr>
                <w:rFonts w:ascii="Calibri" w:cs="Calibri" w:eastAsia="Calibri" w:hAnsi="Calibri"/>
                <w:b w:val="false"/>
                <w:bCs w:val="false"/>
                <w:color w:val="1A1A2E"/>
                <w:sz w:val="19"/>
                <w:szCs w:val="19"/>
              </w:rPr>
              <w:t xml:space="preserve">580,329</w:t>
            </w:r>
          </w:p>
        </w:tc>
      </w:tr>
    </w:tbl>
    <w:p>
      <w:pPr>
        <w:spacing w:after="160" w:before="160"/>
      </w:pPr>
    </w:p>
    <w:p>
      <w:pPr>
        <w:pStyle w:val="Heading2"/>
        <w:spacing w:after="100" w:before="220"/>
      </w:pPr>
      <w:r>
        <w:rPr>
          <w:rFonts w:ascii="Calibri" w:cs="Calibri" w:eastAsia="Calibri" w:hAnsi="Calibri"/>
          <w:b/>
          <w:bCs/>
          <w:color w:val="1E2761"/>
          <w:sz w:val="22"/>
          <w:szCs w:val="22"/>
        </w:rPr>
        <w:t xml:space="preserve">2.3 Notes and caveats on the real baseline</w:t>
      </w:r>
    </w:p>
    <w:p>
      <w:pPr>
        <w:pStyle w:val="ListParagraph"/>
        <w:numPr>
          <w:ilvl w:val="0"/>
          <w:numId w:val="2"/>
        </w:numPr>
        <w:spacing w:after="80"/>
      </w:pPr>
      <w:r>
        <w:rPr>
          <w:rFonts w:ascii="Calibri" w:cs="Calibri" w:eastAsia="Calibri" w:hAnsi="Calibri"/>
          <w:color w:val="1A1A2E"/>
          <w:sz w:val="21"/>
          <w:szCs w:val="21"/>
        </w:rPr>
        <w:t xml:space="preserve">CADS pays TWB a $60K/year intercompany management fee; on consolidation this nets to zero in EBITDA but combined revenue is really ~$60K lower than the simple sum.</w:t>
      </w:r>
    </w:p>
    <w:p>
      <w:pPr>
        <w:pStyle w:val="ListParagraph"/>
        <w:numPr>
          <w:ilvl w:val="0"/>
          <w:numId w:val="2"/>
        </w:numPr>
        <w:spacing w:after="80"/>
      </w:pPr>
      <w:r>
        <w:rPr>
          <w:rFonts w:ascii="Calibri" w:cs="Calibri" w:eastAsia="Calibri" w:hAnsi="Calibri"/>
          <w:color w:val="1A1A2E"/>
          <w:sz w:val="21"/>
          <w:szCs w:val="21"/>
        </w:rPr>
        <w:t xml:space="preserve">TWB Designs' 2024 net income included a one-time $265,874 foreign exchange gain — excluding it, 2024 operating result was closer to ~$97K.</w:t>
      </w:r>
    </w:p>
    <w:p>
      <w:pPr>
        <w:pStyle w:val="ListParagraph"/>
        <w:numPr>
          <w:ilvl w:val="0"/>
          <w:numId w:val="2"/>
        </w:numPr>
        <w:spacing w:after="80"/>
      </w:pPr>
      <w:r>
        <w:rPr>
          <w:rFonts w:ascii="Calibri" w:cs="Calibri" w:eastAsia="Calibri" w:hAnsi="Calibri"/>
          <w:color w:val="1A1A2E"/>
          <w:sz w:val="21"/>
          <w:szCs w:val="21"/>
        </w:rPr>
        <w:t xml:space="preserve">CADS's 2025 EBITDA of ~$241K excludes a $28K unrealized scrap-metal write-down; including it, normalized 2025 combined EBITDA is closer to $206K.</w:t>
      </w:r>
    </w:p>
    <w:p>
      <w:pPr>
        <w:pStyle w:val="ListParagraph"/>
        <w:numPr>
          <w:ilvl w:val="0"/>
          <w:numId w:val="2"/>
        </w:numPr>
        <w:spacing w:after="80"/>
      </w:pPr>
      <w:r>
        <w:rPr>
          <w:rFonts w:ascii="Calibri" w:cs="Calibri" w:eastAsia="Calibri" w:hAnsi="Calibri"/>
          <w:color w:val="1A1A2E"/>
          <w:sz w:val="21"/>
          <w:szCs w:val="21"/>
        </w:rPr>
        <w:t xml:space="preserve">The only interest-bearing debt across all three years was a $40K CEBA loan at CADS, repaid in 2023 — the business is effectively debt-free today.</w:t>
      </w:r>
    </w:p>
    <w:p>
      <w:pPr>
        <w:pStyle w:val="ListParagraph"/>
        <w:numPr>
          <w:ilvl w:val="0"/>
          <w:numId w:val="2"/>
        </w:numPr>
        <w:spacing w:after="80"/>
      </w:pPr>
      <w:r>
        <w:rPr>
          <w:rFonts w:ascii="Calibri" w:cs="Calibri" w:eastAsia="Calibri" w:hAnsi="Calibri"/>
          <w:color w:val="1A1A2E"/>
          <w:sz w:val="21"/>
          <w:szCs w:val="21"/>
        </w:rPr>
        <w:t xml:space="preserve">CADS revenue has declined ~20% over three years (2023-2025); TWB Designs' equipment sales are lumpy and unpredictable ($64K, $864K, $143K across the same period).</w:t>
      </w:r>
    </w:p>
    <w:p>
      <w:pPr>
        <w:pStyle w:val="ListParagraph"/>
        <w:numPr>
          <w:ilvl w:val="0"/>
          <w:numId w:val="2"/>
        </w:numPr>
        <w:spacing w:after="80"/>
      </w:pPr>
      <w:r>
        <w:rPr>
          <w:rFonts w:ascii="Calibri" w:cs="Calibri" w:eastAsia="Calibri" w:hAnsi="Calibri"/>
          <w:color w:val="1A1A2E"/>
          <w:sz w:val="21"/>
          <w:szCs w:val="21"/>
        </w:rPr>
        <w:t xml:space="preserve">These are compilation engagements, not audits or reviews — the accountant provides no assurance. Real diligence would require bank statements, HST filings, AR aging, and customer contracts.</w:t>
      </w:r>
    </w:p>
    <w:p>
      <w:pPr>
        <w:spacing w:after="140"/>
      </w:pPr>
      <w:r>
        <w:rPr>
          <w:rFonts w:ascii="Calibri" w:cs="Calibri" w:eastAsia="Calibri" w:hAnsi="Calibri"/>
          <w:color w:val="1A1A2E"/>
          <w:sz w:val="21"/>
          <w:szCs w:val="21"/>
        </w:rPr>
        <w:t xml:space="preserve">A related, separate data point: the current owner (Tom Braithwaite) has offered both companies for sale at $700,000 CAD all-in (equipment, IP, and Ministry of Environment approvals included), citing health-driven retirement. On the numbers above, that price represents roughly 1.2x book value and roughly 1.8-3.0x average/trailing EBITDA — in the range small ammunition/environmental services businesses typically trade at (3-5x EBITDA), and at or below the low end given the recent revenue trend. This is included as real-world context for how the market might price TWB's current scale; it is not incorporated into the operating model's Year-0 base, which uses a separate modeled starting figure (Section 3).</w:t>
      </w:r>
    </w:p>
    <w:p>
      <w:pPr>
        <w:pStyle w:val="Heading1"/>
        <w:spacing w:after="140" w:before="320"/>
      </w:pPr>
      <w:r>
        <w:rPr>
          <w:rFonts w:ascii="Calibri" w:cs="Calibri" w:eastAsia="Calibri" w:hAnsi="Calibri"/>
          <w:b/>
          <w:bCs/>
          <w:color w:val="1E2761"/>
          <w:sz w:val="26"/>
          <w:szCs w:val="26"/>
        </w:rPr>
        <w:t xml:space="preserve">3. The Operating Model — How It Differs From the Real Baseline</w:t>
      </w:r>
    </w:p>
    <w:p>
      <w:pPr>
        <w:spacing w:after="140"/>
      </w:pPr>
      <w:r>
        <w:rPr>
          <w:rFonts w:ascii="Calibri" w:cs="Calibri" w:eastAsia="Calibri" w:hAnsi="Calibri"/>
          <w:color w:val="1A1A2E"/>
          <w:sz w:val="21"/>
          <w:szCs w:val="21"/>
        </w:rPr>
        <w:t xml:space="preserve">The Revenue Build tab in the accompanying workbook models TWB's Year-0 (2026) revenue at $3.5M — materially larger than the real ~$863K combined 2025 figure above. This is a deliberate modeling choice, not an error: the growth plan is built as an aspirational, pro-forma case layered on top of the real business. The gap between the real ~$863K baseline and the modeled $3.5M Year-0 figure should be treated as the first and most visible instance of the story-vs-fundamentals tension that runs through this whole package.</w:t>
      </w:r>
    </w:p>
    <w:p>
      <w:pPr>
        <w:spacing w:after="140"/>
      </w:pPr>
      <w:r>
        <w:rPr>
          <w:rFonts w:ascii="Calibri" w:cs="Calibri" w:eastAsia="Calibri" w:hAnsi="Calibri"/>
          <w:color w:val="1A1A2E"/>
          <w:sz w:val="21"/>
          <w:szCs w:val="21"/>
        </w:rPr>
        <w:t xml:space="preserve">Headline outputs of the operating model at Year 10, sourced from TWB_10-15yr_Forecast.xlsx:</w:t>
      </w:r>
    </w:p>
    <w:p>
      <w:pPr>
        <w:pStyle w:val="ListParagraph"/>
        <w:numPr>
          <w:ilvl w:val="0"/>
          <w:numId w:val="2"/>
        </w:numPr>
        <w:spacing w:after="80"/>
      </w:pPr>
      <w:r>
        <w:rPr>
          <w:rFonts w:ascii="Calibri" w:cs="Calibri" w:eastAsia="Calibri" w:hAnsi="Calibri"/>
          <w:color w:val="1A1A2E"/>
          <w:sz w:val="21"/>
          <w:szCs w:val="21"/>
        </w:rPr>
        <w:t xml:space="preserve">Year-10 revenue: $480.5M, against a Year-10 SAM modeled at $8.47bn (grown from a $5.2bn 2026 baseline) — an implied ~5.7% Year-10 SAM share.</w:t>
      </w:r>
    </w:p>
    <w:p>
      <w:pPr>
        <w:pStyle w:val="ListParagraph"/>
        <w:numPr>
          <w:ilvl w:val="0"/>
          <w:numId w:val="2"/>
        </w:numPr>
        <w:spacing w:after="80"/>
      </w:pPr>
      <w:r>
        <w:rPr>
          <w:rFonts w:ascii="Calibri" w:cs="Calibri" w:eastAsia="Calibri" w:hAnsi="Calibri"/>
          <w:color w:val="1A1A2E"/>
          <w:sz w:val="21"/>
          <w:szCs w:val="21"/>
        </w:rPr>
        <w:t xml:space="preserve">Year-10 total FTE: ~2,334, reflecting both organic hiring and headcount that transfers with acquired businesses.</w:t>
      </w:r>
    </w:p>
    <w:p>
      <w:pPr>
        <w:pStyle w:val="ListParagraph"/>
        <w:numPr>
          <w:ilvl w:val="0"/>
          <w:numId w:val="2"/>
        </w:numPr>
        <w:spacing w:after="80"/>
      </w:pPr>
      <w:r>
        <w:rPr>
          <w:rFonts w:ascii="Calibri" w:cs="Calibri" w:eastAsia="Calibri" w:hAnsi="Calibri"/>
          <w:color w:val="1A1A2E"/>
          <w:sz w:val="21"/>
          <w:szCs w:val="21"/>
        </w:rPr>
        <w:t xml:space="preserve">Acquisitions front-loaded Years 2-8, continuing through Year 12; average acquired revenue at entry of $18M, growing 15%/year post-acquisition; a majority of Year-10 revenue comes from acquired businesses rather than organic contract wins alone.</w:t>
      </w:r>
    </w:p>
    <w:p>
      <w:pPr>
        <w:pStyle w:val="ListParagraph"/>
        <w:numPr>
          <w:ilvl w:val="0"/>
          <w:numId w:val="2"/>
        </w:numPr>
        <w:spacing w:after="80"/>
      </w:pPr>
      <w:r>
        <w:rPr>
          <w:rFonts w:ascii="Calibri" w:cs="Calibri" w:eastAsia="Calibri" w:hAnsi="Calibri"/>
          <w:color w:val="1A1A2E"/>
          <w:sz w:val="21"/>
          <w:szCs w:val="21"/>
        </w:rPr>
        <w:t xml:space="preserve">Geographic sequencing: Canada (today) → US (Year 1, no ITAR barrier for a Canadian operator) → Europe/NATO (Year 2) → Ukraine (Year 3) → Middle East (Year 7) → chemical weapons demilitarization (Year 10, treated as optionality, not a core pillar).</w:t>
      </w:r>
    </w:p>
    <w:p>
      <w:pPr>
        <w:spacing w:after="140"/>
      </w:pPr>
      <w:r>
        <w:rPr>
          <w:rFonts w:ascii="Calibri" w:cs="Calibri" w:eastAsia="Calibri" w:hAnsi="Calibri"/>
          <w:color w:val="1A1A2E"/>
          <w:sz w:val="21"/>
          <w:szCs w:val="21"/>
        </w:rPr>
        <w:t xml:space="preserve">Full assumption-level detail, including every phase-gate, growth rate, and acquisition parameter, is documented directly in the workbook (Revenue Build, TAM-SAM-SOM, Segment Detail, Scenarios, and Sources tabs) with cell-level comments explaining each modeled figure.</w:t>
      </w:r>
    </w:p>
    <w:p>
      <w:pPr>
        <w:pStyle w:val="Heading1"/>
        <w:spacing w:after="140" w:before="320"/>
      </w:pPr>
      <w:r>
        <w:rPr>
          <w:rFonts w:ascii="Calibri" w:cs="Calibri" w:eastAsia="Calibri" w:hAnsi="Calibri"/>
          <w:b/>
          <w:bCs/>
          <w:color w:val="1E2761"/>
          <w:sz w:val="26"/>
          <w:szCs w:val="26"/>
        </w:rPr>
        <w:t xml:space="preserve">4. Valuation Methodology</w:t>
      </w:r>
    </w:p>
    <w:p>
      <w:pPr>
        <w:spacing w:after="140"/>
      </w:pPr>
      <w:r>
        <w:rPr>
          <w:rFonts w:ascii="Calibri" w:cs="Calibri" w:eastAsia="Calibri" w:hAnsi="Calibri"/>
          <w:color w:val="1A1A2E"/>
          <w:sz w:val="21"/>
          <w:szCs w:val="21"/>
        </w:rPr>
        <w:t xml:space="preserve">The valuation approach in the deck and workbook follows a standard growth-stage go-public valuation methodology used for capital-intensive, government/industrial-facing sectors (metals recycling, critical minerals, specialty manufacturing, defense services): (1) build a comp universe of named public companies in the relevant sector; (2) take the comp EV/EBITDA multiple; (3) apply it to the company's own future EBITDA estimate; (4) discount that future firm value back to today; (5) compare the result to an illustrative or actual deal price.</w:t>
      </w:r>
    </w:p>
    <w:p>
      <w:pPr>
        <w:pStyle w:val="Heading2"/>
        <w:spacing w:after="100" w:before="220"/>
      </w:pPr>
      <w:r>
        <w:rPr>
          <w:rFonts w:ascii="Calibri" w:cs="Calibri" w:eastAsia="Calibri" w:hAnsi="Calibri"/>
          <w:b/>
          <w:bCs/>
          <w:color w:val="1E2761"/>
          <w:sz w:val="22"/>
          <w:szCs w:val="22"/>
        </w:rPr>
        <w:t xml:space="preserve">4.1 TWB's comp universe</w:t>
      </w:r>
    </w:p>
    <w:p>
      <w:pPr>
        <w:spacing w:after="140"/>
      </w:pPr>
      <w:r>
        <w:rPr>
          <w:rFonts w:ascii="Calibri" w:cs="Calibri" w:eastAsia="Calibri" w:hAnsi="Calibri"/>
          <w:color w:val="1A1A2E"/>
          <w:sz w:val="21"/>
          <w:szCs w:val="21"/>
        </w:rPr>
        <w:t xml:space="preserve">TWB has no direct, liquid public comp set for small-arms/ammunition destruction specifically. Rather than fabricate a broad multi-category universe where one doesn't genuinely exist, the model uses the closest available proxy: public and private-market Aerospace &amp; Defense (A&amp;D) services multiples.</w:t>
      </w:r>
    </w:p>
    <w:tbl>
      <w:tblPr>
        <w:tblW w:type="dxa" w:w="10400"/>
        <w:tblBorders>
          <w:top w:val="single" w:color="auto" w:sz="4"/>
          <w:left w:val="single" w:color="auto" w:sz="4"/>
          <w:bottom w:val="single" w:color="auto" w:sz="4"/>
          <w:right w:val="single" w:color="auto" w:sz="4"/>
          <w:insideH w:val="single" w:color="auto" w:sz="4"/>
          <w:insideV w:val="single" w:color="auto" w:sz="4"/>
        </w:tblBorders>
      </w:tblPr>
      <w:tblGrid>
        <w:gridCol w:w="2800"/>
        <w:gridCol w:w="4200"/>
        <w:gridCol w:w="1600"/>
        <w:gridCol w:w="1800"/>
      </w:tblGrid>
      <w:tr>
        <w:trPr>
          <w:tblHeader/>
        </w:trPr>
        <w:tc>
          <w:tcPr>
            <w:tcW w:type="dxa" w:w="2800"/>
            <w:shd w:fill="D9E2F3" w:val="clear"/>
            <w:tcMar>
              <w:top w:type="dxa" w:w="80"/>
              <w:left w:type="dxa" w:w="100"/>
              <w:bottom w:type="dxa" w:w="80"/>
              <w:right w:type="dxa" w:w="100"/>
            </w:tcMar>
          </w:tcPr>
          <w:p>
            <w:r>
              <w:rPr>
                <w:rFonts w:ascii="Calibri" w:cs="Calibri" w:eastAsia="Calibri" w:hAnsi="Calibri"/>
                <w:b/>
                <w:bCs/>
                <w:color w:val="1A1A2E"/>
                <w:sz w:val="19"/>
                <w:szCs w:val="19"/>
              </w:rPr>
              <w:t xml:space="preserve">TWB comp category</w:t>
            </w:r>
          </w:p>
        </w:tc>
        <w:tc>
          <w:tcPr>
            <w:tcW w:type="dxa" w:w="4200"/>
            <w:shd w:fill="D9E2F3" w:val="clear"/>
            <w:tcMar>
              <w:top w:type="dxa" w:w="80"/>
              <w:left w:type="dxa" w:w="100"/>
              <w:bottom w:type="dxa" w:w="80"/>
              <w:right w:type="dxa" w:w="100"/>
            </w:tcMar>
          </w:tcPr>
          <w:p>
            <w:r>
              <w:rPr>
                <w:rFonts w:ascii="Calibri" w:cs="Calibri" w:eastAsia="Calibri" w:hAnsi="Calibri"/>
                <w:b/>
                <w:bCs/>
                <w:color w:val="1A1A2E"/>
                <w:sz w:val="19"/>
                <w:szCs w:val="19"/>
              </w:rPr>
              <w:t xml:space="preserve">Example companies</w:t>
            </w:r>
          </w:p>
        </w:tc>
        <w:tc>
          <w:tcPr>
            <w:tcW w:type="dxa" w:w="1600"/>
            <w:shd w:fill="D9E2F3" w:val="clear"/>
            <w:tcMar>
              <w:top w:type="dxa" w:w="80"/>
              <w:left w:type="dxa" w:w="100"/>
              <w:bottom w:type="dxa" w:w="80"/>
              <w:right w:type="dxa" w:w="100"/>
            </w:tcMar>
          </w:tcPr>
          <w:p>
            <w:r>
              <w:rPr>
                <w:rFonts w:ascii="Calibri" w:cs="Calibri" w:eastAsia="Calibri" w:hAnsi="Calibri"/>
                <w:b/>
                <w:bCs/>
                <w:color w:val="1A1A2E"/>
                <w:sz w:val="19"/>
                <w:szCs w:val="19"/>
              </w:rPr>
              <w:t xml:space="preserve">EV/EBITDA (public)</w:t>
            </w:r>
          </w:p>
        </w:tc>
        <w:tc>
          <w:tcPr>
            <w:tcW w:type="dxa" w:w="1800"/>
            <w:shd w:fill="D9E2F3" w:val="clear"/>
            <w:tcMar>
              <w:top w:type="dxa" w:w="80"/>
              <w:left w:type="dxa" w:w="100"/>
              <w:bottom w:type="dxa" w:w="80"/>
              <w:right w:type="dxa" w:w="100"/>
            </w:tcMar>
          </w:tcPr>
          <w:p>
            <w:r>
              <w:rPr>
                <w:rFonts w:ascii="Calibri" w:cs="Calibri" w:eastAsia="Calibri" w:hAnsi="Calibri"/>
                <w:b/>
                <w:bCs/>
                <w:color w:val="1A1A2E"/>
                <w:sz w:val="19"/>
                <w:szCs w:val="19"/>
              </w:rPr>
              <w:t xml:space="preserve">EV/EBITDA (private/strategic)</w:t>
            </w:r>
          </w:p>
        </w:tc>
      </w:tr>
      <w:tr>
        <w:tc>
          <w:tcPr>
            <w:tcW w:type="dxa" w:w="2800"/>
            <w:tcMar>
              <w:top w:type="dxa" w:w="80"/>
              <w:left w:type="dxa" w:w="100"/>
              <w:bottom w:type="dxa" w:w="80"/>
              <w:right w:type="dxa" w:w="100"/>
            </w:tcMar>
          </w:tcPr>
          <w:p>
            <w:r>
              <w:rPr>
                <w:rFonts w:ascii="Calibri" w:cs="Calibri" w:eastAsia="Calibri" w:hAnsi="Calibri"/>
                <w:b w:val="false"/>
                <w:bCs w:val="false"/>
                <w:color w:val="1A1A2E"/>
                <w:sz w:val="19"/>
                <w:szCs w:val="19"/>
              </w:rPr>
              <w:t xml:space="preserve">Aerospace &amp; Defense Services</w:t>
            </w:r>
          </w:p>
        </w:tc>
        <w:tc>
          <w:tcPr>
            <w:tcW w:type="dxa" w:w="4200"/>
            <w:tcMar>
              <w:top w:type="dxa" w:w="80"/>
              <w:left w:type="dxa" w:w="100"/>
              <w:bottom w:type="dxa" w:w="80"/>
              <w:right w:type="dxa" w:w="100"/>
            </w:tcMar>
          </w:tcPr>
          <w:p>
            <w:r>
              <w:rPr>
                <w:rFonts w:ascii="Calibri" w:cs="Calibri" w:eastAsia="Calibri" w:hAnsi="Calibri"/>
                <w:b w:val="false"/>
                <w:bCs w:val="false"/>
                <w:color w:val="1A1A2E"/>
                <w:sz w:val="19"/>
                <w:szCs w:val="19"/>
              </w:rPr>
              <w:t xml:space="preserve">Cadre Holdings, and the broader public A&amp;D services cohort</w:t>
            </w:r>
          </w:p>
        </w:tc>
        <w:tc>
          <w:tcPr>
            <w:tcW w:type="dxa" w:w="1600"/>
            <w:tcMar>
              <w:top w:type="dxa" w:w="80"/>
              <w:left w:type="dxa" w:w="100"/>
              <w:bottom w:type="dxa" w:w="80"/>
              <w:right w:type="dxa" w:w="100"/>
            </w:tcMar>
          </w:tcPr>
          <w:p>
            <w:r>
              <w:rPr>
                <w:rFonts w:ascii="Calibri" w:cs="Calibri" w:eastAsia="Calibri" w:hAnsi="Calibri"/>
                <w:b w:val="false"/>
                <w:bCs w:val="false"/>
                <w:color w:val="1A1A2E"/>
                <w:sz w:val="19"/>
                <w:szCs w:val="19"/>
              </w:rPr>
              <w:t xml:space="preserve">11.4x (Q3 2025)</w:t>
            </w:r>
          </w:p>
        </w:tc>
        <w:tc>
          <w:tcPr>
            <w:tcW w:type="dxa" w:w="1800"/>
            <w:tcMar>
              <w:top w:type="dxa" w:w="80"/>
              <w:left w:type="dxa" w:w="100"/>
              <w:bottom w:type="dxa" w:w="80"/>
              <w:right w:type="dxa" w:w="100"/>
            </w:tcMar>
          </w:tcPr>
          <w:p>
            <w:r>
              <w:rPr>
                <w:rFonts w:ascii="Calibri" w:cs="Calibri" w:eastAsia="Calibri" w:hAnsi="Calibri"/>
                <w:b w:val="false"/>
                <w:bCs w:val="false"/>
                <w:color w:val="1A1A2E"/>
                <w:sz w:val="19"/>
                <w:szCs w:val="19"/>
              </w:rPr>
              <w:t xml:space="preserve">19.0x (Q2 2026 deals)</w:t>
            </w:r>
          </w:p>
        </w:tc>
      </w:tr>
    </w:tbl>
    <w:p>
      <w:pPr>
        <w:spacing w:after="160" w:before="160"/>
      </w:pPr>
    </w:p>
    <w:p>
      <w:pPr>
        <w:spacing w:after="140"/>
      </w:pPr>
      <w:r>
        <w:rPr>
          <w:rFonts w:ascii="Calibri" w:cs="Calibri" w:eastAsia="Calibri" w:hAnsi="Calibri"/>
          <w:color w:val="1A1A2E"/>
          <w:sz w:val="21"/>
          <w:szCs w:val="21"/>
        </w:rPr>
        <w:t xml:space="preserve">This is a narrow, deliberately conservative comp set — an honest reflection of TWB's sector having few, thinly-traded direct public comparables, rather than a manufactured wide universe implying false precision.</w:t>
      </w:r>
    </w:p>
    <w:p>
      <w:pPr>
        <w:pStyle w:val="Heading1"/>
        <w:spacing w:after="140" w:before="320"/>
      </w:pPr>
      <w:r>
        <w:rPr>
          <w:rFonts w:ascii="Calibri" w:cs="Calibri" w:eastAsia="Calibri" w:hAnsi="Calibri"/>
          <w:b/>
          <w:bCs/>
          <w:color w:val="1E2761"/>
          <w:sz w:val="26"/>
          <w:szCs w:val="26"/>
        </w:rPr>
        <w:t xml:space="preserve">5. The Discounted Future Value Bridge — Applied on a 10-Year Basis</w:t>
      </w:r>
    </w:p>
    <w:p>
      <w:pPr>
        <w:spacing w:after="140"/>
      </w:pPr>
      <w:r>
        <w:rPr>
          <w:rFonts w:ascii="Calibri" w:cs="Calibri" w:eastAsia="Calibri" w:hAnsi="Calibri"/>
          <w:color w:val="1A1A2E"/>
          <w:sz w:val="21"/>
          <w:szCs w:val="21"/>
        </w:rPr>
        <w:t xml:space="preserve">The bridge below applies the comp multiple range to TWB's Year-10 modeled EBITDA, then discounts that future firm value back to today over exactly 10 years — matching the number of years actually being projected. This matching is the single most important design choice in the whole bridge.</w:t>
      </w:r>
    </w:p>
    <w:tbl>
      <w:tblPr>
        <w:tblW w:type="dxa" w:w="8400"/>
        <w:tblBorders>
          <w:top w:val="single" w:color="auto" w:sz="4"/>
          <w:left w:val="single" w:color="auto" w:sz="4"/>
          <w:bottom w:val="single" w:color="auto" w:sz="4"/>
          <w:right w:val="single" w:color="auto" w:sz="4"/>
          <w:insideH w:val="single" w:color="auto" w:sz="4"/>
          <w:insideV w:val="single" w:color="auto" w:sz="4"/>
        </w:tblBorders>
      </w:tblPr>
      <w:tblGrid>
        <w:gridCol w:w="5200"/>
        <w:gridCol w:w="3200"/>
      </w:tblGrid>
      <w:tr>
        <w:trPr>
          <w:tblHeader/>
        </w:trPr>
        <w:tc>
          <w:tcPr>
            <w:tcW w:type="dxa" w:w="5200"/>
            <w:shd w:fill="D9E2F3" w:val="clear"/>
            <w:tcMar>
              <w:top w:type="dxa" w:w="80"/>
              <w:left w:type="dxa" w:w="100"/>
              <w:bottom w:type="dxa" w:w="80"/>
              <w:right w:type="dxa" w:w="100"/>
            </w:tcMar>
          </w:tcPr>
          <w:p>
            <w:r>
              <w:rPr>
                <w:rFonts w:ascii="Calibri" w:cs="Calibri" w:eastAsia="Calibri" w:hAnsi="Calibri"/>
                <w:b/>
                <w:bCs/>
                <w:color w:val="1A1A2E"/>
                <w:sz w:val="19"/>
                <w:szCs w:val="19"/>
              </w:rPr>
              <w:t xml:space="preserve">Step</w:t>
            </w:r>
          </w:p>
        </w:tc>
        <w:tc>
          <w:tcPr>
            <w:tcW w:type="dxa" w:w="3200"/>
            <w:shd w:fill="D9E2F3" w:val="clear"/>
            <w:tcMar>
              <w:top w:type="dxa" w:w="80"/>
              <w:left w:type="dxa" w:w="100"/>
              <w:bottom w:type="dxa" w:w="80"/>
              <w:right w:type="dxa" w:w="100"/>
            </w:tcMar>
          </w:tcPr>
          <w:p>
            <w:r>
              <w:rPr>
                <w:rFonts w:ascii="Calibri" w:cs="Calibri" w:eastAsia="Calibri" w:hAnsi="Calibri"/>
                <w:b/>
                <w:bCs/>
                <w:color w:val="1A1A2E"/>
                <w:sz w:val="19"/>
                <w:szCs w:val="19"/>
              </w:rPr>
              <w:t xml:space="preserve">Value</w:t>
            </w:r>
          </w:p>
        </w:tc>
      </w:tr>
      <w:tr>
        <w:tc>
          <w:tcPr>
            <w:tcW w:type="dxa" w:w="5200"/>
            <w:tcMar>
              <w:top w:type="dxa" w:w="80"/>
              <w:left w:type="dxa" w:w="100"/>
              <w:bottom w:type="dxa" w:w="80"/>
              <w:right w:type="dxa" w:w="100"/>
            </w:tcMar>
          </w:tcPr>
          <w:p>
            <w:r>
              <w:rPr>
                <w:rFonts w:ascii="Calibri" w:cs="Calibri" w:eastAsia="Calibri" w:hAnsi="Calibri"/>
                <w:b w:val="false"/>
                <w:bCs w:val="false"/>
                <w:color w:val="1A1A2E"/>
                <w:sz w:val="19"/>
                <w:szCs w:val="19"/>
              </w:rPr>
              <w:t xml:space="preserve">TWB Year-10 revenue (Revenue Build tab)</w:t>
            </w:r>
          </w:p>
        </w:tc>
        <w:tc>
          <w:tcPr>
            <w:tcW w:type="dxa" w:w="3200"/>
            <w:tcMar>
              <w:top w:type="dxa" w:w="80"/>
              <w:left w:type="dxa" w:w="100"/>
              <w:bottom w:type="dxa" w:w="80"/>
              <w:right w:type="dxa" w:w="100"/>
            </w:tcMar>
          </w:tcPr>
          <w:p>
            <w:r>
              <w:rPr>
                <w:rFonts w:ascii="Calibri" w:cs="Calibri" w:eastAsia="Calibri" w:hAnsi="Calibri"/>
                <w:b w:val="false"/>
                <w:bCs w:val="false"/>
                <w:color w:val="1A1A2E"/>
                <w:sz w:val="19"/>
                <w:szCs w:val="19"/>
              </w:rPr>
              <w:t xml:space="preserve">$480.5M</w:t>
            </w:r>
          </w:p>
        </w:tc>
      </w:tr>
      <w:tr>
        <w:tc>
          <w:tcPr>
            <w:tcW w:type="dxa" w:w="5200"/>
            <w:tcMar>
              <w:top w:type="dxa" w:w="80"/>
              <w:left w:type="dxa" w:w="100"/>
              <w:bottom w:type="dxa" w:w="80"/>
              <w:right w:type="dxa" w:w="100"/>
            </w:tcMar>
          </w:tcPr>
          <w:p>
            <w:r>
              <w:rPr>
                <w:rFonts w:ascii="Calibri" w:cs="Calibri" w:eastAsia="Calibri" w:hAnsi="Calibri"/>
                <w:b w:val="false"/>
                <w:bCs w:val="false"/>
                <w:color w:val="1A1A2E"/>
                <w:sz w:val="19"/>
                <w:szCs w:val="19"/>
              </w:rPr>
              <w:t xml:space="preserve">Assumed EBITDA margin at scale (modeled)</w:t>
            </w:r>
          </w:p>
        </w:tc>
        <w:tc>
          <w:tcPr>
            <w:tcW w:type="dxa" w:w="3200"/>
            <w:tcMar>
              <w:top w:type="dxa" w:w="80"/>
              <w:left w:type="dxa" w:w="100"/>
              <w:bottom w:type="dxa" w:w="80"/>
              <w:right w:type="dxa" w:w="100"/>
            </w:tcMar>
          </w:tcPr>
          <w:p>
            <w:r>
              <w:rPr>
                <w:rFonts w:ascii="Calibri" w:cs="Calibri" w:eastAsia="Calibri" w:hAnsi="Calibri"/>
                <w:b w:val="false"/>
                <w:bCs w:val="false"/>
                <w:color w:val="1A1A2E"/>
                <w:sz w:val="19"/>
                <w:szCs w:val="19"/>
              </w:rPr>
              <w:t xml:space="preserve">20%</w:t>
            </w:r>
          </w:p>
        </w:tc>
      </w:tr>
      <w:tr>
        <w:tc>
          <w:tcPr>
            <w:tcW w:type="dxa" w:w="5200"/>
            <w:tcMar>
              <w:top w:type="dxa" w:w="80"/>
              <w:left w:type="dxa" w:w="100"/>
              <w:bottom w:type="dxa" w:w="80"/>
              <w:right w:type="dxa" w:w="100"/>
            </w:tcMar>
          </w:tcPr>
          <w:p>
            <w:r>
              <w:rPr>
                <w:rFonts w:ascii="Calibri" w:cs="Calibri" w:eastAsia="Calibri" w:hAnsi="Calibri"/>
                <w:b w:val="false"/>
                <w:bCs w:val="false"/>
                <w:color w:val="1A1A2E"/>
                <w:sz w:val="19"/>
                <w:szCs w:val="19"/>
              </w:rPr>
              <w:t xml:space="preserve">Implied Year-10 EBITDA</w:t>
            </w:r>
          </w:p>
        </w:tc>
        <w:tc>
          <w:tcPr>
            <w:tcW w:type="dxa" w:w="3200"/>
            <w:tcMar>
              <w:top w:type="dxa" w:w="80"/>
              <w:left w:type="dxa" w:w="100"/>
              <w:bottom w:type="dxa" w:w="80"/>
              <w:right w:type="dxa" w:w="100"/>
            </w:tcMar>
          </w:tcPr>
          <w:p>
            <w:r>
              <w:rPr>
                <w:rFonts w:ascii="Calibri" w:cs="Calibri" w:eastAsia="Calibri" w:hAnsi="Calibri"/>
                <w:b w:val="false"/>
                <w:bCs w:val="false"/>
                <w:color w:val="1A1A2E"/>
                <w:sz w:val="19"/>
                <w:szCs w:val="19"/>
              </w:rPr>
              <w:t xml:space="preserve">$96.1M</w:t>
            </w:r>
          </w:p>
        </w:tc>
      </w:tr>
      <w:tr>
        <w:tc>
          <w:tcPr>
            <w:tcW w:type="dxa" w:w="5200"/>
            <w:tcMar>
              <w:top w:type="dxa" w:w="80"/>
              <w:left w:type="dxa" w:w="100"/>
              <w:bottom w:type="dxa" w:w="80"/>
              <w:right w:type="dxa" w:w="100"/>
            </w:tcMar>
          </w:tcPr>
          <w:p>
            <w:r>
              <w:rPr>
                <w:rFonts w:ascii="Calibri" w:cs="Calibri" w:eastAsia="Calibri" w:hAnsi="Calibri"/>
                <w:b w:val="false"/>
                <w:bCs w:val="false"/>
                <w:color w:val="1A1A2E"/>
                <w:sz w:val="19"/>
                <w:szCs w:val="19"/>
              </w:rPr>
              <w:t xml:space="preserve">Comp multiple range applied</w:t>
            </w:r>
          </w:p>
        </w:tc>
        <w:tc>
          <w:tcPr>
            <w:tcW w:type="dxa" w:w="3200"/>
            <w:tcMar>
              <w:top w:type="dxa" w:w="80"/>
              <w:left w:type="dxa" w:w="100"/>
              <w:bottom w:type="dxa" w:w="80"/>
              <w:right w:type="dxa" w:w="100"/>
            </w:tcMar>
          </w:tcPr>
          <w:p>
            <w:r>
              <w:rPr>
                <w:rFonts w:ascii="Calibri" w:cs="Calibri" w:eastAsia="Calibri" w:hAnsi="Calibri"/>
                <w:b w:val="false"/>
                <w:bCs w:val="false"/>
                <w:color w:val="1A1A2E"/>
                <w:sz w:val="19"/>
                <w:szCs w:val="19"/>
              </w:rPr>
              <w:t xml:space="preserve">11.4x – 19.0x</w:t>
            </w:r>
          </w:p>
        </w:tc>
      </w:tr>
      <w:tr>
        <w:tc>
          <w:tcPr>
            <w:tcW w:type="dxa" w:w="5200"/>
            <w:tcMar>
              <w:top w:type="dxa" w:w="80"/>
              <w:left w:type="dxa" w:w="100"/>
              <w:bottom w:type="dxa" w:w="80"/>
              <w:right w:type="dxa" w:w="100"/>
            </w:tcMar>
          </w:tcPr>
          <w:p>
            <w:r>
              <w:rPr>
                <w:rFonts w:ascii="Calibri" w:cs="Calibri" w:eastAsia="Calibri" w:hAnsi="Calibri"/>
                <w:b w:val="false"/>
                <w:bCs w:val="false"/>
                <w:color w:val="1A1A2E"/>
                <w:sz w:val="19"/>
                <w:szCs w:val="19"/>
              </w:rPr>
              <w:t xml:space="preserve">Future firm value range</w:t>
            </w:r>
          </w:p>
        </w:tc>
        <w:tc>
          <w:tcPr>
            <w:tcW w:type="dxa" w:w="3200"/>
            <w:tcMar>
              <w:top w:type="dxa" w:w="80"/>
              <w:left w:type="dxa" w:w="100"/>
              <w:bottom w:type="dxa" w:w="80"/>
              <w:right w:type="dxa" w:w="100"/>
            </w:tcMar>
          </w:tcPr>
          <w:p>
            <w:r>
              <w:rPr>
                <w:rFonts w:ascii="Calibri" w:cs="Calibri" w:eastAsia="Calibri" w:hAnsi="Calibri"/>
                <w:b w:val="false"/>
                <w:bCs w:val="false"/>
                <w:color w:val="1A1A2E"/>
                <w:sz w:val="19"/>
                <w:szCs w:val="19"/>
              </w:rPr>
              <w:t xml:space="preserve">$1,095M – $1,826M</w:t>
            </w:r>
          </w:p>
        </w:tc>
      </w:tr>
      <w:tr>
        <w:tc>
          <w:tcPr>
            <w:tcW w:type="dxa" w:w="5200"/>
            <w:tcMar>
              <w:top w:type="dxa" w:w="80"/>
              <w:left w:type="dxa" w:w="100"/>
              <w:bottom w:type="dxa" w:w="80"/>
              <w:right w:type="dxa" w:w="100"/>
            </w:tcMar>
          </w:tcPr>
          <w:p>
            <w:r>
              <w:rPr>
                <w:rFonts w:ascii="Calibri" w:cs="Calibri" w:eastAsia="Calibri" w:hAnsi="Calibri"/>
                <w:b w:val="false"/>
                <w:bCs w:val="false"/>
                <w:color w:val="1A1A2E"/>
                <w:sz w:val="19"/>
                <w:szCs w:val="19"/>
              </w:rPr>
              <w:t xml:space="preserve">Discount rate / periods</w:t>
            </w:r>
          </w:p>
        </w:tc>
        <w:tc>
          <w:tcPr>
            <w:tcW w:type="dxa" w:w="3200"/>
            <w:tcMar>
              <w:top w:type="dxa" w:w="80"/>
              <w:left w:type="dxa" w:w="100"/>
              <w:bottom w:type="dxa" w:w="80"/>
              <w:right w:type="dxa" w:w="100"/>
            </w:tcMar>
          </w:tcPr>
          <w:p>
            <w:r>
              <w:rPr>
                <w:rFonts w:ascii="Calibri" w:cs="Calibri" w:eastAsia="Calibri" w:hAnsi="Calibri"/>
                <w:b w:val="false"/>
                <w:bCs w:val="false"/>
                <w:color w:val="1A1A2E"/>
                <w:sz w:val="19"/>
                <w:szCs w:val="19"/>
              </w:rPr>
              <w:t xml:space="preserve">20% / 10 (matched to the 10-year projection horizon)</w:t>
            </w:r>
          </w:p>
        </w:tc>
      </w:tr>
      <w:tr>
        <w:tc>
          <w:tcPr>
            <w:tcW w:type="dxa" w:w="5200"/>
            <w:tcMar>
              <w:top w:type="dxa" w:w="80"/>
              <w:left w:type="dxa" w:w="100"/>
              <w:bottom w:type="dxa" w:w="80"/>
              <w:right w:type="dxa" w:w="100"/>
            </w:tcMar>
          </w:tcPr>
          <w:p>
            <w:r>
              <w:rPr>
                <w:rFonts w:ascii="Calibri" w:cs="Calibri" w:eastAsia="Calibri" w:hAnsi="Calibri"/>
                <w:b w:val="false"/>
                <w:bCs w:val="false"/>
                <w:color w:val="1A1A2E"/>
                <w:sz w:val="19"/>
                <w:szCs w:val="19"/>
              </w:rPr>
              <w:t xml:space="preserve">Implied discounted fair value — midpoint</w:t>
            </w:r>
          </w:p>
        </w:tc>
        <w:tc>
          <w:tcPr>
            <w:tcW w:type="dxa" w:w="3200"/>
            <w:tcMar>
              <w:top w:type="dxa" w:w="80"/>
              <w:left w:type="dxa" w:w="100"/>
              <w:bottom w:type="dxa" w:w="80"/>
              <w:right w:type="dxa" w:w="100"/>
            </w:tcMar>
          </w:tcPr>
          <w:p>
            <w:r>
              <w:rPr>
                <w:rFonts w:ascii="Calibri" w:cs="Calibri" w:eastAsia="Calibri" w:hAnsi="Calibri"/>
                <w:b w:val="false"/>
                <w:bCs w:val="false"/>
                <w:color w:val="1A1A2E"/>
                <w:sz w:val="19"/>
                <w:szCs w:val="19"/>
              </w:rPr>
              <w:t xml:space="preserve">$235.9M</w:t>
            </w:r>
          </w:p>
        </w:tc>
      </w:tr>
      <w:tr>
        <w:tc>
          <w:tcPr>
            <w:tcW w:type="dxa" w:w="5200"/>
            <w:tcMar>
              <w:top w:type="dxa" w:w="80"/>
              <w:left w:type="dxa" w:w="100"/>
              <w:bottom w:type="dxa" w:w="80"/>
              <w:right w:type="dxa" w:w="100"/>
            </w:tcMar>
          </w:tcPr>
          <w:p>
            <w:r>
              <w:rPr>
                <w:rFonts w:ascii="Calibri" w:cs="Calibri" w:eastAsia="Calibri" w:hAnsi="Calibri"/>
                <w:b w:val="false"/>
                <w:bCs w:val="false"/>
                <w:color w:val="1A1A2E"/>
                <w:sz w:val="19"/>
                <w:szCs w:val="19"/>
              </w:rPr>
              <w:t xml:space="preserve">Illustrative 2027 deal EV (modeled)</w:t>
            </w:r>
          </w:p>
        </w:tc>
        <w:tc>
          <w:tcPr>
            <w:tcW w:type="dxa" w:w="3200"/>
            <w:tcMar>
              <w:top w:type="dxa" w:w="80"/>
              <w:left w:type="dxa" w:w="100"/>
              <w:bottom w:type="dxa" w:w="80"/>
              <w:right w:type="dxa" w:w="100"/>
            </w:tcMar>
          </w:tcPr>
          <w:p>
            <w:r>
              <w:rPr>
                <w:rFonts w:ascii="Calibri" w:cs="Calibri" w:eastAsia="Calibri" w:hAnsi="Calibri"/>
                <w:b w:val="false"/>
                <w:bCs w:val="false"/>
                <w:color w:val="1A1A2E"/>
                <w:sz w:val="19"/>
                <w:szCs w:val="19"/>
              </w:rPr>
              <w:t xml:space="preserve">$150M</w:t>
            </w:r>
          </w:p>
        </w:tc>
      </w:tr>
      <w:tr>
        <w:tc>
          <w:tcPr>
            <w:tcW w:type="dxa" w:w="5200"/>
            <w:tcMar>
              <w:top w:type="dxa" w:w="80"/>
              <w:left w:type="dxa" w:w="100"/>
              <w:bottom w:type="dxa" w:w="80"/>
              <w:right w:type="dxa" w:w="100"/>
            </w:tcMar>
          </w:tcPr>
          <w:p>
            <w:r>
              <w:rPr>
                <w:rFonts w:ascii="Calibri" w:cs="Calibri" w:eastAsia="Calibri" w:hAnsi="Calibri"/>
                <w:b w:val="false"/>
                <w:bCs w:val="false"/>
                <w:color w:val="1A1A2E"/>
                <w:sz w:val="19"/>
                <w:szCs w:val="19"/>
              </w:rPr>
              <w:t xml:space="preserve">Implied discount to fair value</w:t>
            </w:r>
          </w:p>
        </w:tc>
        <w:tc>
          <w:tcPr>
            <w:tcW w:type="dxa" w:w="3200"/>
            <w:tcMar>
              <w:top w:type="dxa" w:w="80"/>
              <w:left w:type="dxa" w:w="100"/>
              <w:bottom w:type="dxa" w:w="80"/>
              <w:right w:type="dxa" w:w="100"/>
            </w:tcMar>
          </w:tcPr>
          <w:p>
            <w:r>
              <w:rPr>
                <w:rFonts w:ascii="Calibri" w:cs="Calibri" w:eastAsia="Calibri" w:hAnsi="Calibri"/>
                <w:b w:val="false"/>
                <w:bCs w:val="false"/>
                <w:color w:val="1A1A2E"/>
                <w:sz w:val="19"/>
                <w:szCs w:val="19"/>
              </w:rPr>
              <w:t xml:space="preserve">36.4%</w:t>
            </w:r>
          </w:p>
        </w:tc>
      </w:tr>
    </w:tbl>
    <w:p>
      <w:pPr>
        <w:spacing w:after="160" w:before="160"/>
      </w:pPr>
    </w:p>
    <w:p>
      <w:pPr>
        <w:pStyle w:val="Heading1"/>
        <w:spacing w:after="140" w:before="320"/>
      </w:pPr>
      <w:r>
        <w:rPr>
          <w:rFonts w:ascii="Calibri" w:cs="Calibri" w:eastAsia="Calibri" w:hAnsi="Calibri"/>
          <w:b/>
          <w:bCs/>
          <w:color w:val="1E2761"/>
          <w:sz w:val="26"/>
          <w:szCs w:val="26"/>
        </w:rPr>
        <w:t xml:space="preserve">6. Why the Discount Period Must Match the Projection Horizon</w:t>
      </w:r>
    </w:p>
    <w:p>
      <w:pPr>
        <w:pBdr>
          <w:top w:val="single" w:color="B91C1C" w:sz="6"/>
          <w:bottom w:val="single" w:color="B91C1C" w:sz="6"/>
          <w:left w:val="single" w:color="B91C1C" w:sz="6"/>
          <w:right w:val="single" w:color="B91C1C" w:sz="6"/>
        </w:pBdr>
        <w:shd w:fill="FCE4E4" w:val="clear"/>
        <w:spacing w:after="200" w:before="100"/>
      </w:pPr>
      <w:r>
        <w:rPr>
          <w:rFonts w:ascii="Calibri" w:cs="Calibri" w:eastAsia="Calibri" w:hAnsi="Calibri"/>
          <w:b/>
          <w:bCs/>
          <w:color w:val="7F1D1D"/>
          <w:sz w:val="21"/>
          <w:szCs w:val="21"/>
        </w:rPr>
        <w:t xml:space="preserve">A shorter discount period than the years actually being projected is a common way growth-stage pitches inflate an implied “discount to fair value” headline — it is not a source of genuine additional value, just an artifact of the mismatch between the projection horizon and the discount window. This model deliberately avoids that shortcut.</w:t>
      </w:r>
    </w:p>
    <w:p>
      <w:pPr>
        <w:spacing w:after="140"/>
      </w:pPr>
      <w:r>
        <w:rPr>
          <w:rFonts w:ascii="Calibri" w:cs="Calibri" w:eastAsia="Calibri" w:hAnsi="Calibri"/>
          <w:color w:val="1A1A2E"/>
          <w:sz w:val="21"/>
          <w:szCs w:val="21"/>
        </w:rPr>
        <w:t xml:space="preserve">The table below shows what the same bridge would produce at shorter, mismatched discount periods:</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4200"/>
        <w:gridCol w:w="2600"/>
        <w:gridCol w:w="2600"/>
      </w:tblGrid>
      <w:tr>
        <w:trPr>
          <w:tblHeader/>
        </w:trPr>
        <w:tc>
          <w:tcPr>
            <w:tcW w:type="dxa" w:w="4200"/>
            <w:shd w:fill="D9E2F3" w:val="clear"/>
            <w:tcMar>
              <w:top w:type="dxa" w:w="80"/>
              <w:left w:type="dxa" w:w="100"/>
              <w:bottom w:type="dxa" w:w="80"/>
              <w:right w:type="dxa" w:w="100"/>
            </w:tcMar>
          </w:tcPr>
          <w:p>
            <w:r>
              <w:rPr>
                <w:rFonts w:ascii="Calibri" w:cs="Calibri" w:eastAsia="Calibri" w:hAnsi="Calibri"/>
                <w:b/>
                <w:bCs/>
                <w:color w:val="1A1A2E"/>
                <w:sz w:val="19"/>
                <w:szCs w:val="19"/>
              </w:rPr>
              <w:t xml:space="preserve">Discount periods</w:t>
            </w:r>
          </w:p>
        </w:tc>
        <w:tc>
          <w:tcPr>
            <w:tcW w:type="dxa" w:w="2600"/>
            <w:shd w:fill="D9E2F3" w:val="clear"/>
            <w:tcMar>
              <w:top w:type="dxa" w:w="80"/>
              <w:left w:type="dxa" w:w="100"/>
              <w:bottom w:type="dxa" w:w="80"/>
              <w:right w:type="dxa" w:w="100"/>
            </w:tcMar>
          </w:tcPr>
          <w:p>
            <w:r>
              <w:rPr>
                <w:rFonts w:ascii="Calibri" w:cs="Calibri" w:eastAsia="Calibri" w:hAnsi="Calibri"/>
                <w:b/>
                <w:bCs/>
                <w:color w:val="1A1A2E"/>
                <w:sz w:val="19"/>
                <w:szCs w:val="19"/>
              </w:rPr>
              <w:t xml:space="preserve">Implied fair value</w:t>
            </w:r>
          </w:p>
        </w:tc>
        <w:tc>
          <w:tcPr>
            <w:tcW w:type="dxa" w:w="2600"/>
            <w:shd w:fill="D9E2F3" w:val="clear"/>
            <w:tcMar>
              <w:top w:type="dxa" w:w="80"/>
              <w:left w:type="dxa" w:w="100"/>
              <w:bottom w:type="dxa" w:w="80"/>
              <w:right w:type="dxa" w:w="100"/>
            </w:tcMar>
          </w:tcPr>
          <w:p>
            <w:r>
              <w:rPr>
                <w:rFonts w:ascii="Calibri" w:cs="Calibri" w:eastAsia="Calibri" w:hAnsi="Calibri"/>
                <w:b/>
                <w:bCs/>
                <w:color w:val="1A1A2E"/>
                <w:sz w:val="19"/>
                <w:szCs w:val="19"/>
              </w:rPr>
              <w:t xml:space="preserve">vs. $150M illustrative deal</w:t>
            </w:r>
          </w:p>
        </w:tc>
      </w:tr>
      <w:tr>
        <w:tc>
          <w:tcPr>
            <w:tcW w:type="dxa" w:w="4200"/>
            <w:tcMar>
              <w:top w:type="dxa" w:w="80"/>
              <w:left w:type="dxa" w:w="100"/>
              <w:bottom w:type="dxa" w:w="80"/>
              <w:right w:type="dxa" w:w="100"/>
            </w:tcMar>
          </w:tcPr>
          <w:p>
            <w:r>
              <w:rPr>
                <w:rFonts w:ascii="Calibri" w:cs="Calibri" w:eastAsia="Calibri" w:hAnsi="Calibri"/>
                <w:b w:val="false"/>
                <w:bCs w:val="false"/>
                <w:color w:val="1A1A2E"/>
                <w:sz w:val="19"/>
                <w:szCs w:val="19"/>
              </w:rPr>
              <w:t xml:space="preserve">3 (mismatched — shorter than the 10-year horizon)</w:t>
            </w:r>
          </w:p>
        </w:tc>
        <w:tc>
          <w:tcPr>
            <w:tcW w:type="dxa" w:w="2600"/>
            <w:tcMar>
              <w:top w:type="dxa" w:w="80"/>
              <w:left w:type="dxa" w:w="100"/>
              <w:bottom w:type="dxa" w:w="80"/>
              <w:right w:type="dxa" w:w="100"/>
            </w:tcMar>
          </w:tcPr>
          <w:p>
            <w:r>
              <w:rPr>
                <w:rFonts w:ascii="Calibri" w:cs="Calibri" w:eastAsia="Calibri" w:hAnsi="Calibri"/>
                <w:b w:val="false"/>
                <w:bCs w:val="false"/>
                <w:color w:val="1A1A2E"/>
                <w:sz w:val="19"/>
                <w:szCs w:val="19"/>
              </w:rPr>
              <w:t xml:space="preserve">$845.3M</w:t>
            </w:r>
          </w:p>
        </w:tc>
        <w:tc>
          <w:tcPr>
            <w:tcW w:type="dxa" w:w="2600"/>
            <w:tcMar>
              <w:top w:type="dxa" w:w="80"/>
              <w:left w:type="dxa" w:w="100"/>
              <w:bottom w:type="dxa" w:w="80"/>
              <w:right w:type="dxa" w:w="100"/>
            </w:tcMar>
          </w:tcPr>
          <w:p>
            <w:r>
              <w:rPr>
                <w:rFonts w:ascii="Calibri" w:cs="Calibri" w:eastAsia="Calibri" w:hAnsi="Calibri"/>
                <w:b w:val="false"/>
                <w:bCs w:val="false"/>
                <w:color w:val="1A1A2E"/>
                <w:sz w:val="19"/>
                <w:szCs w:val="19"/>
              </w:rPr>
              <w:t xml:space="preserve">82.3% discount</w:t>
            </w:r>
          </w:p>
        </w:tc>
      </w:tr>
      <w:tr>
        <w:tc>
          <w:tcPr>
            <w:tcW w:type="dxa" w:w="4200"/>
            <w:tcMar>
              <w:top w:type="dxa" w:w="80"/>
              <w:left w:type="dxa" w:w="100"/>
              <w:bottom w:type="dxa" w:w="80"/>
              <w:right w:type="dxa" w:w="100"/>
            </w:tcMar>
          </w:tcPr>
          <w:p>
            <w:r>
              <w:rPr>
                <w:rFonts w:ascii="Calibri" w:cs="Calibri" w:eastAsia="Calibri" w:hAnsi="Calibri"/>
                <w:b w:val="false"/>
                <w:bCs w:val="false"/>
                <w:color w:val="1A1A2E"/>
                <w:sz w:val="19"/>
                <w:szCs w:val="19"/>
              </w:rPr>
              <w:t xml:space="preserve">5 (mismatched)</w:t>
            </w:r>
          </w:p>
        </w:tc>
        <w:tc>
          <w:tcPr>
            <w:tcW w:type="dxa" w:w="2600"/>
            <w:tcMar>
              <w:top w:type="dxa" w:w="80"/>
              <w:left w:type="dxa" w:w="100"/>
              <w:bottom w:type="dxa" w:w="80"/>
              <w:right w:type="dxa" w:w="100"/>
            </w:tcMar>
          </w:tcPr>
          <w:p>
            <w:r>
              <w:rPr>
                <w:rFonts w:ascii="Calibri" w:cs="Calibri" w:eastAsia="Calibri" w:hAnsi="Calibri"/>
                <w:b w:val="false"/>
                <w:bCs w:val="false"/>
                <w:color w:val="1A1A2E"/>
                <w:sz w:val="19"/>
                <w:szCs w:val="19"/>
              </w:rPr>
              <w:t xml:space="preserve">$587.0M</w:t>
            </w:r>
          </w:p>
        </w:tc>
        <w:tc>
          <w:tcPr>
            <w:tcW w:type="dxa" w:w="2600"/>
            <w:tcMar>
              <w:top w:type="dxa" w:w="80"/>
              <w:left w:type="dxa" w:w="100"/>
              <w:bottom w:type="dxa" w:w="80"/>
              <w:right w:type="dxa" w:w="100"/>
            </w:tcMar>
          </w:tcPr>
          <w:p>
            <w:r>
              <w:rPr>
                <w:rFonts w:ascii="Calibri" w:cs="Calibri" w:eastAsia="Calibri" w:hAnsi="Calibri"/>
                <w:b w:val="false"/>
                <w:bCs w:val="false"/>
                <w:color w:val="1A1A2E"/>
                <w:sz w:val="19"/>
                <w:szCs w:val="19"/>
              </w:rPr>
              <w:t xml:space="preserve">74.4% discount</w:t>
            </w:r>
          </w:p>
        </w:tc>
      </w:tr>
      <w:tr>
        <w:tc>
          <w:tcPr>
            <w:tcW w:type="dxa" w:w="4200"/>
            <w:tcMar>
              <w:top w:type="dxa" w:w="80"/>
              <w:left w:type="dxa" w:w="100"/>
              <w:bottom w:type="dxa" w:w="80"/>
              <w:right w:type="dxa" w:w="100"/>
            </w:tcMar>
          </w:tcPr>
          <w:p>
            <w:r>
              <w:rPr>
                <w:rFonts w:ascii="Calibri" w:cs="Calibri" w:eastAsia="Calibri" w:hAnsi="Calibri"/>
                <w:b w:val="false"/>
                <w:bCs w:val="false"/>
                <w:color w:val="1A1A2E"/>
                <w:sz w:val="19"/>
                <w:szCs w:val="19"/>
              </w:rPr>
              <w:t xml:space="preserve">10 (matches the 10-year projection horizon — used in this model)</w:t>
            </w:r>
          </w:p>
        </w:tc>
        <w:tc>
          <w:tcPr>
            <w:tcW w:type="dxa" w:w="2600"/>
            <w:tcMar>
              <w:top w:type="dxa" w:w="80"/>
              <w:left w:type="dxa" w:w="100"/>
              <w:bottom w:type="dxa" w:w="80"/>
              <w:right w:type="dxa" w:w="100"/>
            </w:tcMar>
          </w:tcPr>
          <w:p>
            <w:r>
              <w:rPr>
                <w:rFonts w:ascii="Calibri" w:cs="Calibri" w:eastAsia="Calibri" w:hAnsi="Calibri"/>
                <w:b w:val="false"/>
                <w:bCs w:val="false"/>
                <w:color w:val="1A1A2E"/>
                <w:sz w:val="19"/>
                <w:szCs w:val="19"/>
              </w:rPr>
              <w:t xml:space="preserve">$235.9M</w:t>
            </w:r>
          </w:p>
        </w:tc>
        <w:tc>
          <w:tcPr>
            <w:tcW w:type="dxa" w:w="2600"/>
            <w:tcMar>
              <w:top w:type="dxa" w:w="80"/>
              <w:left w:type="dxa" w:w="100"/>
              <w:bottom w:type="dxa" w:w="80"/>
              <w:right w:type="dxa" w:w="100"/>
            </w:tcMar>
          </w:tcPr>
          <w:p>
            <w:r>
              <w:rPr>
                <w:rFonts w:ascii="Calibri" w:cs="Calibri" w:eastAsia="Calibri" w:hAnsi="Calibri"/>
                <w:b w:val="false"/>
                <w:bCs w:val="false"/>
                <w:color w:val="1A1A2E"/>
                <w:sz w:val="19"/>
                <w:szCs w:val="19"/>
              </w:rPr>
              <w:t xml:space="preserve">36.4% discount</w:t>
            </w:r>
          </w:p>
        </w:tc>
      </w:tr>
    </w:tbl>
    <w:p>
      <w:pPr>
        <w:spacing w:after="160" w:before="160"/>
      </w:pPr>
    </w:p>
    <w:p>
      <w:pPr>
        <w:spacing w:after="140"/>
      </w:pPr>
      <w:r>
        <w:rPr>
          <w:rFonts w:ascii="Calibri" w:cs="Calibri" w:eastAsia="Calibri" w:hAnsi="Calibri"/>
          <w:color w:val="1A1A2E"/>
          <w:sz w:val="21"/>
          <w:szCs w:val="21"/>
        </w:rPr>
        <w:t xml:space="preserve">Using 3 periods instead of the correctly-matched 10 would have inflated the implied fair value from $235.9M to $845.3M — a 3.6x difference from a single, largely arbitrary methodological shortcut. Every figure in this package uses the matched, 10-period basis.</w:t>
      </w:r>
    </w:p>
    <w:p>
      <w:pPr>
        <w:pStyle w:val="Heading1"/>
        <w:spacing w:after="140" w:before="320"/>
      </w:pPr>
      <w:r>
        <w:rPr>
          <w:rFonts w:ascii="Calibri" w:cs="Calibri" w:eastAsia="Calibri" w:hAnsi="Calibri"/>
          <w:b/>
          <w:bCs/>
          <w:color w:val="1E2761"/>
          <w:sz w:val="26"/>
          <w:szCs w:val="26"/>
        </w:rPr>
        <w:t xml:space="preserve">7. Illustrative 2027 Deal Terms</w:t>
      </w:r>
    </w:p>
    <w:p>
      <w:pPr>
        <w:spacing w:after="140"/>
      </w:pPr>
      <w:r>
        <w:rPr>
          <w:rFonts w:ascii="Calibri" w:cs="Calibri" w:eastAsia="Calibri" w:hAnsi="Calibri"/>
          <w:color w:val="1A1A2E"/>
          <w:sz w:val="21"/>
          <w:szCs w:val="21"/>
        </w:rPr>
        <w:t xml:space="preserve">The illustrative deal price used throughout ($150M EV) is a standalone, modeled placeholder — deliberately NOT derived from the Discounted Future Value bridge. It is sized to be plausible for a company at TWB's actual current scale (Section 2) with a credible, early-stage growth story (Section 3), not for the Year-10 modeled endpoint.</w:t>
      </w:r>
    </w:p>
    <w:p>
      <w:pPr>
        <w:pStyle w:val="ListParagraph"/>
        <w:numPr>
          <w:ilvl w:val="0"/>
          <w:numId w:val="2"/>
        </w:numPr>
        <w:spacing w:after="80"/>
      </w:pPr>
      <w:r>
        <w:rPr>
          <w:rFonts w:ascii="Calibri" w:cs="Calibri" w:eastAsia="Calibri" w:hAnsi="Calibri"/>
          <w:color w:val="1A1A2E"/>
          <w:sz w:val="21"/>
          <w:szCs w:val="21"/>
        </w:rPr>
        <w:t xml:space="preserve">Illustrative deal EV: $150M</w:t>
      </w:r>
    </w:p>
    <w:p>
      <w:pPr>
        <w:pStyle w:val="ListParagraph"/>
        <w:numPr>
          <w:ilvl w:val="0"/>
          <w:numId w:val="2"/>
        </w:numPr>
        <w:spacing w:after="80"/>
      </w:pPr>
      <w:r>
        <w:rPr>
          <w:rFonts w:ascii="Calibri" w:cs="Calibri" w:eastAsia="Calibri" w:hAnsi="Calibri"/>
          <w:color w:val="1A1A2E"/>
          <w:sz w:val="21"/>
          <w:szCs w:val="21"/>
        </w:rPr>
        <w:t xml:space="preserve">Net debt: $0 (TWB is debt-free today)</w:t>
      </w:r>
    </w:p>
    <w:p>
      <w:pPr>
        <w:pStyle w:val="ListParagraph"/>
        <w:numPr>
          <w:ilvl w:val="0"/>
          <w:numId w:val="2"/>
        </w:numPr>
        <w:spacing w:after="80"/>
      </w:pPr>
      <w:r>
        <w:rPr>
          <w:rFonts w:ascii="Calibri" w:cs="Calibri" w:eastAsia="Calibri" w:hAnsi="Calibri"/>
          <w:color w:val="1A1A2E"/>
          <w:sz w:val="21"/>
          <w:szCs w:val="21"/>
        </w:rPr>
        <w:t xml:space="preserve">Pre-money equity value: $150M</w:t>
      </w:r>
    </w:p>
    <w:p>
      <w:pPr>
        <w:pStyle w:val="ListParagraph"/>
        <w:numPr>
          <w:ilvl w:val="0"/>
          <w:numId w:val="2"/>
        </w:numPr>
        <w:spacing w:after="80"/>
      </w:pPr>
      <w:r>
        <w:rPr>
          <w:rFonts w:ascii="Calibri" w:cs="Calibri" w:eastAsia="Calibri" w:hAnsi="Calibri"/>
          <w:color w:val="1A1A2E"/>
          <w:sz w:val="21"/>
          <w:szCs w:val="21"/>
        </w:rPr>
        <w:t xml:space="preserve">Illustrative gross proceeds: $75M (modeled at ~50% of deal EV, a typical range for SPAC/growth-equity structures at this scale)</w:t>
      </w:r>
    </w:p>
    <w:p>
      <w:pPr>
        <w:pStyle w:val="ListParagraph"/>
        <w:numPr>
          <w:ilvl w:val="0"/>
          <w:numId w:val="2"/>
        </w:numPr>
        <w:spacing w:after="80"/>
      </w:pPr>
      <w:r>
        <w:rPr>
          <w:rFonts w:ascii="Calibri" w:cs="Calibri" w:eastAsia="Calibri" w:hAnsi="Calibri"/>
          <w:color w:val="1A1A2E"/>
          <w:sz w:val="21"/>
          <w:szCs w:val="21"/>
        </w:rPr>
        <w:t xml:space="preserve">Pro forma equity value: $225M</w:t>
      </w:r>
    </w:p>
    <w:p>
      <w:pPr>
        <w:pStyle w:val="ListParagraph"/>
        <w:numPr>
          <w:ilvl w:val="0"/>
          <w:numId w:val="2"/>
        </w:numPr>
        <w:spacing w:after="80"/>
      </w:pPr>
      <w:r>
        <w:rPr>
          <w:rFonts w:ascii="Calibri" w:cs="Calibri" w:eastAsia="Calibri" w:hAnsi="Calibri"/>
          <w:color w:val="1A1A2E"/>
          <w:sz w:val="21"/>
          <w:szCs w:val="21"/>
        </w:rPr>
        <w:t xml:space="preserve">Implied discount to the Year-10 discounted fair value midpoint: 36.4%</w:t>
      </w:r>
    </w:p>
    <w:p>
      <w:pPr>
        <w:pStyle w:val="Heading1"/>
        <w:spacing w:after="140" w:before="320"/>
      </w:pPr>
      <w:r>
        <w:rPr>
          <w:rFonts w:ascii="Calibri" w:cs="Calibri" w:eastAsia="Calibri" w:hAnsi="Calibri"/>
          <w:b/>
          <w:bCs/>
          <w:color w:val="1E2761"/>
          <w:sz w:val="26"/>
          <w:szCs w:val="26"/>
        </w:rPr>
        <w:t xml:space="preserve">8. Public Comps for Context</w:t>
      </w:r>
    </w:p>
    <w:p>
      <w:pPr>
        <w:spacing w:after="140"/>
      </w:pPr>
      <w:r>
        <w:rPr>
          <w:rFonts w:ascii="Calibri" w:cs="Calibri" w:eastAsia="Calibri" w:hAnsi="Calibri"/>
          <w:color w:val="1A1A2E"/>
          <w:sz w:val="21"/>
          <w:szCs w:val="21"/>
        </w:rPr>
        <w:t xml:space="preserve">Two real, currently-trading companies bound the range between fundamentals-driven and story-driven pricing relevant to TWB's eventual positioning:</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0"/>
        <w:gridCol w:w="1200"/>
        <w:gridCol w:w="1400"/>
        <w:gridCol w:w="1200"/>
        <w:gridCol w:w="2200"/>
      </w:tblGrid>
      <w:tr>
        <w:trPr>
          <w:tblHeader/>
        </w:trPr>
        <w:tc>
          <w:tcPr>
            <w:tcW w:type="dxa" w:w="3000"/>
            <w:shd w:fill="D9E2F3" w:val="clear"/>
            <w:tcMar>
              <w:top w:type="dxa" w:w="80"/>
              <w:left w:type="dxa" w:w="100"/>
              <w:bottom w:type="dxa" w:w="80"/>
              <w:right w:type="dxa" w:w="100"/>
            </w:tcMar>
          </w:tcPr>
          <w:p>
            <w:r>
              <w:rPr>
                <w:rFonts w:ascii="Calibri" w:cs="Calibri" w:eastAsia="Calibri" w:hAnsi="Calibri"/>
                <w:b/>
                <w:bCs/>
                <w:color w:val="1A1A2E"/>
                <w:sz w:val="19"/>
                <w:szCs w:val="19"/>
              </w:rPr>
              <w:t xml:space="preserve">Company</w:t>
            </w:r>
          </w:p>
        </w:tc>
        <w:tc>
          <w:tcPr>
            <w:tcW w:type="dxa" w:w="1200"/>
            <w:shd w:fill="D9E2F3" w:val="clear"/>
            <w:tcMar>
              <w:top w:type="dxa" w:w="80"/>
              <w:left w:type="dxa" w:w="100"/>
              <w:bottom w:type="dxa" w:w="80"/>
              <w:right w:type="dxa" w:w="100"/>
            </w:tcMar>
          </w:tcPr>
          <w:p>
            <w:r>
              <w:rPr>
                <w:rFonts w:ascii="Calibri" w:cs="Calibri" w:eastAsia="Calibri" w:hAnsi="Calibri"/>
                <w:b/>
                <w:bCs/>
                <w:color w:val="1A1A2E"/>
                <w:sz w:val="19"/>
                <w:szCs w:val="19"/>
              </w:rPr>
              <w:t xml:space="preserve">Exchange</w:t>
            </w:r>
          </w:p>
        </w:tc>
        <w:tc>
          <w:tcPr>
            <w:tcW w:type="dxa" w:w="1400"/>
            <w:shd w:fill="D9E2F3" w:val="clear"/>
            <w:tcMar>
              <w:top w:type="dxa" w:w="80"/>
              <w:left w:type="dxa" w:w="100"/>
              <w:bottom w:type="dxa" w:w="80"/>
              <w:right w:type="dxa" w:w="100"/>
            </w:tcMar>
          </w:tcPr>
          <w:p>
            <w:r>
              <w:rPr>
                <w:rFonts w:ascii="Calibri" w:cs="Calibri" w:eastAsia="Calibri" w:hAnsi="Calibri"/>
                <w:b/>
                <w:bCs/>
                <w:color w:val="1A1A2E"/>
                <w:sz w:val="19"/>
                <w:szCs w:val="19"/>
              </w:rPr>
              <w:t xml:space="preserve">TTM revenue</w:t>
            </w:r>
          </w:p>
        </w:tc>
        <w:tc>
          <w:tcPr>
            <w:tcW w:type="dxa" w:w="1200"/>
            <w:shd w:fill="D9E2F3" w:val="clear"/>
            <w:tcMar>
              <w:top w:type="dxa" w:w="80"/>
              <w:left w:type="dxa" w:w="100"/>
              <w:bottom w:type="dxa" w:w="80"/>
              <w:right w:type="dxa" w:w="100"/>
            </w:tcMar>
          </w:tcPr>
          <w:p>
            <w:r>
              <w:rPr>
                <w:rFonts w:ascii="Calibri" w:cs="Calibri" w:eastAsia="Calibri" w:hAnsi="Calibri"/>
                <w:b/>
                <w:bCs/>
                <w:color w:val="1A1A2E"/>
                <w:sz w:val="19"/>
                <w:szCs w:val="19"/>
              </w:rPr>
              <w:t xml:space="preserve">EV/Revenue</w:t>
            </w:r>
          </w:p>
        </w:tc>
        <w:tc>
          <w:tcPr>
            <w:tcW w:type="dxa" w:w="2200"/>
            <w:shd w:fill="D9E2F3" w:val="clear"/>
            <w:tcMar>
              <w:top w:type="dxa" w:w="80"/>
              <w:left w:type="dxa" w:w="100"/>
              <w:bottom w:type="dxa" w:w="80"/>
              <w:right w:type="dxa" w:w="100"/>
            </w:tcMar>
          </w:tcPr>
          <w:p>
            <w:r>
              <w:rPr>
                <w:rFonts w:ascii="Calibri" w:cs="Calibri" w:eastAsia="Calibri" w:hAnsi="Calibri"/>
                <w:b/>
                <w:bCs/>
                <w:color w:val="1A1A2E"/>
                <w:sz w:val="19"/>
                <w:szCs w:val="19"/>
              </w:rPr>
              <w:t xml:space="preserve">Character</w:t>
            </w:r>
          </w:p>
        </w:tc>
      </w:tr>
      <w:tr>
        <w:tc>
          <w:tcPr>
            <w:tcW w:type="dxa" w:w="3000"/>
            <w:tcMar>
              <w:top w:type="dxa" w:w="80"/>
              <w:left w:type="dxa" w:w="100"/>
              <w:bottom w:type="dxa" w:w="80"/>
              <w:right w:type="dxa" w:w="100"/>
            </w:tcMar>
          </w:tcPr>
          <w:p>
            <w:r>
              <w:rPr>
                <w:rFonts w:ascii="Calibri" w:cs="Calibri" w:eastAsia="Calibri" w:hAnsi="Calibri"/>
                <w:b w:val="false"/>
                <w:bCs w:val="false"/>
                <w:color w:val="1A1A2E"/>
                <w:sz w:val="19"/>
                <w:szCs w:val="19"/>
              </w:rPr>
              <w:t xml:space="preserve">Cadre Holdings (CDRE)</w:t>
            </w:r>
          </w:p>
        </w:tc>
        <w:tc>
          <w:tcPr>
            <w:tcW w:type="dxa" w:w="1200"/>
            <w:tcMar>
              <w:top w:type="dxa" w:w="80"/>
              <w:left w:type="dxa" w:w="100"/>
              <w:bottom w:type="dxa" w:w="80"/>
              <w:right w:type="dxa" w:w="100"/>
            </w:tcMar>
          </w:tcPr>
          <w:p>
            <w:r>
              <w:rPr>
                <w:rFonts w:ascii="Calibri" w:cs="Calibri" w:eastAsia="Calibri" w:hAnsi="Calibri"/>
                <w:b w:val="false"/>
                <w:bCs w:val="false"/>
                <w:color w:val="1A1A2E"/>
                <w:sz w:val="19"/>
                <w:szCs w:val="19"/>
              </w:rPr>
              <w:t xml:space="preserve">NYSE</w:t>
            </w:r>
          </w:p>
        </w:tc>
        <w:tc>
          <w:tcPr>
            <w:tcW w:type="dxa" w:w="1400"/>
            <w:tcMar>
              <w:top w:type="dxa" w:w="80"/>
              <w:left w:type="dxa" w:w="100"/>
              <w:bottom w:type="dxa" w:w="80"/>
              <w:right w:type="dxa" w:w="100"/>
            </w:tcMar>
          </w:tcPr>
          <w:p>
            <w:r>
              <w:rPr>
                <w:rFonts w:ascii="Calibri" w:cs="Calibri" w:eastAsia="Calibri" w:hAnsi="Calibri"/>
                <w:b w:val="false"/>
                <w:bCs w:val="false"/>
                <w:color w:val="1A1A2E"/>
                <w:sz w:val="19"/>
                <w:szCs w:val="19"/>
              </w:rPr>
              <w:t xml:space="preserve">$685.7M</w:t>
            </w:r>
          </w:p>
        </w:tc>
        <w:tc>
          <w:tcPr>
            <w:tcW w:type="dxa" w:w="1200"/>
            <w:tcMar>
              <w:top w:type="dxa" w:w="80"/>
              <w:left w:type="dxa" w:w="100"/>
              <w:bottom w:type="dxa" w:w="80"/>
              <w:right w:type="dxa" w:w="100"/>
            </w:tcMar>
          </w:tcPr>
          <w:p>
            <w:r>
              <w:rPr>
                <w:rFonts w:ascii="Calibri" w:cs="Calibri" w:eastAsia="Calibri" w:hAnsi="Calibri"/>
                <w:b w:val="false"/>
                <w:bCs w:val="false"/>
                <w:color w:val="1A1A2E"/>
                <w:sz w:val="19"/>
                <w:szCs w:val="19"/>
              </w:rPr>
              <w:t xml:space="preserve">~2.1x</w:t>
            </w:r>
          </w:p>
        </w:tc>
        <w:tc>
          <w:tcPr>
            <w:tcW w:type="dxa" w:w="2200"/>
            <w:tcMar>
              <w:top w:type="dxa" w:w="80"/>
              <w:left w:type="dxa" w:w="100"/>
              <w:bottom w:type="dxa" w:w="80"/>
              <w:right w:type="dxa" w:w="100"/>
            </w:tcMar>
          </w:tcPr>
          <w:p>
            <w:r>
              <w:rPr>
                <w:rFonts w:ascii="Calibri" w:cs="Calibri" w:eastAsia="Calibri" w:hAnsi="Calibri"/>
                <w:b w:val="false"/>
                <w:bCs w:val="false"/>
                <w:color w:val="1A1A2E"/>
                <w:sz w:val="19"/>
                <w:szCs w:val="19"/>
              </w:rPr>
              <w:t xml:space="preserve">Fundamentals-anchor: EOD equipment, body armor, law enforcement, buy-and-build M&amp;A, profitable</w:t>
            </w:r>
          </w:p>
        </w:tc>
      </w:tr>
      <w:tr>
        <w:tc>
          <w:tcPr>
            <w:tcW w:type="dxa" w:w="3000"/>
            <w:tcMar>
              <w:top w:type="dxa" w:w="80"/>
              <w:left w:type="dxa" w:w="100"/>
              <w:bottom w:type="dxa" w:w="80"/>
              <w:right w:type="dxa" w:w="100"/>
            </w:tcMar>
          </w:tcPr>
          <w:p>
            <w:r>
              <w:rPr>
                <w:rFonts w:ascii="Calibri" w:cs="Calibri" w:eastAsia="Calibri" w:hAnsi="Calibri"/>
                <w:b w:val="false"/>
                <w:bCs w:val="false"/>
                <w:color w:val="1A1A2E"/>
                <w:sz w:val="19"/>
                <w:szCs w:val="19"/>
              </w:rPr>
              <w:t xml:space="preserve">American Battery Technology Co. (ABAT)</w:t>
            </w:r>
          </w:p>
        </w:tc>
        <w:tc>
          <w:tcPr>
            <w:tcW w:type="dxa" w:w="1200"/>
            <w:tcMar>
              <w:top w:type="dxa" w:w="80"/>
              <w:left w:type="dxa" w:w="100"/>
              <w:bottom w:type="dxa" w:w="80"/>
              <w:right w:type="dxa" w:w="100"/>
            </w:tcMar>
          </w:tcPr>
          <w:p>
            <w:r>
              <w:rPr>
                <w:rFonts w:ascii="Calibri" w:cs="Calibri" w:eastAsia="Calibri" w:hAnsi="Calibri"/>
                <w:b w:val="false"/>
                <w:bCs w:val="false"/>
                <w:color w:val="1A1A2E"/>
                <w:sz w:val="19"/>
                <w:szCs w:val="19"/>
              </w:rPr>
              <w:t xml:space="preserve">NASDAQ</w:t>
            </w:r>
          </w:p>
        </w:tc>
        <w:tc>
          <w:tcPr>
            <w:tcW w:type="dxa" w:w="1400"/>
            <w:tcMar>
              <w:top w:type="dxa" w:w="80"/>
              <w:left w:type="dxa" w:w="100"/>
              <w:bottom w:type="dxa" w:w="80"/>
              <w:right w:type="dxa" w:w="100"/>
            </w:tcMar>
          </w:tcPr>
          <w:p>
            <w:r>
              <w:rPr>
                <w:rFonts w:ascii="Calibri" w:cs="Calibri" w:eastAsia="Calibri" w:hAnsi="Calibri"/>
                <w:b w:val="false"/>
                <w:bCs w:val="false"/>
                <w:color w:val="1A1A2E"/>
                <w:sz w:val="19"/>
                <w:szCs w:val="19"/>
              </w:rPr>
              <w:t xml:space="preserve">~$9.5M</w:t>
            </w:r>
          </w:p>
        </w:tc>
        <w:tc>
          <w:tcPr>
            <w:tcW w:type="dxa" w:w="1200"/>
            <w:tcMar>
              <w:top w:type="dxa" w:w="80"/>
              <w:left w:type="dxa" w:w="100"/>
              <w:bottom w:type="dxa" w:w="80"/>
              <w:right w:type="dxa" w:w="100"/>
            </w:tcMar>
          </w:tcPr>
          <w:p>
            <w:r>
              <w:rPr>
                <w:rFonts w:ascii="Calibri" w:cs="Calibri" w:eastAsia="Calibri" w:hAnsi="Calibri"/>
                <w:b w:val="false"/>
                <w:bCs w:val="false"/>
                <w:color w:val="1A1A2E"/>
                <w:sz w:val="19"/>
                <w:szCs w:val="19"/>
              </w:rPr>
              <w:t xml:space="preserve">~40.3x</w:t>
            </w:r>
          </w:p>
        </w:tc>
        <w:tc>
          <w:tcPr>
            <w:tcW w:type="dxa" w:w="2200"/>
            <w:tcMar>
              <w:top w:type="dxa" w:w="80"/>
              <w:left w:type="dxa" w:w="100"/>
              <w:bottom w:type="dxa" w:w="80"/>
              <w:right w:type="dxa" w:w="100"/>
            </w:tcMar>
          </w:tcPr>
          <w:p>
            <w:r>
              <w:rPr>
                <w:rFonts w:ascii="Calibri" w:cs="Calibri" w:eastAsia="Calibri" w:hAnsi="Calibri"/>
                <w:b w:val="false"/>
                <w:bCs w:val="false"/>
                <w:color w:val="1A1A2E"/>
                <w:sz w:val="19"/>
                <w:szCs w:val="19"/>
              </w:rPr>
              <w:t xml:space="preserve">Story-anchor: critical minerals/battery recycling, negative EBITDA, richly valued on narrative</w:t>
            </w:r>
          </w:p>
        </w:tc>
      </w:tr>
    </w:tbl>
    <w:p>
      <w:pPr>
        <w:spacing w:after="160" w:before="160"/>
      </w:pPr>
    </w:p>
    <w:p>
      <w:pPr>
        <w:spacing w:after="140"/>
      </w:pPr>
      <w:r>
        <w:rPr>
          <w:rFonts w:ascii="Calibri" w:cs="Calibri" w:eastAsia="Calibri" w:hAnsi="Calibri"/>
          <w:color w:val="1A1A2E"/>
          <w:sz w:val="21"/>
          <w:szCs w:val="21"/>
        </w:rPr>
        <w:t xml:space="preserve">TWB's Section 4 comp multiples (11.4x–19.0x EV/EBITDA) sit close to Cadre's fundamentals-anchored territory. This is a materially more conservative anchor than a pure growth-story multiple (illustrated by ABAT's ~40x on tiny actual revenue) — useful context for understanding which “type” of company the market would be pricing TWB as, depending on how the story is told.</w:t>
      </w:r>
    </w:p>
    <w:p>
      <w:pPr>
        <w:pStyle w:val="Heading1"/>
        <w:spacing w:after="140" w:before="320"/>
      </w:pPr>
      <w:r>
        <w:rPr>
          <w:rFonts w:ascii="Calibri" w:cs="Calibri" w:eastAsia="Calibri" w:hAnsi="Calibri"/>
          <w:b/>
          <w:bCs/>
          <w:color w:val="1E2761"/>
          <w:sz w:val="26"/>
          <w:szCs w:val="26"/>
        </w:rPr>
        <w:t xml:space="preserve">9. Appendix — Summary Financial Table</w:t>
      </w:r>
    </w:p>
    <w:tbl>
      <w:tblPr>
        <w:tblW w:type="dxa" w:w="10700"/>
        <w:tblBorders>
          <w:top w:val="single" w:color="auto" w:sz="4"/>
          <w:left w:val="single" w:color="auto" w:sz="4"/>
          <w:bottom w:val="single" w:color="auto" w:sz="4"/>
          <w:right w:val="single" w:color="auto" w:sz="4"/>
          <w:insideH w:val="single" w:color="auto" w:sz="4"/>
          <w:insideV w:val="single" w:color="auto" w:sz="4"/>
        </w:tblBorders>
      </w:tblPr>
      <w:tblGrid>
        <w:gridCol w:w="3200"/>
        <w:gridCol w:w="2500"/>
        <w:gridCol w:w="2500"/>
        <w:gridCol w:w="2500"/>
      </w:tblGrid>
      <w:tr>
        <w:trPr>
          <w:tblHeader/>
        </w:trPr>
        <w:tc>
          <w:tcPr>
            <w:tcW w:type="dxa" w:w="3200"/>
            <w:shd w:fill="D9E2F3" w:val="clear"/>
            <w:tcMar>
              <w:top w:type="dxa" w:w="80"/>
              <w:left w:type="dxa" w:w="100"/>
              <w:bottom w:type="dxa" w:w="80"/>
              <w:right w:type="dxa" w:w="100"/>
            </w:tcMar>
          </w:tcPr>
          <w:p>
            <w:r>
              <w:rPr>
                <w:rFonts w:ascii="Calibri" w:cs="Calibri" w:eastAsia="Calibri" w:hAnsi="Calibri"/>
                <w:b/>
                <w:bCs/>
                <w:color w:val="1A1A2E"/>
                <w:sz w:val="19"/>
                <w:szCs w:val="19"/>
              </w:rPr>
              <w:t xml:space="preserve"/>
            </w:r>
          </w:p>
        </w:tc>
        <w:tc>
          <w:tcPr>
            <w:tcW w:type="dxa" w:w="2500"/>
            <w:shd w:fill="D9E2F3" w:val="clear"/>
            <w:tcMar>
              <w:top w:type="dxa" w:w="80"/>
              <w:left w:type="dxa" w:w="100"/>
              <w:bottom w:type="dxa" w:w="80"/>
              <w:right w:type="dxa" w:w="100"/>
            </w:tcMar>
          </w:tcPr>
          <w:p>
            <w:r>
              <w:rPr>
                <w:rFonts w:ascii="Calibri" w:cs="Calibri" w:eastAsia="Calibri" w:hAnsi="Calibri"/>
                <w:b/>
                <w:bCs/>
                <w:color w:val="1A1A2E"/>
                <w:sz w:val="19"/>
                <w:szCs w:val="19"/>
              </w:rPr>
              <w:t xml:space="preserve">Today (actual)</w:t>
            </w:r>
          </w:p>
        </w:tc>
        <w:tc>
          <w:tcPr>
            <w:tcW w:type="dxa" w:w="2500"/>
            <w:shd w:fill="D9E2F3" w:val="clear"/>
            <w:tcMar>
              <w:top w:type="dxa" w:w="80"/>
              <w:left w:type="dxa" w:w="100"/>
              <w:bottom w:type="dxa" w:w="80"/>
              <w:right w:type="dxa" w:w="100"/>
            </w:tcMar>
          </w:tcPr>
          <w:p>
            <w:r>
              <w:rPr>
                <w:rFonts w:ascii="Calibri" w:cs="Calibri" w:eastAsia="Calibri" w:hAnsi="Calibri"/>
                <w:b/>
                <w:bCs/>
                <w:color w:val="1A1A2E"/>
                <w:sz w:val="19"/>
                <w:szCs w:val="19"/>
              </w:rPr>
              <w:t xml:space="preserve">Year 5</w:t>
            </w:r>
          </w:p>
        </w:tc>
        <w:tc>
          <w:tcPr>
            <w:tcW w:type="dxa" w:w="2500"/>
            <w:shd w:fill="D9E2F3" w:val="clear"/>
            <w:tcMar>
              <w:top w:type="dxa" w:w="80"/>
              <w:left w:type="dxa" w:w="100"/>
              <w:bottom w:type="dxa" w:w="80"/>
              <w:right w:type="dxa" w:w="100"/>
            </w:tcMar>
          </w:tcPr>
          <w:p>
            <w:r>
              <w:rPr>
                <w:rFonts w:ascii="Calibri" w:cs="Calibri" w:eastAsia="Calibri" w:hAnsi="Calibri"/>
                <w:b/>
                <w:bCs/>
                <w:color w:val="1A1A2E"/>
                <w:sz w:val="19"/>
                <w:szCs w:val="19"/>
              </w:rPr>
              <w:t xml:space="preserve">Year 10</w:t>
            </w:r>
          </w:p>
        </w:tc>
      </w:tr>
      <w:tr>
        <w:tc>
          <w:tcPr>
            <w:tcW w:type="dxa" w:w="3200"/>
            <w:tcMar>
              <w:top w:type="dxa" w:w="80"/>
              <w:left w:type="dxa" w:w="100"/>
              <w:bottom w:type="dxa" w:w="80"/>
              <w:right w:type="dxa" w:w="100"/>
            </w:tcMar>
          </w:tcPr>
          <w:p>
            <w:r>
              <w:rPr>
                <w:rFonts w:ascii="Calibri" w:cs="Calibri" w:eastAsia="Calibri" w:hAnsi="Calibri"/>
                <w:b w:val="false"/>
                <w:bCs w:val="false"/>
                <w:color w:val="1A1A2E"/>
                <w:sz w:val="19"/>
                <w:szCs w:val="19"/>
              </w:rPr>
              <w:t xml:space="preserve">Revenue</w:t>
            </w:r>
          </w:p>
        </w:tc>
        <w:tc>
          <w:tcPr>
            <w:tcW w:type="dxa" w:w="2500"/>
            <w:tcMar>
              <w:top w:type="dxa" w:w="80"/>
              <w:left w:type="dxa" w:w="100"/>
              <w:bottom w:type="dxa" w:w="80"/>
              <w:right w:type="dxa" w:w="100"/>
            </w:tcMar>
          </w:tcPr>
          <w:p>
            <w:r>
              <w:rPr>
                <w:rFonts w:ascii="Calibri" w:cs="Calibri" w:eastAsia="Calibri" w:hAnsi="Calibri"/>
                <w:b w:val="false"/>
                <w:bCs w:val="false"/>
                <w:color w:val="1A1A2E"/>
                <w:sz w:val="19"/>
                <w:szCs w:val="19"/>
              </w:rPr>
              <w:t xml:space="preserve">$0.9M</w:t>
            </w:r>
          </w:p>
        </w:tc>
        <w:tc>
          <w:tcPr>
            <w:tcW w:type="dxa" w:w="2500"/>
            <w:tcMar>
              <w:top w:type="dxa" w:w="80"/>
              <w:left w:type="dxa" w:w="100"/>
              <w:bottom w:type="dxa" w:w="80"/>
              <w:right w:type="dxa" w:w="100"/>
            </w:tcMar>
          </w:tcPr>
          <w:p>
            <w:r>
              <w:rPr>
                <w:rFonts w:ascii="Calibri" w:cs="Calibri" w:eastAsia="Calibri" w:hAnsi="Calibri"/>
                <w:b w:val="false"/>
                <w:bCs w:val="false"/>
                <w:color w:val="1A1A2E"/>
                <w:sz w:val="19"/>
                <w:szCs w:val="19"/>
              </w:rPr>
              <w:t xml:space="preserve">$161.9M</w:t>
            </w:r>
          </w:p>
        </w:tc>
        <w:tc>
          <w:tcPr>
            <w:tcW w:type="dxa" w:w="2500"/>
            <w:tcMar>
              <w:top w:type="dxa" w:w="80"/>
              <w:left w:type="dxa" w:w="100"/>
              <w:bottom w:type="dxa" w:w="80"/>
              <w:right w:type="dxa" w:w="100"/>
            </w:tcMar>
          </w:tcPr>
          <w:p>
            <w:r>
              <w:rPr>
                <w:rFonts w:ascii="Calibri" w:cs="Calibri" w:eastAsia="Calibri" w:hAnsi="Calibri"/>
                <w:b w:val="false"/>
                <w:bCs w:val="false"/>
                <w:color w:val="1A1A2E"/>
                <w:sz w:val="19"/>
                <w:szCs w:val="19"/>
              </w:rPr>
              <w:t xml:space="preserve">$480.5M</w:t>
            </w:r>
          </w:p>
        </w:tc>
      </w:tr>
      <w:tr>
        <w:tc>
          <w:tcPr>
            <w:tcW w:type="dxa" w:w="3200"/>
            <w:tcMar>
              <w:top w:type="dxa" w:w="80"/>
              <w:left w:type="dxa" w:w="100"/>
              <w:bottom w:type="dxa" w:w="80"/>
              <w:right w:type="dxa" w:w="100"/>
            </w:tcMar>
          </w:tcPr>
          <w:p>
            <w:r>
              <w:rPr>
                <w:rFonts w:ascii="Calibri" w:cs="Calibri" w:eastAsia="Calibri" w:hAnsi="Calibri"/>
                <w:b w:val="false"/>
                <w:bCs w:val="false"/>
                <w:color w:val="1A1A2E"/>
                <w:sz w:val="19"/>
                <w:szCs w:val="19"/>
              </w:rPr>
              <w:t xml:space="preserve">EBITDA (modeled)</w:t>
            </w:r>
          </w:p>
        </w:tc>
        <w:tc>
          <w:tcPr>
            <w:tcW w:type="dxa" w:w="2500"/>
            <w:tcMar>
              <w:top w:type="dxa" w:w="80"/>
              <w:left w:type="dxa" w:w="100"/>
              <w:bottom w:type="dxa" w:w="80"/>
              <w:right w:type="dxa" w:w="100"/>
            </w:tcMar>
          </w:tcPr>
          <w:p>
            <w:r>
              <w:rPr>
                <w:rFonts w:ascii="Calibri" w:cs="Calibri" w:eastAsia="Calibri" w:hAnsi="Calibri"/>
                <w:b w:val="false"/>
                <w:bCs w:val="false"/>
                <w:color w:val="1A1A2E"/>
                <w:sz w:val="19"/>
                <w:szCs w:val="19"/>
              </w:rPr>
              <w:t xml:space="preserve">$0.2M</w:t>
            </w:r>
          </w:p>
        </w:tc>
        <w:tc>
          <w:tcPr>
            <w:tcW w:type="dxa" w:w="2500"/>
            <w:tcMar>
              <w:top w:type="dxa" w:w="80"/>
              <w:left w:type="dxa" w:w="100"/>
              <w:bottom w:type="dxa" w:w="80"/>
              <w:right w:type="dxa" w:w="100"/>
            </w:tcMar>
          </w:tcPr>
          <w:p>
            <w:r>
              <w:rPr>
                <w:rFonts w:ascii="Calibri" w:cs="Calibri" w:eastAsia="Calibri" w:hAnsi="Calibri"/>
                <w:b w:val="false"/>
                <w:bCs w:val="false"/>
                <w:color w:val="1A1A2E"/>
                <w:sz w:val="19"/>
                <w:szCs w:val="19"/>
              </w:rPr>
              <w:t xml:space="preserve">n/a in model</w:t>
            </w:r>
          </w:p>
        </w:tc>
        <w:tc>
          <w:tcPr>
            <w:tcW w:type="dxa" w:w="2500"/>
            <w:tcMar>
              <w:top w:type="dxa" w:w="80"/>
              <w:left w:type="dxa" w:w="100"/>
              <w:bottom w:type="dxa" w:w="80"/>
              <w:right w:type="dxa" w:w="100"/>
            </w:tcMar>
          </w:tcPr>
          <w:p>
            <w:r>
              <w:rPr>
                <w:rFonts w:ascii="Calibri" w:cs="Calibri" w:eastAsia="Calibri" w:hAnsi="Calibri"/>
                <w:b w:val="false"/>
                <w:bCs w:val="false"/>
                <w:color w:val="1A1A2E"/>
                <w:sz w:val="19"/>
                <w:szCs w:val="19"/>
              </w:rPr>
              <w:t xml:space="preserve">$96.1M</w:t>
            </w:r>
          </w:p>
        </w:tc>
      </w:tr>
      <w:tr>
        <w:tc>
          <w:tcPr>
            <w:tcW w:type="dxa" w:w="3200"/>
            <w:tcMar>
              <w:top w:type="dxa" w:w="80"/>
              <w:left w:type="dxa" w:w="100"/>
              <w:bottom w:type="dxa" w:w="80"/>
              <w:right w:type="dxa" w:w="100"/>
            </w:tcMar>
          </w:tcPr>
          <w:p>
            <w:r>
              <w:rPr>
                <w:rFonts w:ascii="Calibri" w:cs="Calibri" w:eastAsia="Calibri" w:hAnsi="Calibri"/>
                <w:b w:val="false"/>
                <w:bCs w:val="false"/>
                <w:color w:val="1A1A2E"/>
                <w:sz w:val="19"/>
                <w:szCs w:val="19"/>
              </w:rPr>
              <w:t xml:space="preserve">EBITDA margin (modeled)</w:t>
            </w:r>
          </w:p>
        </w:tc>
        <w:tc>
          <w:tcPr>
            <w:tcW w:type="dxa" w:w="2500"/>
            <w:tcMar>
              <w:top w:type="dxa" w:w="80"/>
              <w:left w:type="dxa" w:w="100"/>
              <w:bottom w:type="dxa" w:w="80"/>
              <w:right w:type="dxa" w:w="100"/>
            </w:tcMar>
          </w:tcPr>
          <w:p>
            <w:r>
              <w:rPr>
                <w:rFonts w:ascii="Calibri" w:cs="Calibri" w:eastAsia="Calibri" w:hAnsi="Calibri"/>
                <w:b w:val="false"/>
                <w:bCs w:val="false"/>
                <w:color w:val="1A1A2E"/>
                <w:sz w:val="19"/>
                <w:szCs w:val="19"/>
              </w:rPr>
              <w:t xml:space="preserve">~27%</w:t>
            </w:r>
          </w:p>
        </w:tc>
        <w:tc>
          <w:tcPr>
            <w:tcW w:type="dxa" w:w="2500"/>
            <w:tcMar>
              <w:top w:type="dxa" w:w="80"/>
              <w:left w:type="dxa" w:w="100"/>
              <w:bottom w:type="dxa" w:w="80"/>
              <w:right w:type="dxa" w:w="100"/>
            </w:tcMar>
          </w:tcPr>
          <w:p>
            <w:r>
              <w:rPr>
                <w:rFonts w:ascii="Calibri" w:cs="Calibri" w:eastAsia="Calibri" w:hAnsi="Calibri"/>
                <w:b w:val="false"/>
                <w:bCs w:val="false"/>
                <w:color w:val="1A1A2E"/>
                <w:sz w:val="19"/>
                <w:szCs w:val="19"/>
              </w:rPr>
              <w:t xml:space="preserve">n/a in model</w:t>
            </w:r>
          </w:p>
        </w:tc>
        <w:tc>
          <w:tcPr>
            <w:tcW w:type="dxa" w:w="2500"/>
            <w:tcMar>
              <w:top w:type="dxa" w:w="80"/>
              <w:left w:type="dxa" w:w="100"/>
              <w:bottom w:type="dxa" w:w="80"/>
              <w:right w:type="dxa" w:w="100"/>
            </w:tcMar>
          </w:tcPr>
          <w:p>
            <w:r>
              <w:rPr>
                <w:rFonts w:ascii="Calibri" w:cs="Calibri" w:eastAsia="Calibri" w:hAnsi="Calibri"/>
                <w:b w:val="false"/>
                <w:bCs w:val="false"/>
                <w:color w:val="1A1A2E"/>
                <w:sz w:val="19"/>
                <w:szCs w:val="19"/>
              </w:rPr>
              <w:t xml:space="preserve">20%</w:t>
            </w:r>
          </w:p>
        </w:tc>
      </w:tr>
      <w:tr>
        <w:tc>
          <w:tcPr>
            <w:tcW w:type="dxa" w:w="3200"/>
            <w:tcMar>
              <w:top w:type="dxa" w:w="80"/>
              <w:left w:type="dxa" w:w="100"/>
              <w:bottom w:type="dxa" w:w="80"/>
              <w:right w:type="dxa" w:w="100"/>
            </w:tcMar>
          </w:tcPr>
          <w:p>
            <w:r>
              <w:rPr>
                <w:rFonts w:ascii="Calibri" w:cs="Calibri" w:eastAsia="Calibri" w:hAnsi="Calibri"/>
                <w:b w:val="false"/>
                <w:bCs w:val="false"/>
                <w:color w:val="1A1A2E"/>
                <w:sz w:val="19"/>
                <w:szCs w:val="19"/>
              </w:rPr>
              <w:t xml:space="preserve">Total FTE</w:t>
            </w:r>
          </w:p>
        </w:tc>
        <w:tc>
          <w:tcPr>
            <w:tcW w:type="dxa" w:w="2500"/>
            <w:tcMar>
              <w:top w:type="dxa" w:w="80"/>
              <w:left w:type="dxa" w:w="100"/>
              <w:bottom w:type="dxa" w:w="80"/>
              <w:right w:type="dxa" w:w="100"/>
            </w:tcMar>
          </w:tcPr>
          <w:p>
            <w:r>
              <w:rPr>
                <w:rFonts w:ascii="Calibri" w:cs="Calibri" w:eastAsia="Calibri" w:hAnsi="Calibri"/>
                <w:b w:val="false"/>
                <w:bCs w:val="false"/>
                <w:color w:val="1A1A2E"/>
                <w:sz w:val="19"/>
                <w:szCs w:val="19"/>
              </w:rPr>
              <w:t xml:space="preserve">n/a (small team)</w:t>
            </w:r>
          </w:p>
        </w:tc>
        <w:tc>
          <w:tcPr>
            <w:tcW w:type="dxa" w:w="2500"/>
            <w:tcMar>
              <w:top w:type="dxa" w:w="80"/>
              <w:left w:type="dxa" w:w="100"/>
              <w:bottom w:type="dxa" w:w="80"/>
              <w:right w:type="dxa" w:w="100"/>
            </w:tcMar>
          </w:tcPr>
          <w:p>
            <w:r>
              <w:rPr>
                <w:rFonts w:ascii="Calibri" w:cs="Calibri" w:eastAsia="Calibri" w:hAnsi="Calibri"/>
                <w:b w:val="false"/>
                <w:bCs w:val="false"/>
                <w:color w:val="1A1A2E"/>
                <w:sz w:val="19"/>
                <w:szCs w:val="19"/>
              </w:rPr>
              <w:t xml:space="preserve">n/a in model</w:t>
            </w:r>
          </w:p>
        </w:tc>
        <w:tc>
          <w:tcPr>
            <w:tcW w:type="dxa" w:w="2500"/>
            <w:tcMar>
              <w:top w:type="dxa" w:w="80"/>
              <w:left w:type="dxa" w:w="100"/>
              <w:bottom w:type="dxa" w:w="80"/>
              <w:right w:type="dxa" w:w="100"/>
            </w:tcMar>
          </w:tcPr>
          <w:p>
            <w:r>
              <w:rPr>
                <w:rFonts w:ascii="Calibri" w:cs="Calibri" w:eastAsia="Calibri" w:hAnsi="Calibri"/>
                <w:b w:val="false"/>
                <w:bCs w:val="false"/>
                <w:color w:val="1A1A2E"/>
                <w:sz w:val="19"/>
                <w:szCs w:val="19"/>
              </w:rPr>
              <w:t xml:space="preserve">~2,334</w:t>
            </w:r>
          </w:p>
        </w:tc>
      </w:tr>
    </w:tbl>
    <w:p>
      <w:pPr>
        <w:spacing w:after="160" w:before="160"/>
      </w:pPr>
    </w:p>
    <w:p>
      <w:pPr>
        <w:spacing w:after="140"/>
      </w:pPr>
      <w:r>
        <w:rPr>
          <w:rFonts w:ascii="Calibri" w:cs="Calibri" w:eastAsia="Calibri" w:hAnsi="Calibri"/>
          <w:color w:val="1A1A2E"/>
          <w:sz w:val="21"/>
          <w:szCs w:val="21"/>
        </w:rPr>
        <w:t xml:space="preserve">EBITDA/margin/FTE figures for “Today” reflect TWB's real 2025 combined actuals (Section 2). The “Today (actual)” column appears in this memo only; the deck’s appendix table shows the Year-5 and Year-10 modeled outlook and omits current actuals by design. Year-5 EBITDA and FTE are not separately modeled on a standalone basis in the current build — only revenue is tracked at every year, with EBITDA modeled explicitly at the Year-10 valuation point. See the accompanying workbook for the full year-by-year detail.</w:t>
      </w:r>
    </w:p>
    <w:p>
      <w:pPr>
        <w:pStyle w:val="Heading1"/>
        <w:spacing w:after="140" w:before="320"/>
      </w:pPr>
      <w:r>
        <w:rPr>
          <w:rFonts w:ascii="Calibri" w:cs="Calibri" w:eastAsia="Calibri" w:hAnsi="Calibri"/>
          <w:b/>
          <w:bCs/>
          <w:color w:val="1E2761"/>
          <w:sz w:val="26"/>
          <w:szCs w:val="26"/>
        </w:rPr>
        <w:t xml:space="preserve">10. Read for the Board</w:t>
      </w:r>
    </w:p>
    <w:p>
      <w:pPr>
        <w:pStyle w:val="ListParagraph"/>
        <w:numPr>
          <w:ilvl w:val="0"/>
          <w:numId w:val="2"/>
        </w:numPr>
        <w:spacing w:after="80"/>
      </w:pPr>
      <w:r>
        <w:rPr>
          <w:rFonts w:ascii="Calibri" w:cs="Calibri" w:eastAsia="Calibri" w:hAnsi="Calibri"/>
          <w:color w:val="1A1A2E"/>
          <w:sz w:val="21"/>
          <w:szCs w:val="21"/>
        </w:rPr>
        <w:t xml:space="preserve">The discount period is matched to the projection horizon, deliberately. Year-10 EBITDA is discounted back exactly 10 periods — not a shorter, arbitrary window that would inflate the headline fair-value number.</w:t>
      </w:r>
    </w:p>
    <w:p>
      <w:pPr>
        <w:pStyle w:val="ListParagraph"/>
        <w:numPr>
          <w:ilvl w:val="0"/>
          <w:numId w:val="2"/>
        </w:numPr>
        <w:spacing w:after="80"/>
      </w:pPr>
      <w:r>
        <w:rPr>
          <w:rFonts w:ascii="Calibri" w:cs="Calibri" w:eastAsia="Calibri" w:hAnsi="Calibri"/>
          <w:color w:val="1A1A2E"/>
          <w:sz w:val="21"/>
          <w:szCs w:val="21"/>
        </w:rPr>
        <w:t xml:space="preserve">A sound methodology does not guarantee the outcome. Comp-based, discounted-future-value bridges are a standard, real approach for pricing growth-stage go-public deals. But the entire output depends on TWB's own operating plan actually being delivered — growth-stage companies valued this way have, in real and well-documented cases, missed their own guidance badly, posted large losses, and in some cases failed entirely.</w:t>
      </w:r>
    </w:p>
    <w:p>
      <w:pPr>
        <w:pStyle w:val="ListParagraph"/>
        <w:numPr>
          <w:ilvl w:val="0"/>
          <w:numId w:val="2"/>
        </w:numPr>
        <w:spacing w:after="80"/>
      </w:pPr>
      <w:r>
        <w:rPr>
          <w:rFonts w:ascii="Calibri" w:cs="Calibri" w:eastAsia="Calibri" w:hAnsi="Calibri"/>
          <w:color w:val="1A1A2E"/>
          <w:sz w:val="21"/>
          <w:szCs w:val="21"/>
        </w:rPr>
        <w:t xml:space="preserve">TWB's real starting point is the honest floor. ~$863K revenue, ~$235K EBITDA today, currently offered for acquisition at ~$700K. Every number in this package assumes successful execution of the full organic-plus-acquisition plan — nothing here should go to a real investor without that plan and its execution risk directly alongside it. Because the deck no longer states these actuals, this memo is the only place in the package where the real baseline is disclosed — it should travel with the deck.</w:t>
      </w:r>
    </w:p>
    <w:p>
      <w:pPr>
        <w:pStyle w:val="Heading1"/>
        <w:spacing w:after="140" w:before="320"/>
      </w:pPr>
      <w:r>
        <w:rPr>
          <w:rFonts w:ascii="Calibri" w:cs="Calibri" w:eastAsia="Calibri" w:hAnsi="Calibri"/>
          <w:b/>
          <w:bCs/>
          <w:color w:val="1E2761"/>
          <w:sz w:val="26"/>
          <w:szCs w:val="26"/>
        </w:rPr>
        <w:t xml:space="preserve">11. Recommended Next Steps</w:t>
      </w:r>
    </w:p>
    <w:p>
      <w:pPr>
        <w:pStyle w:val="ListParagraph"/>
        <w:numPr>
          <w:ilvl w:val="0"/>
          <w:numId w:val="2"/>
        </w:numPr>
        <w:spacing w:after="80"/>
      </w:pPr>
      <w:r>
        <w:rPr>
          <w:rFonts w:ascii="Calibri" w:cs="Calibri" w:eastAsia="Calibri" w:hAnsi="Calibri"/>
          <w:color w:val="1A1A2E"/>
          <w:sz w:val="21"/>
          <w:szCs w:val="21"/>
        </w:rPr>
        <w:t xml:space="preserve">Treat the real TWB Today baseline (Section 2) as the credibility anchor in any external conversation — lead with it, not with the Year-10 modeled output.</w:t>
      </w:r>
    </w:p>
    <w:p>
      <w:pPr>
        <w:pStyle w:val="ListParagraph"/>
        <w:numPr>
          <w:ilvl w:val="0"/>
          <w:numId w:val="2"/>
        </w:numPr>
        <w:spacing w:after="80"/>
      </w:pPr>
      <w:r>
        <w:rPr>
          <w:rFonts w:ascii="Calibri" w:cs="Calibri" w:eastAsia="Calibri" w:hAnsi="Calibri"/>
          <w:color w:val="1A1A2E"/>
          <w:sz w:val="21"/>
          <w:szCs w:val="21"/>
        </w:rPr>
        <w:t xml:space="preserve">If the acquisition of CADS/TWB Designs (the $700K opportunity referenced in Section 2) is pursued, resolve the open diligence items flagged there (share vs. asset purchase, permit/license transferability, working capital included at close, and a proper quality-of-earnings review) before relying on this business as the platform's foundation.</w:t>
      </w:r>
    </w:p>
    <w:p>
      <w:pPr>
        <w:pStyle w:val="ListParagraph"/>
        <w:numPr>
          <w:ilvl w:val="0"/>
          <w:numId w:val="2"/>
        </w:numPr>
        <w:spacing w:after="80"/>
      </w:pPr>
      <w:r>
        <w:rPr>
          <w:rFonts w:ascii="Calibri" w:cs="Calibri" w:eastAsia="Calibri" w:hAnsi="Calibri"/>
          <w:color w:val="1A1A2E"/>
          <w:sz w:val="21"/>
          <w:szCs w:val="21"/>
        </w:rPr>
        <w:t xml:space="preserve">Before using the Section 5 discounted-fair-value figures in any external investor conversation, be explicit with the board about the discount-rate and margin assumptions driving the output — both are modeled placeholders, not sourced facts.</w:t>
      </w:r>
    </w:p>
    <w:p>
      <w:pPr>
        <w:pStyle w:val="ListParagraph"/>
        <w:numPr>
          <w:ilvl w:val="0"/>
          <w:numId w:val="2"/>
        </w:numPr>
        <w:spacing w:after="80"/>
      </w:pPr>
      <w:r>
        <w:rPr>
          <w:rFonts w:ascii="Calibri" w:cs="Calibri" w:eastAsia="Calibri" w:hAnsi="Calibri"/>
          <w:color w:val="1A1A2E"/>
          <w:sz w:val="21"/>
          <w:szCs w:val="21"/>
        </w:rPr>
        <w:t xml:space="preserve">Commission primary research on the largest unsourced modeling assumptions in the underlying workbook (ammunition demilitarization market size, Year-10 EBITDA margin, acquisition deal-flow availability) before finalizing any of this for external investor materials.</w:t>
      </w:r>
    </w:p>
    <w:p>
      <w:pPr>
        <w:pBdr>
          <w:top w:val="single" w:color="BFBFBF" w:sz="4"/>
        </w:pBdr>
        <w:spacing w:after="100" w:before="300"/>
      </w:pPr>
      <w:r>
        <w:rPr>
          <w:rFonts w:ascii="Calibri" w:cs="Calibri" w:eastAsia="Calibri" w:hAnsi="Calibri"/>
          <w:i/>
          <w:iCs/>
          <w:color w:val="595959"/>
          <w:sz w:val="17"/>
          <w:szCs w:val="17"/>
        </w:rPr>
        <w:t xml:space="preserve">This memo and its companion deck/workbook are internal planning materials. Figures marked SOURCED are cited to a specific document; figures marked MODELED are stated assumptions, not facts or forecasts. Nothing in this package constitutes investment advice, an offer, or a solicitation of securities.</w:t>
      </w:r>
    </w:p>
    <w:sectPr>
      <w:pgSz w:w="12240" w:h="15840" w:orient="portrait"/>
      <w:pgMar w:top="900" w:right="1080" w:bottom="90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20" w:hanging="21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2026-08-25T01:48:20.676Z</dcterms:created>
  <dcterms:modified xsi:type="dcterms:W3CDTF">2026-08-25T01:48:20.676Z</dcterms:modified>
</cp:coreProperties>
</file>

<file path=docProps/custom.xml><?xml version="1.0" encoding="utf-8"?>
<Properties xmlns="http://schemas.openxmlformats.org/officeDocument/2006/custom-properties" xmlns:vt="http://schemas.openxmlformats.org/officeDocument/2006/docPropsVTypes"/>
</file>