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left"/>
      </w:pPr>
      <w:r>
        <w:rPr>
          <w:rFonts w:ascii="Calibri" w:cs="Calibri" w:eastAsia="Calibri" w:hAnsi="Calibri"/>
          <w:b/>
          <w:bCs/>
          <w:caps/>
          <w:color w:val="B22234"/>
          <w:sz w:val="22"/>
          <w:szCs w:val="22"/>
        </w:rPr>
        <w:t xml:space="preserve">BRAND STRATEGY SESSION — WORKING BRIEF</w:t>
      </w:r>
    </w:p>
    <w:p>
      <w:pPr>
        <w:spacing w:after="40"/>
      </w:pPr>
      <w:r>
        <w:rPr>
          <w:rFonts w:ascii="Calibri" w:cs="Calibri" w:eastAsia="Calibri" w:hAnsi="Calibri"/>
          <w:b/>
          <w:bCs/>
          <w:color w:val="0B1F3A"/>
          <w:sz w:val="52"/>
          <w:szCs w:val="52"/>
        </w:rPr>
        <w:t xml:space="preserve">Positioning the Full-Lifecycle Demil Platform</w:t>
      </w:r>
    </w:p>
    <w:p>
      <w:pPr>
        <w:spacing w:after="260"/>
      </w:pPr>
      <w:r>
        <w:rPr>
          <w:rFonts w:ascii="Calibri" w:cs="Calibri" w:eastAsia="Calibri" w:hAnsi="Calibri"/>
          <w:i/>
          <w:iCs/>
          <w:color w:val="5A6472"/>
          <w:sz w:val="26"/>
          <w:szCs w:val="26"/>
        </w:rPr>
        <w:t xml:space="preserve">Competitive landscape, strategic commentary &amp; naming direction</w:t>
      </w:r>
    </w:p>
    <w:p>
      <w:pPr>
        <w:pBdr>
          <w:top w:val="single" w:color="B22234" w:sz="18" w:space="8"/>
        </w:pBdr>
        <w:spacing w:after="60" w:before="120"/>
      </w:pPr>
      <w:r>
        <w:rPr>
          <w:rFonts w:ascii="Calibri" w:cs="Calibri" w:eastAsia="Calibri" w:hAnsi="Calibri"/>
          <w:color w:val="1A2230"/>
          <w:sz w:val="20"/>
          <w:szCs w:val="20"/>
        </w:rPr>
        <w:t xml:space="preserve">Prepared for: TWB Designs Inc. — brand &amp; positioning workstream</w:t>
      </w:r>
    </w:p>
    <w:p>
      <w:pPr>
        <w:spacing w:after="40"/>
      </w:pPr>
      <w:r>
        <w:rPr>
          <w:rFonts w:ascii="Calibri" w:cs="Calibri" w:eastAsia="Calibri" w:hAnsi="Calibri"/>
          <w:color w:val="1A2230"/>
          <w:sz w:val="20"/>
          <w:szCs w:val="20"/>
        </w:rPr>
        <w:t xml:space="preserve">Purpose: to frame a brand strategy session — not a final identity</w:t>
      </w:r>
    </w:p>
    <w:p>
      <w:r>
        <w:rPr>
          <w:rFonts w:ascii="Calibri" w:cs="Calibri" w:eastAsia="Calibri" w:hAnsi="Calibri"/>
          <w:i/>
          <w:iCs/>
          <w:color w:val="5A6472"/>
          <w:sz w:val="20"/>
          <w:szCs w:val="20"/>
        </w:rPr>
        <w:t xml:space="preserve">Status: confidential draft for internal discussion</w:t>
      </w:r>
    </w:p>
    <w:p>
      <w:r>
        <w:br w:type="page"/>
      </w:r>
    </w:p>
    <w:p>
      <w:pPr>
        <w:pStyle w:val="Heading1"/>
        <w:pBdr>
          <w:bottom w:val="single" w:color="B22234" w:sz="12" w:space="6"/>
        </w:pBdr>
        <w:spacing w:after="140" w:before="320"/>
      </w:pPr>
      <w:r>
        <w:rPr>
          <w:rFonts w:ascii="Calibri" w:cs="Calibri" w:eastAsia="Calibri" w:hAnsi="Calibri"/>
          <w:b/>
          <w:bCs/>
          <w:color w:val="0B1F3A"/>
          <w:sz w:val="30"/>
          <w:szCs w:val="30"/>
        </w:rPr>
        <w:t xml:space="preserve">1.  Why we're in this room</w:t>
      </w:r>
    </w:p>
    <w:p>
      <w:pPr>
        <w:spacing w:after="120" w:line="276"/>
      </w:pPr>
      <w:r>
        <w:rPr>
          <w:rFonts w:ascii="Calibri" w:cs="Calibri" w:eastAsia="Calibri" w:hAnsi="Calibri"/>
          <w:color w:val="1A2230"/>
          <w:sz w:val="20"/>
          <w:szCs w:val="20"/>
        </w:rPr>
        <w:t xml:space="preserve">TWB owns a field-proven, mobile munitions-destruction and materials-recovery platform (eMACS/MACS) with 25 years in service, allied-military references, and a live U.S. DoD contracting path. The technology is strong. The </w:t>
      </w:r>
      <w:r>
        <w:rPr>
          <w:rFonts w:ascii="Calibri" w:cs="Calibri" w:eastAsia="Calibri" w:hAnsi="Calibri"/>
          <w:b/>
          <w:bCs/>
          <w:color w:val="1A2230"/>
          <w:sz w:val="20"/>
          <w:szCs w:val="20"/>
        </w:rPr>
        <w:t xml:space="preserve">story around it is not yet built</w:t>
      </w:r>
      <w:r>
        <w:rPr>
          <w:rFonts w:ascii="Calibri" w:cs="Calibri" w:eastAsia="Calibri" w:hAnsi="Calibri"/>
          <w:color w:val="1A2230"/>
          <w:sz w:val="20"/>
          <w:szCs w:val="20"/>
        </w:rPr>
        <w:t xml:space="preserve"> — and the company is about to step into a market whose leaders have made narrative and mission a genuine competitive weapon.</w:t>
      </w:r>
    </w:p>
    <w:p>
      <w:pPr>
        <w:spacing w:after="120" w:line="276"/>
      </w:pPr>
      <w:r>
        <w:rPr>
          <w:rFonts w:ascii="Calibri" w:cs="Calibri" w:eastAsia="Calibri" w:hAnsi="Calibri"/>
          <w:color w:val="1A2230"/>
          <w:sz w:val="20"/>
          <w:szCs w:val="20"/>
        </w:rPr>
        <w:t xml:space="preserve">The strategic context has also grown well beyond "we recycle bullets." The roadmap now spans safe destruction of larger ordnance (artillery, bombs, UXO), broader materials recovery, secure destruction of decommissioned equipment, and post-conflict restitution — with a possible acquisition of a Canadian controlled-detonation specialist that would extend capability from small arms through heavy ordnance. </w:t>
      </w:r>
      <w:r>
        <w:rPr>
          <w:rFonts w:ascii="Calibri" w:cs="Calibri" w:eastAsia="Calibri" w:hAnsi="Calibri"/>
          <w:b/>
          <w:bCs/>
          <w:color w:val="1A2230"/>
          <w:sz w:val="20"/>
          <w:szCs w:val="20"/>
        </w:rPr>
        <w:t xml:space="preserve">The brand has to be big enough to hold all of that</w:t>
      </w:r>
      <w:r>
        <w:rPr>
          <w:rFonts w:ascii="Calibri" w:cs="Calibri" w:eastAsia="Calibri" w:hAnsi="Calibri"/>
          <w:color w:val="1A2230"/>
          <w:sz w:val="20"/>
          <w:szCs w:val="20"/>
        </w:rPr>
        <w:t xml:space="preserve">, without overclaiming what the current hardware does today.</w:t>
      </w:r>
    </w:p>
    <w:p>
      <w:pPr>
        <w:pBdr>
          <w:left w:val="single" w:color="B22234" w:sz="18" w:space="14"/>
        </w:pBdr>
        <w:spacing w:after="140" w:before="120"/>
        <w:ind w:left="240"/>
      </w:pPr>
      <w:r>
        <w:rPr>
          <w:rFonts w:ascii="Calibri" w:cs="Calibri" w:eastAsia="Calibri" w:hAnsi="Calibri"/>
          <w:i/>
          <w:iCs/>
          <w:color w:val="0B1F3A"/>
          <w:sz w:val="22"/>
          <w:szCs w:val="22"/>
        </w:rPr>
        <w:t xml:space="preserve">The job of this session: land a name and positioning that frame TWB as national demil infrastructure — the other half of the munitions industrial base — credible to a DoD evaluator and an acquirer's diligence team alike.</w:t>
      </w:r>
    </w:p>
    <w:p>
      <w:pPr>
        <w:pStyle w:val="Heading1"/>
        <w:pBdr>
          <w:bottom w:val="single" w:color="B22234" w:sz="12" w:space="6"/>
        </w:pBdr>
        <w:spacing w:after="140" w:before="320"/>
      </w:pPr>
      <w:r>
        <w:rPr>
          <w:rFonts w:ascii="Calibri" w:cs="Calibri" w:eastAsia="Calibri" w:hAnsi="Calibri"/>
          <w:b/>
          <w:bCs/>
          <w:color w:val="0B1F3A"/>
          <w:sz w:val="30"/>
          <w:szCs w:val="30"/>
        </w:rPr>
        <w:t xml:space="preserve">2.  The market backdrop the brand must plug into</w:t>
      </w:r>
    </w:p>
    <w:p>
      <w:pPr>
        <w:spacing w:after="120" w:line="276"/>
      </w:pPr>
      <w:r>
        <w:rPr>
          <w:rFonts w:ascii="Calibri" w:cs="Calibri" w:eastAsia="Calibri" w:hAnsi="Calibri"/>
          <w:color w:val="1A2230"/>
          <w:sz w:val="20"/>
          <w:szCs w:val="20"/>
        </w:rPr>
        <w:t xml:space="preserve">Three numbers should anchor every piece of messaging. They establish that the demand is real, quantified, and urgent — the credibility floor the leading brands all stand on.</w:t>
      </w:r>
    </w:p>
    <w:p>
      <w:pPr>
        <w:spacing w:after="60" w:before="150"/>
      </w:pPr>
      <w:r>
        <w:rPr>
          <w:rFonts w:ascii="Calibri" w:cs="Calibri" w:eastAsia="Calibri" w:hAnsi="Calibri"/>
          <w:b/>
          <w:bCs/>
          <w:color w:val="0B1F3A"/>
          <w:sz w:val="21"/>
          <w:szCs w:val="21"/>
        </w:rPr>
        <w:t xml:space="preserve">The domestic anchor — a backlog that already exists</w:t>
      </w:r>
    </w:p>
    <w:p>
      <w:pPr>
        <w:pStyle w:val="ListParagraph"/>
        <w:numPr>
          <w:ilvl w:val="0"/>
          <w:numId w:val="2"/>
        </w:numPr>
        <w:spacing w:after="70" w:line="270"/>
      </w:pPr>
      <w:r>
        <w:rPr>
          <w:rFonts w:ascii="Calibri" w:cs="Calibri" w:eastAsia="Calibri" w:hAnsi="Calibri"/>
          <w:color w:val="1A2230"/>
          <w:sz w:val="20"/>
          <w:szCs w:val="20"/>
        </w:rPr>
        <w:t xml:space="preserve">DoD tracks a demilitarization stockpile of roughly </w:t>
      </w:r>
      <w:r>
        <w:rPr>
          <w:rFonts w:ascii="Calibri" w:cs="Calibri" w:eastAsia="Calibri" w:hAnsi="Calibri"/>
          <w:b/>
          <w:bCs/>
          <w:color w:val="1A2230"/>
          <w:sz w:val="20"/>
          <w:szCs w:val="20"/>
        </w:rPr>
        <w:t xml:space="preserve">400,000 tons</w:t>
      </w:r>
      <w:r>
        <w:rPr>
          <w:rFonts w:ascii="Calibri" w:cs="Calibri" w:eastAsia="Calibri" w:hAnsi="Calibri"/>
          <w:color w:val="1A2230"/>
          <w:sz w:val="20"/>
          <w:szCs w:val="20"/>
        </w:rPr>
        <w:t xml:space="preserve"> of conventional munitions (plus ~27,000 tons of missiles), across 7,600+ unique item types — some dating to WWII.</w:t>
      </w:r>
    </w:p>
    <w:p>
      <w:pPr>
        <w:pStyle w:val="ListParagraph"/>
        <w:numPr>
          <w:ilvl w:val="0"/>
          <w:numId w:val="2"/>
        </w:numPr>
        <w:spacing w:after="70" w:line="270"/>
      </w:pPr>
      <w:r>
        <w:rPr>
          <w:rFonts w:ascii="Calibri" w:cs="Calibri" w:eastAsia="Calibri" w:hAnsi="Calibri"/>
          <w:color w:val="1A2230"/>
          <w:sz w:val="20"/>
          <w:szCs w:val="20"/>
        </w:rPr>
        <w:t xml:space="preserve">It grows by an estimated </w:t>
      </w:r>
      <w:r>
        <w:rPr>
          <w:rFonts w:ascii="Calibri" w:cs="Calibri" w:eastAsia="Calibri" w:hAnsi="Calibri"/>
          <w:b/>
          <w:bCs/>
          <w:color w:val="1A2230"/>
          <w:sz w:val="20"/>
          <w:szCs w:val="20"/>
        </w:rPr>
        <w:t xml:space="preserve">70,000–100,000 tons per year</w:t>
      </w:r>
      <w:r>
        <w:rPr>
          <w:rFonts w:ascii="Calibri" w:cs="Calibri" w:eastAsia="Calibri" w:hAnsi="Calibri"/>
          <w:color w:val="1A2230"/>
          <w:sz w:val="20"/>
          <w:szCs w:val="20"/>
        </w:rPr>
        <w:t xml:space="preserve">; at ~$1,800/ton the demil liability approaches $2B, and at current funding the pile grows rather than shrinks.</w:t>
      </w:r>
    </w:p>
    <w:p>
      <w:pPr>
        <w:pStyle w:val="ListParagraph"/>
        <w:numPr>
          <w:ilvl w:val="0"/>
          <w:numId w:val="2"/>
        </w:numPr>
        <w:spacing w:after="70" w:line="270"/>
      </w:pPr>
      <w:r>
        <w:rPr>
          <w:rFonts w:ascii="Calibri" w:cs="Calibri" w:eastAsia="Calibri" w:hAnsi="Calibri"/>
          <w:color w:val="1A2230"/>
          <w:sz w:val="20"/>
          <w:szCs w:val="20"/>
        </w:rPr>
        <w:t xml:space="preserve">Joint Munitions Command's published goal is to drive the stockpile down to 100,000 tons — a quantified capacity shortfall a mobile fleet can point straight at.</w:t>
      </w:r>
    </w:p>
    <w:p>
      <w:pPr>
        <w:spacing w:after="60" w:before="150"/>
      </w:pPr>
      <w:r>
        <w:rPr>
          <w:rFonts w:ascii="Calibri" w:cs="Calibri" w:eastAsia="Calibri" w:hAnsi="Calibri"/>
          <w:b/>
          <w:bCs/>
          <w:color w:val="0B1F3A"/>
          <w:sz w:val="21"/>
          <w:szCs w:val="21"/>
        </w:rPr>
        <w:t xml:space="preserve">The restitution wave — the decade ahead</w:t>
      </w:r>
    </w:p>
    <w:p>
      <w:pPr>
        <w:pStyle w:val="ListParagraph"/>
        <w:numPr>
          <w:ilvl w:val="0"/>
          <w:numId w:val="2"/>
        </w:numPr>
        <w:spacing w:after="70" w:line="270"/>
      </w:pPr>
      <w:r>
        <w:rPr>
          <w:rFonts w:ascii="Calibri" w:cs="Calibri" w:eastAsia="Calibri" w:hAnsi="Calibri"/>
          <w:color w:val="1A2230"/>
          <w:sz w:val="20"/>
          <w:szCs w:val="20"/>
        </w:rPr>
        <w:t xml:space="preserve">Ukraine is now the </w:t>
      </w:r>
      <w:r>
        <w:rPr>
          <w:rFonts w:ascii="Calibri" w:cs="Calibri" w:eastAsia="Calibri" w:hAnsi="Calibri"/>
          <w:b/>
          <w:bCs/>
          <w:color w:val="1A2230"/>
          <w:sz w:val="20"/>
          <w:szCs w:val="20"/>
        </w:rPr>
        <w:t xml:space="preserve">most heavily mined country on earth</w:t>
      </w:r>
      <w:r>
        <w:rPr>
          <w:rFonts w:ascii="Calibri" w:cs="Calibri" w:eastAsia="Calibri" w:hAnsi="Calibri"/>
          <w:color w:val="1A2230"/>
          <w:sz w:val="20"/>
          <w:szCs w:val="20"/>
        </w:rPr>
        <w:t xml:space="preserve">; ~23% of its territory is potentially contaminated — contamination unseen in Europe since WWII.</w:t>
      </w:r>
    </w:p>
    <w:p>
      <w:pPr>
        <w:pStyle w:val="ListParagraph"/>
        <w:numPr>
          <w:ilvl w:val="0"/>
          <w:numId w:val="2"/>
        </w:numPr>
        <w:spacing w:after="70" w:line="270"/>
      </w:pPr>
      <w:r>
        <w:rPr>
          <w:rFonts w:ascii="Calibri" w:cs="Calibri" w:eastAsia="Calibri" w:hAnsi="Calibri"/>
          <w:color w:val="1A2230"/>
          <w:sz w:val="20"/>
          <w:szCs w:val="20"/>
        </w:rPr>
        <w:t xml:space="preserve">World Bank estimate to fully demine Ukraine: </w:t>
      </w:r>
      <w:r>
        <w:rPr>
          <w:rFonts w:ascii="Calibri" w:cs="Calibri" w:eastAsia="Calibri" w:hAnsi="Calibri"/>
          <w:b/>
          <w:bCs/>
          <w:color w:val="1A2230"/>
          <w:sz w:val="20"/>
          <w:szCs w:val="20"/>
        </w:rPr>
        <w:t xml:space="preserve">~$34.6 billion</w:t>
      </w:r>
      <w:r>
        <w:rPr>
          <w:rFonts w:ascii="Calibri" w:cs="Calibri" w:eastAsia="Calibri" w:hAnsi="Calibri"/>
          <w:color w:val="1A2230"/>
          <w:sz w:val="20"/>
          <w:szCs w:val="20"/>
        </w:rPr>
        <w:t xml:space="preserve">; with traditional tools, one analysis put full clearance at 757 years. Debris clearance alone is ~$13B inside a $524B reconstruction bill.</w:t>
      </w:r>
    </w:p>
    <w:p>
      <w:pPr>
        <w:pStyle w:val="ListParagraph"/>
        <w:numPr>
          <w:ilvl w:val="0"/>
          <w:numId w:val="2"/>
        </w:numPr>
        <w:spacing w:after="70" w:line="270"/>
      </w:pPr>
      <w:r>
        <w:rPr>
          <w:rFonts w:ascii="Calibri" w:cs="Calibri" w:eastAsia="Calibri" w:hAnsi="Calibri"/>
          <w:color w:val="1A2230"/>
          <w:sz w:val="20"/>
          <w:szCs w:val="20"/>
        </w:rPr>
        <w:t xml:space="preserve">30–50% of unexploded ordnance fails to detonate but stays active — which is why </w:t>
      </w:r>
      <w:r>
        <w:rPr>
          <w:rFonts w:ascii="Calibri" w:cs="Calibri" w:eastAsia="Calibri" w:hAnsi="Calibri"/>
          <w:b/>
          <w:bCs/>
          <w:color w:val="1A2230"/>
          <w:sz w:val="20"/>
          <w:szCs w:val="20"/>
        </w:rPr>
        <w:t xml:space="preserve">safe destruction, not just clearance</w:t>
      </w:r>
      <w:r>
        <w:rPr>
          <w:rFonts w:ascii="Calibri" w:cs="Calibri" w:eastAsia="Calibri" w:hAnsi="Calibri"/>
          <w:color w:val="1A2230"/>
          <w:sz w:val="20"/>
          <w:szCs w:val="20"/>
        </w:rPr>
        <w:t xml:space="preserve">, is the true bottleneck.</w:t>
      </w:r>
    </w:p>
    <w:p>
      <w:pPr>
        <w:pBdr>
          <w:left w:val="single" w:color="B22234" w:sz="18" w:space="14"/>
        </w:pBdr>
        <w:spacing w:after="140" w:before="120"/>
        <w:ind w:left="240"/>
      </w:pPr>
      <w:r>
        <w:rPr>
          <w:rFonts w:ascii="Calibri" w:cs="Calibri" w:eastAsia="Calibri" w:hAnsi="Calibri"/>
          <w:i/>
          <w:iCs/>
          <w:color w:val="0B1F3A"/>
          <w:sz w:val="22"/>
          <w:szCs w:val="22"/>
        </w:rPr>
        <w:t xml:space="preserve">The recurring theme in every source is the same: the constraint isn't will or money — it's deployable throughput. That single idea is TWB's whole positioning. Fixed depots can't keep pace; a distributed, mobile, low-CAPEX fleet is built to close exactly that gap.</w:t>
      </w:r>
    </w:p>
    <w:p>
      <w:r>
        <w:br w:type="page"/>
      </w:r>
    </w:p>
    <w:p>
      <w:pPr>
        <w:pStyle w:val="Heading1"/>
        <w:pBdr>
          <w:bottom w:val="single" w:color="B22234" w:sz="12" w:space="6"/>
        </w:pBdr>
        <w:spacing w:after="140" w:before="320"/>
      </w:pPr>
      <w:r>
        <w:rPr>
          <w:rFonts w:ascii="Calibri" w:cs="Calibri" w:eastAsia="Calibri" w:hAnsi="Calibri"/>
          <w:b/>
          <w:bCs/>
          <w:color w:val="0B1F3A"/>
          <w:sz w:val="30"/>
          <w:szCs w:val="30"/>
        </w:rPr>
        <w:t xml:space="preserve">3.  The brands setting the register</w:t>
      </w:r>
    </w:p>
    <w:p>
      <w:pPr>
        <w:spacing w:after="120" w:line="276"/>
      </w:pPr>
      <w:r>
        <w:rPr>
          <w:rFonts w:ascii="Calibri" w:cs="Calibri" w:eastAsia="Calibri" w:hAnsi="Calibri"/>
          <w:color w:val="1A2230"/>
          <w:sz w:val="20"/>
          <w:szCs w:val="20"/>
        </w:rPr>
        <w:t xml:space="preserve">These are not TWB's competitors — TWB doesn't build weapons or autonomy. They are the </w:t>
      </w:r>
      <w:r>
        <w:rPr>
          <w:rFonts w:ascii="Calibri" w:cs="Calibri" w:eastAsia="Calibri" w:hAnsi="Calibri"/>
          <w:b/>
          <w:bCs/>
          <w:color w:val="1A2230"/>
          <w:sz w:val="20"/>
          <w:szCs w:val="20"/>
        </w:rPr>
        <w:t xml:space="preserve">rhetorical benchmark</w:t>
      </w:r>
      <w:r>
        <w:rPr>
          <w:rFonts w:ascii="Calibri" w:cs="Calibri" w:eastAsia="Calibri" w:hAnsi="Calibri"/>
          <w:color w:val="1A2230"/>
          <w:sz w:val="20"/>
          <w:szCs w:val="20"/>
        </w:rPr>
        <w:t xml:space="preserve">: the companies that reset how defense brands sound, and whose language DoD and defense investors now expect. Study them for tone and posture, not product.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400"/>
        <w:gridCol w:w="1900"/>
      </w:tblGrid>
      <w:tr>
        <w:trPr>
          <w:tblHeader/>
        </w:trPr>
        <w:tc>
          <w:tcPr>
            <w:tcW w:type="dxa" w:w="1700"/>
            <w:shd w:fill="0B1F3A" w:color="auto" w:val="clear"/>
            <w:tcMar>
              <w:top w:type="dxa" w:w="80"/>
              <w:left w:type="dxa" w:w="110"/>
              <w:bottom w:type="dxa" w:w="80"/>
              <w:right w:type="dxa" w:w="110"/>
            </w:tcMar>
          </w:tcPr>
          <w:p>
            <w:r>
              <w:rPr>
                <w:rFonts w:ascii="Calibri" w:cs="Calibri" w:eastAsia="Calibri" w:hAnsi="Calibri"/>
                <w:b/>
                <w:bCs/>
                <w:color w:val="FFFFFF"/>
                <w:sz w:val="18"/>
                <w:szCs w:val="18"/>
              </w:rPr>
              <w:t xml:space="preserve">Company</w:t>
            </w:r>
          </w:p>
        </w:tc>
        <w:tc>
          <w:tcPr>
            <w:tcW w:type="dxa" w:w="2300"/>
            <w:shd w:fill="0B1F3A" w:color="auto" w:val="clear"/>
            <w:tcMar>
              <w:top w:type="dxa" w:w="80"/>
              <w:left w:type="dxa" w:w="110"/>
              <w:bottom w:type="dxa" w:w="80"/>
              <w:right w:type="dxa" w:w="110"/>
            </w:tcMar>
          </w:tcPr>
          <w:p>
            <w:r>
              <w:rPr>
                <w:rFonts w:ascii="Calibri" w:cs="Calibri" w:eastAsia="Calibri" w:hAnsi="Calibri"/>
                <w:b/>
                <w:bCs/>
                <w:color w:val="FFFFFF"/>
                <w:sz w:val="18"/>
                <w:szCs w:val="18"/>
              </w:rPr>
              <w:t xml:space="preserve">What they are</w:t>
            </w:r>
          </w:p>
        </w:tc>
        <w:tc>
          <w:tcPr>
            <w:tcW w:type="dxa" w:w="3400"/>
            <w:shd w:fill="0B1F3A" w:color="auto" w:val="clear"/>
            <w:tcMar>
              <w:top w:type="dxa" w:w="80"/>
              <w:left w:type="dxa" w:w="110"/>
              <w:bottom w:type="dxa" w:w="80"/>
              <w:right w:type="dxa" w:w="110"/>
            </w:tcMar>
          </w:tcPr>
          <w:p>
            <w:r>
              <w:rPr>
                <w:rFonts w:ascii="Calibri" w:cs="Calibri" w:eastAsia="Calibri" w:hAnsi="Calibri"/>
                <w:b/>
                <w:bCs/>
                <w:color w:val="FFFFFF"/>
                <w:sz w:val="18"/>
                <w:szCs w:val="18"/>
              </w:rPr>
              <w:t xml:space="preserve">Brand move worth stealing</w:t>
            </w:r>
          </w:p>
        </w:tc>
        <w:tc>
          <w:tcPr>
            <w:tcW w:type="dxa" w:w="1900"/>
            <w:shd w:fill="0B1F3A" w:color="auto" w:val="clear"/>
            <w:tcMar>
              <w:top w:type="dxa" w:w="80"/>
              <w:left w:type="dxa" w:w="110"/>
              <w:bottom w:type="dxa" w:w="80"/>
              <w:right w:type="dxa" w:w="110"/>
            </w:tcMar>
          </w:tcPr>
          <w:p>
            <w:r>
              <w:rPr>
                <w:rFonts w:ascii="Calibri" w:cs="Calibri" w:eastAsia="Calibri" w:hAnsi="Calibri"/>
                <w:b/>
                <w:bCs/>
                <w:color w:val="FFFFFF"/>
                <w:sz w:val="18"/>
                <w:szCs w:val="18"/>
              </w:rPr>
              <w:t xml:space="preserve">Signal for TWB</w:t>
            </w:r>
          </w:p>
        </w:tc>
      </w:tr>
      <w:tr>
        <w:tc>
          <w:tcPr>
            <w:tcW w:type="dxa" w:w="1700"/>
            <w:shd w:fill="FFFFFF" w:color="auto" w:val="clear"/>
            <w:tcMar>
              <w:top w:type="dxa" w:w="80"/>
              <w:left w:type="dxa" w:w="110"/>
              <w:bottom w:type="dxa" w:w="80"/>
              <w:right w:type="dxa" w:w="110"/>
            </w:tcMar>
          </w:tcPr>
          <w:p>
            <w:r>
              <w:rPr>
                <w:rFonts w:ascii="Calibri" w:cs="Calibri" w:eastAsia="Calibri" w:hAnsi="Calibri"/>
                <w:b/>
                <w:bCs/>
                <w:color w:val="0B1F3A"/>
                <w:sz w:val="18"/>
                <w:szCs w:val="18"/>
              </w:rPr>
              <w:t xml:space="preserve">Anduril</w:t>
            </w:r>
          </w:p>
        </w:tc>
        <w:tc>
          <w:tcPr>
            <w:tcW w:type="dxa" w:w="2300"/>
            <w:shd w:fill="FFFFFF" w:color="auto" w:val="clear"/>
            <w:tcMar>
              <w:top w:type="dxa" w:w="80"/>
              <w:left w:type="dxa" w:w="110"/>
              <w:bottom w:type="dxa" w:w="80"/>
              <w:right w:type="dxa" w:w="110"/>
            </w:tcMar>
          </w:tcPr>
          <w:p>
            <w:r>
              <w:rPr>
                <w:rFonts w:ascii="Calibri" w:cs="Calibri" w:eastAsia="Calibri" w:hAnsi="Calibri"/>
                <w:color w:val="1A2230"/>
                <w:sz w:val="18"/>
                <w:szCs w:val="18"/>
              </w:rPr>
              <w:t xml:space="preserve">The category-defining "neoprime." ~$61B valuation.</w:t>
            </w:r>
          </w:p>
        </w:tc>
        <w:tc>
          <w:tcPr>
            <w:tcW w:type="dxa" w:w="3400"/>
            <w:shd w:fill="FFFFFF" w:color="auto" w:val="clear"/>
            <w:tcMar>
              <w:top w:type="dxa" w:w="80"/>
              <w:left w:type="dxa" w:w="110"/>
              <w:bottom w:type="dxa" w:w="80"/>
              <w:right w:type="dxa" w:w="110"/>
            </w:tcMar>
          </w:tcPr>
          <w:p>
            <w:r>
              <w:rPr>
                <w:rFonts w:ascii="Calibri" w:cs="Calibri" w:eastAsia="Calibri" w:hAnsi="Calibri"/>
                <w:color w:val="1A2230"/>
                <w:sz w:val="18"/>
                <w:szCs w:val="18"/>
              </w:rPr>
              <w:t xml:space="preserve">Owns a doctrine, not a tagline: "Rebuild the arsenal of democracy." Frames itself as fixing a broken national system, and builds capability on its own capital ahead of contracts.</w:t>
            </w:r>
          </w:p>
        </w:tc>
        <w:tc>
          <w:tcPr>
            <w:tcW w:type="dxa" w:w="1900"/>
            <w:shd w:fill="FFFFFF" w:color="auto" w:val="clear"/>
            <w:tcMar>
              <w:top w:type="dxa" w:w="80"/>
              <w:left w:type="dxa" w:w="110"/>
              <w:bottom w:type="dxa" w:w="80"/>
              <w:right w:type="dxa" w:w="110"/>
            </w:tcMar>
          </w:tcPr>
          <w:p>
            <w:r>
              <w:rPr>
                <w:rFonts w:ascii="Calibri" w:cs="Calibri" w:eastAsia="Calibri" w:hAnsi="Calibri"/>
                <w:color w:val="1A2230"/>
                <w:sz w:val="18"/>
                <w:szCs w:val="18"/>
              </w:rPr>
              <w:t xml:space="preserve">The single richest wedge: you can't rebuild an arsenal you can't safely retire. TWB is the other end of that same doctrine.</w:t>
            </w:r>
          </w:p>
        </w:tc>
      </w:tr>
      <w:tr>
        <w:tc>
          <w:tcPr>
            <w:tcW w:type="dxa" w:w="1700"/>
            <w:shd w:fill="EEF1F5" w:color="auto" w:val="clear"/>
            <w:tcMar>
              <w:top w:type="dxa" w:w="80"/>
              <w:left w:type="dxa" w:w="110"/>
              <w:bottom w:type="dxa" w:w="80"/>
              <w:right w:type="dxa" w:w="110"/>
            </w:tcMar>
          </w:tcPr>
          <w:p>
            <w:r>
              <w:rPr>
                <w:rFonts w:ascii="Calibri" w:cs="Calibri" w:eastAsia="Calibri" w:hAnsi="Calibri"/>
                <w:b/>
                <w:bCs/>
                <w:color w:val="0B1F3A"/>
                <w:sz w:val="18"/>
                <w:szCs w:val="18"/>
              </w:rPr>
              <w:t xml:space="preserve">Hadrian</w:t>
            </w:r>
          </w:p>
        </w:tc>
        <w:tc>
          <w:tcPr>
            <w:tcW w:type="dxa" w:w="2300"/>
            <w:shd w:fill="EEF1F5" w:color="auto" w:val="clear"/>
            <w:tcMar>
              <w:top w:type="dxa" w:w="80"/>
              <w:left w:type="dxa" w:w="110"/>
              <w:bottom w:type="dxa" w:w="80"/>
              <w:right w:type="dxa" w:w="110"/>
            </w:tcMar>
          </w:tcPr>
          <w:p>
            <w:r>
              <w:rPr>
                <w:rFonts w:ascii="Calibri" w:cs="Calibri" w:eastAsia="Calibri" w:hAnsi="Calibri"/>
                <w:color w:val="1A2230"/>
                <w:sz w:val="18"/>
                <w:szCs w:val="18"/>
              </w:rPr>
              <w:t xml:space="preserve">AI-driven precision manufacturing for defense/aerospace. ~$8B.</w:t>
            </w:r>
          </w:p>
        </w:tc>
        <w:tc>
          <w:tcPr>
            <w:tcW w:type="dxa" w:w="3400"/>
            <w:shd w:fill="EEF1F5" w:color="auto" w:val="clear"/>
            <w:tcMar>
              <w:top w:type="dxa" w:w="80"/>
              <w:left w:type="dxa" w:w="110"/>
              <w:bottom w:type="dxa" w:w="80"/>
              <w:right w:type="dxa" w:w="110"/>
            </w:tcMar>
          </w:tcPr>
          <w:p>
            <w:r>
              <w:rPr>
                <w:rFonts w:ascii="Calibri" w:cs="Calibri" w:eastAsia="Calibri" w:hAnsi="Calibri"/>
                <w:color w:val="1A2230"/>
                <w:sz w:val="18"/>
                <w:szCs w:val="18"/>
              </w:rPr>
              <w:t xml:space="preserve">"Production is the frontline of deterrence." Made unglamorous industrial capacity sound mission-critical and patriotic.</w:t>
            </w:r>
          </w:p>
        </w:tc>
        <w:tc>
          <w:tcPr>
            <w:tcW w:type="dxa" w:w="1900"/>
            <w:shd w:fill="EEF1F5" w:color="auto" w:val="clear"/>
            <w:tcMar>
              <w:top w:type="dxa" w:w="80"/>
              <w:left w:type="dxa" w:w="110"/>
              <w:bottom w:type="dxa" w:w="80"/>
              <w:right w:type="dxa" w:w="110"/>
            </w:tcMar>
          </w:tcPr>
          <w:p>
            <w:r>
              <w:rPr>
                <w:rFonts w:ascii="Calibri" w:cs="Calibri" w:eastAsia="Calibri" w:hAnsi="Calibri"/>
                <w:color w:val="1A2230"/>
                <w:sz w:val="18"/>
                <w:szCs w:val="18"/>
              </w:rPr>
              <w:t xml:space="preserve">Proves industrial/infrastructure plays can carry a heroic narrative. Demil is industrial too — dignify it the same way.</w:t>
            </w:r>
          </w:p>
        </w:tc>
      </w:tr>
      <w:tr>
        <w:tc>
          <w:tcPr>
            <w:tcW w:type="dxa" w:w="1700"/>
            <w:shd w:fill="FFFFFF" w:color="auto" w:val="clear"/>
            <w:tcMar>
              <w:top w:type="dxa" w:w="80"/>
              <w:left w:type="dxa" w:w="110"/>
              <w:bottom w:type="dxa" w:w="80"/>
              <w:right w:type="dxa" w:w="110"/>
            </w:tcMar>
          </w:tcPr>
          <w:p>
            <w:r>
              <w:rPr>
                <w:rFonts w:ascii="Calibri" w:cs="Calibri" w:eastAsia="Calibri" w:hAnsi="Calibri"/>
                <w:b/>
                <w:bCs/>
                <w:color w:val="0B1F3A"/>
                <w:sz w:val="18"/>
                <w:szCs w:val="18"/>
              </w:rPr>
              <w:t xml:space="preserve">Saronic</w:t>
            </w:r>
          </w:p>
        </w:tc>
        <w:tc>
          <w:tcPr>
            <w:tcW w:type="dxa" w:w="2300"/>
            <w:shd w:fill="FFFFFF" w:color="auto" w:val="clear"/>
            <w:tcMar>
              <w:top w:type="dxa" w:w="80"/>
              <w:left w:type="dxa" w:w="110"/>
              <w:bottom w:type="dxa" w:w="80"/>
              <w:right w:type="dxa" w:w="110"/>
            </w:tcMar>
          </w:tcPr>
          <w:p>
            <w:r>
              <w:rPr>
                <w:rFonts w:ascii="Calibri" w:cs="Calibri" w:eastAsia="Calibri" w:hAnsi="Calibri"/>
                <w:color w:val="1A2230"/>
                <w:sz w:val="18"/>
                <w:szCs w:val="18"/>
              </w:rPr>
              <w:t xml:space="preserve">Autonomous naval vessels. ~$4B+.</w:t>
            </w:r>
          </w:p>
        </w:tc>
        <w:tc>
          <w:tcPr>
            <w:tcW w:type="dxa" w:w="3400"/>
            <w:shd w:fill="FFFFFF" w:color="auto" w:val="clear"/>
            <w:tcMar>
              <w:top w:type="dxa" w:w="80"/>
              <w:left w:type="dxa" w:w="110"/>
              <w:bottom w:type="dxa" w:w="80"/>
              <w:right w:type="dxa" w:w="110"/>
            </w:tcMar>
          </w:tcPr>
          <w:p>
            <w:r>
              <w:rPr>
                <w:rFonts w:ascii="Calibri" w:cs="Calibri" w:eastAsia="Calibri" w:hAnsi="Calibri"/>
                <w:color w:val="1A2230"/>
                <w:sz w:val="18"/>
                <w:szCs w:val="18"/>
              </w:rPr>
              <w:t xml:space="preserve">Names the platform and the shipyard as national assets ("Port Alpha"). Ambition signaled through scale language.</w:t>
            </w:r>
          </w:p>
        </w:tc>
        <w:tc>
          <w:tcPr>
            <w:tcW w:type="dxa" w:w="1900"/>
            <w:shd w:fill="FFFFFF" w:color="auto" w:val="clear"/>
            <w:tcMar>
              <w:top w:type="dxa" w:w="80"/>
              <w:left w:type="dxa" w:w="110"/>
              <w:bottom w:type="dxa" w:w="80"/>
              <w:right w:type="dxa" w:w="110"/>
            </w:tcMar>
          </w:tcPr>
          <w:p>
            <w:r>
              <w:rPr>
                <w:rFonts w:ascii="Calibri" w:cs="Calibri" w:eastAsia="Calibri" w:hAnsi="Calibri"/>
                <w:color w:val="1A2230"/>
                <w:sz w:val="18"/>
                <w:szCs w:val="18"/>
              </w:rPr>
              <w:t xml:space="preserve">Name the capability as infrastructure, not a product line. "A network," "a grid," "a service" — not "a trailer."</w:t>
            </w:r>
          </w:p>
        </w:tc>
      </w:tr>
      <w:tr>
        <w:tc>
          <w:tcPr>
            <w:tcW w:type="dxa" w:w="1700"/>
            <w:shd w:fill="EEF1F5" w:color="auto" w:val="clear"/>
            <w:tcMar>
              <w:top w:type="dxa" w:w="80"/>
              <w:left w:type="dxa" w:w="110"/>
              <w:bottom w:type="dxa" w:w="80"/>
              <w:right w:type="dxa" w:w="110"/>
            </w:tcMar>
          </w:tcPr>
          <w:p>
            <w:r>
              <w:rPr>
                <w:rFonts w:ascii="Calibri" w:cs="Calibri" w:eastAsia="Calibri" w:hAnsi="Calibri"/>
                <w:b/>
                <w:bCs/>
                <w:color w:val="0B1F3A"/>
                <w:sz w:val="18"/>
                <w:szCs w:val="18"/>
              </w:rPr>
              <w:t xml:space="preserve">Epirus</w:t>
            </w:r>
          </w:p>
        </w:tc>
        <w:tc>
          <w:tcPr>
            <w:tcW w:type="dxa" w:w="2300"/>
            <w:shd w:fill="EEF1F5" w:color="auto" w:val="clear"/>
            <w:tcMar>
              <w:top w:type="dxa" w:w="80"/>
              <w:left w:type="dxa" w:w="110"/>
              <w:bottom w:type="dxa" w:w="80"/>
              <w:right w:type="dxa" w:w="110"/>
            </w:tcMar>
          </w:tcPr>
          <w:p>
            <w:r>
              <w:rPr>
                <w:rFonts w:ascii="Calibri" w:cs="Calibri" w:eastAsia="Calibri" w:hAnsi="Calibri"/>
                <w:color w:val="1A2230"/>
                <w:sz w:val="18"/>
                <w:szCs w:val="18"/>
              </w:rPr>
              <w:t xml:space="preserve">High-power microwave counter-drone. ~$1B+.</w:t>
            </w:r>
          </w:p>
        </w:tc>
        <w:tc>
          <w:tcPr>
            <w:tcW w:type="dxa" w:w="3400"/>
            <w:shd w:fill="EEF1F5" w:color="auto" w:val="clear"/>
            <w:tcMar>
              <w:top w:type="dxa" w:w="80"/>
              <w:left w:type="dxa" w:w="110"/>
              <w:bottom w:type="dxa" w:w="80"/>
              <w:right w:type="dxa" w:w="110"/>
            </w:tcMar>
          </w:tcPr>
          <w:p>
            <w:r>
              <w:rPr>
                <w:rFonts w:ascii="Calibri" w:cs="Calibri" w:eastAsia="Calibri" w:hAnsi="Calibri"/>
                <w:color w:val="1A2230"/>
                <w:sz w:val="18"/>
                <w:szCs w:val="18"/>
              </w:rPr>
              <w:t xml:space="preserve">One vivid hero product (Leonidas) + a stark cost-per-kill economic argument (pennies vs. a $100k+ missile).</w:t>
            </w:r>
          </w:p>
        </w:tc>
        <w:tc>
          <w:tcPr>
            <w:tcW w:type="dxa" w:w="1900"/>
            <w:shd w:fill="EEF1F5" w:color="auto" w:val="clear"/>
            <w:tcMar>
              <w:top w:type="dxa" w:w="80"/>
              <w:left w:type="dxa" w:w="110"/>
              <w:bottom w:type="dxa" w:w="80"/>
              <w:right w:type="dxa" w:w="110"/>
            </w:tcMar>
          </w:tcPr>
          <w:p>
            <w:r>
              <w:rPr>
                <w:rFonts w:ascii="Calibri" w:cs="Calibri" w:eastAsia="Calibri" w:hAnsi="Calibri"/>
                <w:color w:val="1A2230"/>
                <w:sz w:val="18"/>
                <w:szCs w:val="18"/>
              </w:rPr>
              <w:t xml:space="preserve">Lead with an economic proof point: cost-to-retire per ton, value recovered per ton. Numbers make the mission concrete.</w:t>
            </w:r>
          </w:p>
        </w:tc>
      </w:tr>
    </w:tbl>
    <w:p>
      <w:pPr>
        <w:spacing w:after="40" w:line="276"/>
      </w:pPr>
      <w:r>
        <w:rPr>
          <w:rFonts w:ascii="Calibri" w:cs="Calibri" w:eastAsia="Calibri" w:hAnsi="Calibri"/>
          <w:color w:val="1A2230"/>
          <w:sz w:val="20"/>
          <w:szCs w:val="20"/>
        </w:rPr>
        <w:t xml:space="preserve"/>
      </w:r>
    </w:p>
    <w:p>
      <w:pPr>
        <w:spacing w:after="60" w:before="150"/>
      </w:pPr>
      <w:r>
        <w:rPr>
          <w:rFonts w:ascii="Calibri" w:cs="Calibri" w:eastAsia="Calibri" w:hAnsi="Calibri"/>
          <w:b/>
          <w:bCs/>
          <w:color w:val="0B1F3A"/>
          <w:sz w:val="21"/>
          <w:szCs w:val="21"/>
        </w:rPr>
        <w:t xml:space="preserve">The through-line across all four</w:t>
      </w:r>
    </w:p>
    <w:p>
      <w:pPr>
        <w:spacing w:after="120" w:line="276"/>
      </w:pPr>
      <w:r>
        <w:rPr>
          <w:rFonts w:ascii="Calibri" w:cs="Calibri" w:eastAsia="Calibri" w:hAnsi="Calibri"/>
          <w:color w:val="1A2230"/>
          <w:sz w:val="20"/>
          <w:szCs w:val="20"/>
        </w:rPr>
        <w:t xml:space="preserve">They stopped selling products and started selling a </w:t>
      </w:r>
      <w:r>
        <w:rPr>
          <w:rFonts w:ascii="Calibri" w:cs="Calibri" w:eastAsia="Calibri" w:hAnsi="Calibri"/>
          <w:b/>
          <w:bCs/>
          <w:color w:val="1A2230"/>
          <w:sz w:val="20"/>
          <w:szCs w:val="20"/>
        </w:rPr>
        <w:t xml:space="preserve">national argument</w:t>
      </w:r>
      <w:r>
        <w:rPr>
          <w:rFonts w:ascii="Calibri" w:cs="Calibri" w:eastAsia="Calibri" w:hAnsi="Calibri"/>
          <w:color w:val="1A2230"/>
          <w:sz w:val="20"/>
          <w:szCs w:val="20"/>
        </w:rPr>
        <w:t xml:space="preserve">: the West's industrial base atrophied, the threat environment changed, and a new kind of company is needed to fix it. Every one of them earns the right to that voice with hard numbers. TWB can occupy the same register honestly — the retirement, recovery, and restitution end of the exact same industrial base.</w:t>
      </w:r>
    </w:p>
    <w:p>
      <w:r>
        <w:br w:type="page"/>
      </w:r>
    </w:p>
    <w:p>
      <w:pPr>
        <w:pStyle w:val="Heading1"/>
        <w:pBdr>
          <w:bottom w:val="single" w:color="B22234" w:sz="12" w:space="6"/>
        </w:pBdr>
        <w:spacing w:after="140" w:before="320"/>
      </w:pPr>
      <w:r>
        <w:rPr>
          <w:rFonts w:ascii="Calibri" w:cs="Calibri" w:eastAsia="Calibri" w:hAnsi="Calibri"/>
          <w:b/>
          <w:bCs/>
          <w:color w:val="0B1F3A"/>
          <w:sz w:val="30"/>
          <w:szCs w:val="30"/>
        </w:rPr>
        <w:t xml:space="preserve">4.  Positioning territory for TWB</w:t>
      </w:r>
    </w:p>
    <w:p>
      <w:pPr>
        <w:spacing w:after="120" w:line="276"/>
      </w:pPr>
      <w:r>
        <w:rPr>
          <w:rFonts w:ascii="Calibri" w:cs="Calibri" w:eastAsia="Calibri" w:hAnsi="Calibri"/>
          <w:color w:val="1A2230"/>
          <w:sz w:val="20"/>
          <w:szCs w:val="20"/>
        </w:rPr>
        <w:t xml:space="preserve">The wedge, stated once, plainly:</w:t>
      </w:r>
    </w:p>
    <w:p>
      <w:pPr>
        <w:pBdr>
          <w:left w:val="single" w:color="B22234" w:sz="18" w:space="14"/>
        </w:pBdr>
        <w:spacing w:after="140" w:before="120"/>
        <w:ind w:left="240"/>
      </w:pPr>
      <w:r>
        <w:rPr>
          <w:rFonts w:ascii="Calibri" w:cs="Calibri" w:eastAsia="Calibri" w:hAnsi="Calibri"/>
          <w:i/>
          <w:iCs/>
          <w:color w:val="0B1F3A"/>
          <w:sz w:val="22"/>
          <w:szCs w:val="22"/>
        </w:rPr>
        <w:t xml:space="preserve">You cannot rebuild the arsenal of democracy without the means to safely retire it. TWB closes the munitions lifecycle — deployable, on-site, at the scale the mission now demands.</w:t>
      </w:r>
    </w:p>
    <w:p>
      <w:pPr>
        <w:spacing w:after="60" w:before="150"/>
      </w:pPr>
      <w:r>
        <w:rPr>
          <w:rFonts w:ascii="Calibri" w:cs="Calibri" w:eastAsia="Calibri" w:hAnsi="Calibri"/>
          <w:b/>
          <w:bCs/>
          <w:color w:val="0B1F3A"/>
          <w:sz w:val="21"/>
          <w:szCs w:val="21"/>
        </w:rPr>
        <w:t xml:space="preserve">Four capability pillars (a ladder, not a claim of today's hardware)</w:t>
      </w:r>
    </w:p>
    <w:p>
      <w:pPr>
        <w:spacing w:after="120" w:line="276"/>
      </w:pPr>
      <w:r>
        <w:rPr>
          <w:rFonts w:ascii="Calibri" w:cs="Calibri" w:eastAsia="Calibri" w:hAnsi="Calibri"/>
          <w:color w:val="1A2230"/>
          <w:sz w:val="20"/>
          <w:szCs w:val="20"/>
        </w:rPr>
        <w:t xml:space="preserve">Framing the roadmap as a ladder lets the brand reach heavy ordnance and restitution </w:t>
      </w:r>
      <w:r>
        <w:rPr>
          <w:rFonts w:ascii="Calibri" w:cs="Calibri" w:eastAsia="Calibri" w:hAnsi="Calibri"/>
          <w:i/>
          <w:iCs/>
          <w:color w:val="1A2230"/>
          <w:sz w:val="20"/>
          <w:szCs w:val="20"/>
        </w:rPr>
        <w:t xml:space="preserve">as stated build-out</w:t>
      </w:r>
      <w:r>
        <w:rPr>
          <w:rFonts w:ascii="Calibri" w:cs="Calibri" w:eastAsia="Calibri" w:hAnsi="Calibri"/>
          <w:color w:val="1A2230"/>
          <w:sz w:val="20"/>
          <w:szCs w:val="20"/>
        </w:rPr>
        <w:t xml:space="preserve"> — credible because of the planned controlled-detonation acquisition — without implying eMACS already does it. This is what protects you in technical diligence.</w:t>
      </w:r>
    </w:p>
    <w:p>
      <w:pPr>
        <w:pStyle w:val="ListParagraph"/>
        <w:numPr>
          <w:ilvl w:val="0"/>
          <w:numId w:val="2"/>
        </w:numPr>
        <w:spacing w:after="70" w:line="270"/>
      </w:pPr>
      <w:r>
        <w:rPr>
          <w:rFonts w:ascii="Calibri" w:cs="Calibri" w:eastAsia="Calibri" w:hAnsi="Calibri"/>
          <w:b/>
          <w:bCs/>
          <w:color w:val="B22234"/>
          <w:sz w:val="20"/>
          <w:szCs w:val="20"/>
        </w:rPr>
        <w:t xml:space="preserve">RETIRE — </w:t>
      </w:r>
      <w:r>
        <w:rPr>
          <w:rFonts w:ascii="Calibri" w:cs="Calibri" w:eastAsia="Calibri" w:hAnsi="Calibri"/>
          <w:color w:val="1A2230"/>
          <w:sz w:val="20"/>
          <w:szCs w:val="20"/>
        </w:rPr>
        <w:t xml:space="preserve">safe destruction of expired, confiscated, and surplus munitions, on-site and to environmental standard. </w:t>
      </w:r>
      <w:r>
        <w:rPr>
          <w:rFonts w:ascii="Calibri" w:cs="Calibri" w:eastAsia="Calibri" w:hAnsi="Calibri"/>
          <w:i/>
          <w:iCs/>
          <w:color w:val="5A6472"/>
          <w:sz w:val="20"/>
          <w:szCs w:val="20"/>
        </w:rPr>
        <w:t xml:space="preserve">(Today.)</w:t>
      </w:r>
    </w:p>
    <w:p>
      <w:pPr>
        <w:pStyle w:val="ListParagraph"/>
        <w:numPr>
          <w:ilvl w:val="0"/>
          <w:numId w:val="2"/>
        </w:numPr>
        <w:spacing w:after="70" w:line="270"/>
      </w:pPr>
      <w:r>
        <w:rPr>
          <w:rFonts w:ascii="Calibri" w:cs="Calibri" w:eastAsia="Calibri" w:hAnsi="Calibri"/>
          <w:b/>
          <w:bCs/>
          <w:color w:val="B22234"/>
          <w:sz w:val="20"/>
          <w:szCs w:val="20"/>
        </w:rPr>
        <w:t xml:space="preserve">CLEAR — </w:t>
      </w:r>
      <w:r>
        <w:rPr>
          <w:rFonts w:ascii="Calibri" w:cs="Calibri" w:eastAsia="Calibri" w:hAnsi="Calibri"/>
          <w:color w:val="1A2230"/>
          <w:sz w:val="20"/>
          <w:szCs w:val="20"/>
        </w:rPr>
        <w:t xml:space="preserve">field destruction of UXO and de-mining remnants where they're found. </w:t>
      </w:r>
      <w:r>
        <w:rPr>
          <w:rFonts w:ascii="Calibri" w:cs="Calibri" w:eastAsia="Calibri" w:hAnsi="Calibri"/>
          <w:i/>
          <w:iCs/>
          <w:color w:val="5A6472"/>
          <w:sz w:val="20"/>
          <w:szCs w:val="20"/>
        </w:rPr>
        <w:t xml:space="preserve">(Roadmap + detonation acquisition.)</w:t>
      </w:r>
    </w:p>
    <w:p>
      <w:pPr>
        <w:pStyle w:val="ListParagraph"/>
        <w:numPr>
          <w:ilvl w:val="0"/>
          <w:numId w:val="2"/>
        </w:numPr>
        <w:spacing w:after="70" w:line="270"/>
      </w:pPr>
      <w:r>
        <w:rPr>
          <w:rFonts w:ascii="Calibri" w:cs="Calibri" w:eastAsia="Calibri" w:hAnsi="Calibri"/>
          <w:b/>
          <w:bCs/>
          <w:color w:val="B22234"/>
          <w:sz w:val="20"/>
          <w:szCs w:val="20"/>
        </w:rPr>
        <w:t xml:space="preserve">RECOVER — </w:t>
      </w:r>
      <w:r>
        <w:rPr>
          <w:rFonts w:ascii="Calibri" w:cs="Calibri" w:eastAsia="Calibri" w:hAnsi="Calibri"/>
          <w:color w:val="1A2230"/>
          <w:sz w:val="20"/>
          <w:szCs w:val="20"/>
        </w:rPr>
        <w:t xml:space="preserve">secure materials recovery from munitions and decommissioned equipment — returning value, denying it to adversaries. </w:t>
      </w:r>
      <w:r>
        <w:rPr>
          <w:rFonts w:ascii="Calibri" w:cs="Calibri" w:eastAsia="Calibri" w:hAnsi="Calibri"/>
          <w:i/>
          <w:iCs/>
          <w:color w:val="5A6472"/>
          <w:sz w:val="20"/>
          <w:szCs w:val="20"/>
        </w:rPr>
        <w:t xml:space="preserve">(Extends today's metal recovery.)</w:t>
      </w:r>
    </w:p>
    <w:p>
      <w:pPr>
        <w:pStyle w:val="ListParagraph"/>
        <w:numPr>
          <w:ilvl w:val="0"/>
          <w:numId w:val="2"/>
        </w:numPr>
        <w:spacing w:after="70" w:line="270"/>
      </w:pPr>
      <w:r>
        <w:rPr>
          <w:rFonts w:ascii="Calibri" w:cs="Calibri" w:eastAsia="Calibri" w:hAnsi="Calibri"/>
          <w:b/>
          <w:bCs/>
          <w:color w:val="B22234"/>
          <w:sz w:val="20"/>
          <w:szCs w:val="20"/>
        </w:rPr>
        <w:t xml:space="preserve">SCALE — </w:t>
      </w:r>
      <w:r>
        <w:rPr>
          <w:rFonts w:ascii="Calibri" w:cs="Calibri" w:eastAsia="Calibri" w:hAnsi="Calibri"/>
          <w:color w:val="1A2230"/>
          <w:sz w:val="20"/>
          <w:szCs w:val="20"/>
        </w:rPr>
        <w:t xml:space="preserve">distributed, mobile capacity that grows with a re-industrializing North American defense base. </w:t>
      </w:r>
      <w:r>
        <w:rPr>
          <w:rFonts w:ascii="Calibri" w:cs="Calibri" w:eastAsia="Calibri" w:hAnsi="Calibri"/>
          <w:i/>
          <w:iCs/>
          <w:color w:val="5A6472"/>
          <w:sz w:val="20"/>
          <w:szCs w:val="20"/>
        </w:rPr>
        <w:t xml:space="preserve">(The infrastructure story.)</w:t>
      </w:r>
    </w:p>
    <w:p>
      <w:pPr>
        <w:spacing w:after="60" w:before="150"/>
      </w:pPr>
      <w:r>
        <w:rPr>
          <w:rFonts w:ascii="Calibri" w:cs="Calibri" w:eastAsia="Calibri" w:hAnsi="Calibri"/>
          <w:b/>
          <w:bCs/>
          <w:color w:val="0B1F3A"/>
          <w:sz w:val="21"/>
          <w:szCs w:val="21"/>
        </w:rPr>
        <w:t xml:space="preserve">Voice guardrails for the session</w:t>
      </w:r>
    </w:p>
    <w:p>
      <w:pPr>
        <w:pStyle w:val="ListParagraph"/>
        <w:numPr>
          <w:ilvl w:val="0"/>
          <w:numId w:val="2"/>
        </w:numPr>
        <w:spacing w:after="70" w:line="270"/>
      </w:pPr>
      <w:r>
        <w:rPr>
          <w:rFonts w:ascii="Calibri" w:cs="Calibri" w:eastAsia="Calibri" w:hAnsi="Calibri"/>
          <w:color w:val="1A2230"/>
          <w:sz w:val="20"/>
          <w:szCs w:val="20"/>
        </w:rPr>
        <w:t xml:space="preserve">Sovereign, not martial. The mission is safety, stewardship, and restitution — not lethality. This is a genuine white space: the neoprimes all sound like offense; TWB can own the credible, serious voice of making things safe.</w:t>
      </w:r>
    </w:p>
    <w:p>
      <w:pPr>
        <w:pStyle w:val="ListParagraph"/>
        <w:numPr>
          <w:ilvl w:val="0"/>
          <w:numId w:val="2"/>
        </w:numPr>
        <w:spacing w:after="70" w:line="270"/>
      </w:pPr>
      <w:r>
        <w:rPr>
          <w:rFonts w:ascii="Calibri" w:cs="Calibri" w:eastAsia="Calibri" w:hAnsi="Calibri"/>
          <w:color w:val="1A2230"/>
          <w:sz w:val="20"/>
          <w:szCs w:val="20"/>
        </w:rPr>
        <w:t xml:space="preserve">Infrastructure, not gadget. Language of networks, capacity, and lifecycle — never "a unit" or "a machine."</w:t>
      </w:r>
    </w:p>
    <w:p>
      <w:pPr>
        <w:pStyle w:val="ListParagraph"/>
        <w:numPr>
          <w:ilvl w:val="0"/>
          <w:numId w:val="2"/>
        </w:numPr>
        <w:spacing w:after="70" w:line="270"/>
      </w:pPr>
      <w:r>
        <w:rPr>
          <w:rFonts w:ascii="Calibri" w:cs="Calibri" w:eastAsia="Calibri" w:hAnsi="Calibri"/>
          <w:color w:val="1A2230"/>
          <w:sz w:val="20"/>
          <w:szCs w:val="20"/>
        </w:rPr>
        <w:t xml:space="preserve">Earn every claim with a number. Tons, dollars-per-ton, value recovered. The market rewards proof, punishes hand-waving.</w:t>
      </w:r>
    </w:p>
    <w:p>
      <w:pPr>
        <w:pStyle w:val="ListParagraph"/>
        <w:numPr>
          <w:ilvl w:val="0"/>
          <w:numId w:val="2"/>
        </w:numPr>
        <w:spacing w:after="70" w:line="270"/>
      </w:pPr>
      <w:r>
        <w:rPr>
          <w:rFonts w:ascii="Calibri" w:cs="Calibri" w:eastAsia="Calibri" w:hAnsi="Calibri"/>
          <w:color w:val="1A2230"/>
          <w:sz w:val="20"/>
          <w:szCs w:val="20"/>
        </w:rPr>
        <w:t xml:space="preserve">Dual-audience discipline. Every line has to read cleanly to a uniformed evaluator AND a PE diligence lead. If it sounds like hype to either, cut it.</w:t>
      </w:r>
    </w:p>
    <w:p>
      <w:r>
        <w:br w:type="page"/>
      </w:r>
    </w:p>
    <w:p>
      <w:pPr>
        <w:pStyle w:val="Heading1"/>
        <w:pBdr>
          <w:bottom w:val="single" w:color="B22234" w:sz="12" w:space="6"/>
        </w:pBdr>
        <w:spacing w:after="140" w:before="320"/>
      </w:pPr>
      <w:r>
        <w:rPr>
          <w:rFonts w:ascii="Calibri" w:cs="Calibri" w:eastAsia="Calibri" w:hAnsi="Calibri"/>
          <w:b/>
          <w:bCs/>
          <w:color w:val="0B1F3A"/>
          <w:sz w:val="30"/>
          <w:szCs w:val="30"/>
        </w:rPr>
        <w:t xml:space="preserve">5.  Naming direction</w:t>
      </w:r>
    </w:p>
    <w:p>
      <w:pPr>
        <w:spacing w:after="120" w:line="276"/>
      </w:pPr>
      <w:r>
        <w:rPr>
          <w:rFonts w:ascii="Calibri" w:cs="Calibri" w:eastAsia="Calibri" w:hAnsi="Calibri"/>
          <w:color w:val="1A2230"/>
          <w:sz w:val="20"/>
          <w:szCs w:val="20"/>
        </w:rPr>
        <w:t xml:space="preserve">"TWB Designs" is a design-shop name — it undersells a national-infrastructure play and won't survive the move into heavy ordnance and restitution. Below are directions and candidates to react to, </w:t>
      </w:r>
      <w:r>
        <w:rPr>
          <w:rFonts w:ascii="Calibri" w:cs="Calibri" w:eastAsia="Calibri" w:hAnsi="Calibri"/>
          <w:b/>
          <w:bCs/>
          <w:color w:val="1A2230"/>
          <w:sz w:val="20"/>
          <w:szCs w:val="20"/>
        </w:rPr>
        <w:t xml:space="preserve">not a final answer</w:t>
      </w:r>
      <w:r>
        <w:rPr>
          <w:rFonts w:ascii="Calibri" w:cs="Calibri" w:eastAsia="Calibri" w:hAnsi="Calibri"/>
          <w:color w:val="1A2230"/>
          <w:sz w:val="20"/>
          <w:szCs w:val="20"/>
        </w:rPr>
        <w:t xml:space="preserve">. The goal in-session is to pick a territory first, then pressure-test names against trademark, .com availability, and — critically — ITAR/cross-border optics.</w:t>
      </w:r>
    </w:p>
    <w:p>
      <w:pPr>
        <w:pStyle w:val="Heading2"/>
        <w:spacing w:after="90" w:before="220"/>
      </w:pPr>
      <w:r>
        <w:rPr>
          <w:rFonts w:ascii="Calibri" w:cs="Calibri" w:eastAsia="Calibri" w:hAnsi="Calibri"/>
          <w:b/>
          <w:bCs/>
          <w:color w:val="B22234"/>
          <w:sz w:val="24"/>
          <w:szCs w:val="24"/>
        </w:rPr>
        <w:t xml:space="preserve">Direction A — Lifecycle / stewardship</w:t>
      </w:r>
    </w:p>
    <w:p>
      <w:pPr>
        <w:spacing w:after="80" w:line="276"/>
      </w:pPr>
      <w:r>
        <w:rPr>
          <w:rFonts w:ascii="Calibri" w:cs="Calibri" w:eastAsia="Calibri" w:hAnsi="Calibri"/>
          <w:i/>
          <w:iCs/>
          <w:color w:val="1A2230"/>
          <w:sz w:val="20"/>
          <w:szCs w:val="20"/>
        </w:rPr>
        <w:t xml:space="preserve">Signals the "other half of the industrial base" thesis. Serious, ownable, low-swagger.</w:t>
      </w:r>
    </w:p>
    <w:p>
      <w:pPr>
        <w:pStyle w:val="ListParagraph"/>
        <w:numPr>
          <w:ilvl w:val="0"/>
          <w:numId w:val="2"/>
        </w:numPr>
        <w:spacing w:after="70" w:line="270"/>
      </w:pPr>
      <w:r>
        <w:rPr>
          <w:rFonts w:ascii="Calibri" w:cs="Calibri" w:eastAsia="Calibri" w:hAnsi="Calibri"/>
          <w:b/>
          <w:bCs/>
          <w:color w:val="0B1F3A"/>
          <w:sz w:val="20"/>
          <w:szCs w:val="20"/>
        </w:rPr>
        <w:t xml:space="preserve">Terminus Defense — </w:t>
      </w:r>
      <w:r>
        <w:rPr>
          <w:rFonts w:ascii="Calibri" w:cs="Calibri" w:eastAsia="Calibri" w:hAnsi="Calibri"/>
          <w:color w:val="1A2230"/>
          <w:sz w:val="20"/>
          <w:szCs w:val="20"/>
        </w:rPr>
        <w:t xml:space="preserve">The end-state of every round. Strong, final, defensible; military resonance without aggression.</w:t>
      </w:r>
    </w:p>
    <w:p>
      <w:pPr>
        <w:pStyle w:val="ListParagraph"/>
        <w:numPr>
          <w:ilvl w:val="0"/>
          <w:numId w:val="2"/>
        </w:numPr>
        <w:spacing w:after="70" w:line="270"/>
      </w:pPr>
      <w:r>
        <w:rPr>
          <w:rFonts w:ascii="Calibri" w:cs="Calibri" w:eastAsia="Calibri" w:hAnsi="Calibri"/>
          <w:b/>
          <w:bCs/>
          <w:color w:val="0B1F3A"/>
          <w:sz w:val="20"/>
          <w:szCs w:val="20"/>
        </w:rPr>
        <w:t xml:space="preserve">Endstate Munitions Group — </w:t>
      </w:r>
      <w:r>
        <w:rPr>
          <w:rFonts w:ascii="Calibri" w:cs="Calibri" w:eastAsia="Calibri" w:hAnsi="Calibri"/>
          <w:color w:val="1A2230"/>
          <w:sz w:val="20"/>
          <w:szCs w:val="20"/>
        </w:rPr>
        <w:t xml:space="preserve">Uses DoD's own lifecycle vocabulary; instantly legible to an evaluator.</w:t>
      </w:r>
    </w:p>
    <w:p>
      <w:pPr>
        <w:pStyle w:val="ListParagraph"/>
        <w:numPr>
          <w:ilvl w:val="0"/>
          <w:numId w:val="2"/>
        </w:numPr>
        <w:spacing w:after="70" w:line="270"/>
      </w:pPr>
      <w:r>
        <w:rPr>
          <w:rFonts w:ascii="Calibri" w:cs="Calibri" w:eastAsia="Calibri" w:hAnsi="Calibri"/>
          <w:b/>
          <w:bCs/>
          <w:color w:val="0B1F3A"/>
          <w:sz w:val="20"/>
          <w:szCs w:val="20"/>
        </w:rPr>
        <w:t xml:space="preserve">Coda Defense Systems — </w:t>
      </w:r>
      <w:r>
        <w:rPr>
          <w:rFonts w:ascii="Calibri" w:cs="Calibri" w:eastAsia="Calibri" w:hAnsi="Calibri"/>
          <w:color w:val="1A2230"/>
          <w:sz w:val="20"/>
          <w:szCs w:val="20"/>
        </w:rPr>
        <w:t xml:space="preserve">The final movement — elegant, memorable, a little premium.</w:t>
      </w:r>
    </w:p>
    <w:p>
      <w:pPr>
        <w:pStyle w:val="ListParagraph"/>
        <w:numPr>
          <w:ilvl w:val="0"/>
          <w:numId w:val="2"/>
        </w:numPr>
        <w:spacing w:after="70" w:line="270"/>
      </w:pPr>
      <w:r>
        <w:rPr>
          <w:rFonts w:ascii="Calibri" w:cs="Calibri" w:eastAsia="Calibri" w:hAnsi="Calibri"/>
          <w:b/>
          <w:bCs/>
          <w:color w:val="0B1F3A"/>
          <w:sz w:val="20"/>
          <w:szCs w:val="20"/>
        </w:rPr>
        <w:t xml:space="preserve">Aftermath Industrial — </w:t>
      </w:r>
      <w:r>
        <w:rPr>
          <w:rFonts w:ascii="Calibri" w:cs="Calibri" w:eastAsia="Calibri" w:hAnsi="Calibri"/>
          <w:color w:val="1A2230"/>
          <w:sz w:val="20"/>
          <w:szCs w:val="20"/>
        </w:rPr>
        <w:t xml:space="preserve">Owns the restitution/post-conflict space directly; bolder, higher-risk.</w:t>
      </w:r>
    </w:p>
    <w:p>
      <w:pPr>
        <w:pStyle w:val="Heading2"/>
        <w:spacing w:after="90" w:before="220"/>
      </w:pPr>
      <w:r>
        <w:rPr>
          <w:rFonts w:ascii="Calibri" w:cs="Calibri" w:eastAsia="Calibri" w:hAnsi="Calibri"/>
          <w:b/>
          <w:bCs/>
          <w:color w:val="B22234"/>
          <w:sz w:val="24"/>
          <w:szCs w:val="24"/>
        </w:rPr>
        <w:t xml:space="preserve">Direction B — Sovereign safety / restitution</w:t>
      </w:r>
    </w:p>
    <w:p>
      <w:pPr>
        <w:spacing w:after="80" w:line="276"/>
      </w:pPr>
      <w:r>
        <w:rPr>
          <w:rFonts w:ascii="Calibri" w:cs="Calibri" w:eastAsia="Calibri" w:hAnsi="Calibri"/>
          <w:i/>
          <w:iCs/>
          <w:color w:val="1A2230"/>
          <w:sz w:val="20"/>
          <w:szCs w:val="20"/>
        </w:rPr>
        <w:t xml:space="preserve">Leans into the humanitarian and allied-restitution mission. Warmer, differentiated from the offense-heavy field.</w:t>
      </w:r>
    </w:p>
    <w:p>
      <w:pPr>
        <w:pStyle w:val="ListParagraph"/>
        <w:numPr>
          <w:ilvl w:val="0"/>
          <w:numId w:val="2"/>
        </w:numPr>
        <w:spacing w:after="70" w:line="270"/>
      </w:pPr>
      <w:r>
        <w:rPr>
          <w:rFonts w:ascii="Calibri" w:cs="Calibri" w:eastAsia="Calibri" w:hAnsi="Calibri"/>
          <w:b/>
          <w:bCs/>
          <w:color w:val="0B1F3A"/>
          <w:sz w:val="20"/>
          <w:szCs w:val="20"/>
        </w:rPr>
        <w:t xml:space="preserve">Safe Ground — </w:t>
      </w:r>
      <w:r>
        <w:rPr>
          <w:rFonts w:ascii="Calibri" w:cs="Calibri" w:eastAsia="Calibri" w:hAnsi="Calibri"/>
          <w:color w:val="1A2230"/>
          <w:sz w:val="20"/>
          <w:szCs w:val="20"/>
        </w:rPr>
        <w:t xml:space="preserve">Plain-spoken, powerful, human. "Where conflict ends, the danger doesn't — we make ground safe again."</w:t>
      </w:r>
    </w:p>
    <w:p>
      <w:pPr>
        <w:pStyle w:val="ListParagraph"/>
        <w:numPr>
          <w:ilvl w:val="0"/>
          <w:numId w:val="2"/>
        </w:numPr>
        <w:spacing w:after="70" w:line="270"/>
      </w:pPr>
      <w:r>
        <w:rPr>
          <w:rFonts w:ascii="Calibri" w:cs="Calibri" w:eastAsia="Calibri" w:hAnsi="Calibri"/>
          <w:b/>
          <w:bCs/>
          <w:color w:val="0B1F3A"/>
          <w:sz w:val="20"/>
          <w:szCs w:val="20"/>
        </w:rPr>
        <w:t xml:space="preserve">Renders Defense — </w:t>
      </w:r>
      <w:r>
        <w:rPr>
          <w:rFonts w:ascii="Calibri" w:cs="Calibri" w:eastAsia="Calibri" w:hAnsi="Calibri"/>
          <w:color w:val="1A2230"/>
          <w:sz w:val="20"/>
          <w:szCs w:val="20"/>
        </w:rPr>
        <w:t xml:space="preserve">"Render safe" is the EOD term of art for neutralizing ordnance — deep insider credibility.</w:t>
      </w:r>
    </w:p>
    <w:p>
      <w:pPr>
        <w:pStyle w:val="ListParagraph"/>
        <w:numPr>
          <w:ilvl w:val="0"/>
          <w:numId w:val="2"/>
        </w:numPr>
        <w:spacing w:after="70" w:line="270"/>
      </w:pPr>
      <w:r>
        <w:rPr>
          <w:rFonts w:ascii="Calibri" w:cs="Calibri" w:eastAsia="Calibri" w:hAnsi="Calibri"/>
          <w:b/>
          <w:bCs/>
          <w:color w:val="0B1F3A"/>
          <w:sz w:val="20"/>
          <w:szCs w:val="20"/>
        </w:rPr>
        <w:t xml:space="preserve">Sentinel Demil / Sentinel Ordnance — </w:t>
      </w:r>
      <w:r>
        <w:rPr>
          <w:rFonts w:ascii="Calibri" w:cs="Calibri" w:eastAsia="Calibri" w:hAnsi="Calibri"/>
          <w:color w:val="1A2230"/>
          <w:sz w:val="20"/>
          <w:szCs w:val="20"/>
        </w:rPr>
        <w:t xml:space="preserve">Guardianship framing; widely used, so trademark risk is higher.</w:t>
      </w:r>
    </w:p>
    <w:p>
      <w:pPr>
        <w:pStyle w:val="ListParagraph"/>
        <w:numPr>
          <w:ilvl w:val="0"/>
          <w:numId w:val="2"/>
        </w:numPr>
        <w:spacing w:after="70" w:line="270"/>
      </w:pPr>
      <w:r>
        <w:rPr>
          <w:rFonts w:ascii="Calibri" w:cs="Calibri" w:eastAsia="Calibri" w:hAnsi="Calibri"/>
          <w:b/>
          <w:bCs/>
          <w:color w:val="0B1F3A"/>
          <w:sz w:val="20"/>
          <w:szCs w:val="20"/>
        </w:rPr>
        <w:t xml:space="preserve">Restore Defense Group — </w:t>
      </w:r>
      <w:r>
        <w:rPr>
          <w:rFonts w:ascii="Calibri" w:cs="Calibri" w:eastAsia="Calibri" w:hAnsi="Calibri"/>
          <w:color w:val="1A2230"/>
          <w:sz w:val="20"/>
          <w:szCs w:val="20"/>
        </w:rPr>
        <w:t xml:space="preserve">Direct line to reconstruction and restitution work.</w:t>
      </w:r>
    </w:p>
    <w:p>
      <w:pPr>
        <w:pStyle w:val="Heading2"/>
        <w:spacing w:after="90" w:before="220"/>
      </w:pPr>
      <w:r>
        <w:rPr>
          <w:rFonts w:ascii="Calibri" w:cs="Calibri" w:eastAsia="Calibri" w:hAnsi="Calibri"/>
          <w:b/>
          <w:bCs/>
          <w:color w:val="B22234"/>
          <w:sz w:val="24"/>
          <w:szCs w:val="24"/>
        </w:rPr>
        <w:t xml:space="preserve">Direction C — Industrial scale / infrastructure</w:t>
      </w:r>
    </w:p>
    <w:p>
      <w:pPr>
        <w:spacing w:after="80" w:line="276"/>
      </w:pPr>
      <w:r>
        <w:rPr>
          <w:rFonts w:ascii="Calibri" w:cs="Calibri" w:eastAsia="Calibri" w:hAnsi="Calibri"/>
          <w:i/>
          <w:iCs/>
          <w:color w:val="1A2230"/>
          <w:sz w:val="20"/>
          <w:szCs w:val="20"/>
        </w:rPr>
        <w:t xml:space="preserve">Mirrors the Anduril/Hadrian register most directly — capacity as deterrence.</w:t>
      </w:r>
    </w:p>
    <w:p>
      <w:pPr>
        <w:pStyle w:val="ListParagraph"/>
        <w:numPr>
          <w:ilvl w:val="0"/>
          <w:numId w:val="2"/>
        </w:numPr>
        <w:spacing w:after="70" w:line="270"/>
      </w:pPr>
      <w:r>
        <w:rPr>
          <w:rFonts w:ascii="Calibri" w:cs="Calibri" w:eastAsia="Calibri" w:hAnsi="Calibri"/>
          <w:b/>
          <w:bCs/>
          <w:color w:val="0B1F3A"/>
          <w:sz w:val="20"/>
          <w:szCs w:val="20"/>
        </w:rPr>
        <w:t xml:space="preserve">Arsenal Reserve — </w:t>
      </w:r>
      <w:r>
        <w:rPr>
          <w:rFonts w:ascii="Calibri" w:cs="Calibri" w:eastAsia="Calibri" w:hAnsi="Calibri"/>
          <w:color w:val="1A2230"/>
          <w:sz w:val="20"/>
          <w:szCs w:val="20"/>
        </w:rPr>
        <w:t xml:space="preserve">Deliberate counterpoint to Anduril's "Arsenal" — the retire/recover side of the same idea.</w:t>
      </w:r>
    </w:p>
    <w:p>
      <w:pPr>
        <w:pStyle w:val="ListParagraph"/>
        <w:numPr>
          <w:ilvl w:val="0"/>
          <w:numId w:val="2"/>
        </w:numPr>
        <w:spacing w:after="70" w:line="270"/>
      </w:pPr>
      <w:r>
        <w:rPr>
          <w:rFonts w:ascii="Calibri" w:cs="Calibri" w:eastAsia="Calibri" w:hAnsi="Calibri"/>
          <w:b/>
          <w:bCs/>
          <w:color w:val="0B1F3A"/>
          <w:sz w:val="20"/>
          <w:szCs w:val="20"/>
        </w:rPr>
        <w:t xml:space="preserve">Forge &amp; Furnace / Furnace Works — </w:t>
      </w:r>
      <w:r>
        <w:rPr>
          <w:rFonts w:ascii="Calibri" w:cs="Calibri" w:eastAsia="Calibri" w:hAnsi="Calibri"/>
          <w:color w:val="1A2230"/>
          <w:sz w:val="20"/>
          <w:szCs w:val="20"/>
        </w:rPr>
        <w:t xml:space="preserve">Evokes the two-stage thermal core of the tech; industrial and tangible.</w:t>
      </w:r>
    </w:p>
    <w:p>
      <w:pPr>
        <w:pStyle w:val="ListParagraph"/>
        <w:numPr>
          <w:ilvl w:val="0"/>
          <w:numId w:val="2"/>
        </w:numPr>
        <w:spacing w:after="70" w:line="270"/>
      </w:pPr>
      <w:r>
        <w:rPr>
          <w:rFonts w:ascii="Calibri" w:cs="Calibri" w:eastAsia="Calibri" w:hAnsi="Calibri"/>
          <w:b/>
          <w:bCs/>
          <w:color w:val="0B1F3A"/>
          <w:sz w:val="20"/>
          <w:szCs w:val="20"/>
        </w:rPr>
        <w:t xml:space="preserve">Meridian Ordnance Group — </w:t>
      </w:r>
      <w:r>
        <w:rPr>
          <w:rFonts w:ascii="Calibri" w:cs="Calibri" w:eastAsia="Calibri" w:hAnsi="Calibri"/>
          <w:color w:val="1A2230"/>
          <w:sz w:val="20"/>
          <w:szCs w:val="20"/>
        </w:rPr>
        <w:t xml:space="preserve">Neutral, scalable holding-company feel — good if a multi-entity roll-up (TWB + detonation co.) is the real structure.</w:t>
      </w:r>
    </w:p>
    <w:p>
      <w:pPr>
        <w:pStyle w:val="ListParagraph"/>
        <w:numPr>
          <w:ilvl w:val="0"/>
          <w:numId w:val="2"/>
        </w:numPr>
        <w:spacing w:after="70" w:line="270"/>
      </w:pPr>
      <w:r>
        <w:rPr>
          <w:rFonts w:ascii="Calibri" w:cs="Calibri" w:eastAsia="Calibri" w:hAnsi="Calibri"/>
          <w:b/>
          <w:bCs/>
          <w:color w:val="0B1F3A"/>
          <w:sz w:val="20"/>
          <w:szCs w:val="20"/>
        </w:rPr>
        <w:t xml:space="preserve">Bastion Materiel — </w:t>
      </w:r>
      <w:r>
        <w:rPr>
          <w:rFonts w:ascii="Calibri" w:cs="Calibri" w:eastAsia="Calibri" w:hAnsi="Calibri"/>
          <w:color w:val="1A2230"/>
          <w:sz w:val="20"/>
          <w:szCs w:val="20"/>
        </w:rPr>
        <w:t xml:space="preserve">Defensive strength + the "materiel" tell that signals defense fluency.</w:t>
      </w:r>
    </w:p>
    <w:p>
      <w:pPr>
        <w:spacing w:after="60" w:before="150"/>
      </w:pPr>
      <w:r>
        <w:rPr>
          <w:rFonts w:ascii="Calibri" w:cs="Calibri" w:eastAsia="Calibri" w:hAnsi="Calibri"/>
          <w:b/>
          <w:bCs/>
          <w:color w:val="0B1F3A"/>
          <w:sz w:val="21"/>
          <w:szCs w:val="21"/>
        </w:rPr>
        <w:t xml:space="preserve">A note on the holding structure</w:t>
      </w:r>
    </w:p>
    <w:p>
      <w:pPr>
        <w:spacing w:after="120" w:line="276"/>
      </w:pPr>
      <w:r>
        <w:rPr>
          <w:rFonts w:ascii="Calibri" w:cs="Calibri" w:eastAsia="Calibri" w:hAnsi="Calibri"/>
          <w:color w:val="1A2230"/>
          <w:sz w:val="20"/>
          <w:szCs w:val="20"/>
        </w:rPr>
        <w:t xml:space="preserve">If the controlled-detonation acquisition proceeds, you likely need a </w:t>
      </w:r>
      <w:r>
        <w:rPr>
          <w:rFonts w:ascii="Calibri" w:cs="Calibri" w:eastAsia="Calibri" w:hAnsi="Calibri"/>
          <w:b/>
          <w:bCs/>
          <w:color w:val="1A2230"/>
          <w:sz w:val="20"/>
          <w:szCs w:val="20"/>
        </w:rPr>
        <w:t xml:space="preserve">parent brand over two capabilities</w:t>
      </w:r>
      <w:r>
        <w:rPr>
          <w:rFonts w:ascii="Calibri" w:cs="Calibri" w:eastAsia="Calibri" w:hAnsi="Calibri"/>
          <w:color w:val="1A2230"/>
          <w:sz w:val="20"/>
          <w:szCs w:val="20"/>
        </w:rPr>
        <w:t xml:space="preserve"> (combustion demil + controlled detonation): a platform name on top, with the operating units beneath. That argues for a broader name (Meridian, Bastion, Terminus, Endstate) rather than one tied narrowly to combustion. Worth resolving deal structure and brand architecture in the same session — they're the same decision.</w:t>
      </w:r>
    </w:p>
    <w:p>
      <w:pPr>
        <w:pStyle w:val="Heading1"/>
        <w:pBdr>
          <w:bottom w:val="single" w:color="B22234" w:sz="12" w:space="6"/>
        </w:pBdr>
        <w:spacing w:after="140" w:before="320"/>
      </w:pPr>
      <w:r>
        <w:rPr>
          <w:rFonts w:ascii="Calibri" w:cs="Calibri" w:eastAsia="Calibri" w:hAnsi="Calibri"/>
          <w:b/>
          <w:bCs/>
          <w:color w:val="0B1F3A"/>
          <w:sz w:val="30"/>
          <w:szCs w:val="30"/>
        </w:rPr>
        <w:t xml:space="preserve">6.  Suggested running order for the session</w:t>
      </w:r>
    </w:p>
    <w:p>
      <w:pPr>
        <w:pStyle w:val="ListParagraph"/>
        <w:numPr>
          <w:ilvl w:val="0"/>
          <w:numId w:val="2"/>
        </w:numPr>
        <w:spacing w:after="70" w:line="270"/>
      </w:pPr>
      <w:r>
        <w:rPr>
          <w:rFonts w:ascii="Calibri" w:cs="Calibri" w:eastAsia="Calibri" w:hAnsi="Calibri"/>
          <w:b/>
          <w:bCs/>
          <w:color w:val="1A2230"/>
          <w:sz w:val="20"/>
          <w:szCs w:val="20"/>
        </w:rPr>
        <w:t xml:space="preserve">Align on the wedge (10 min) — </w:t>
      </w:r>
      <w:r>
        <w:rPr>
          <w:rFonts w:ascii="Calibri" w:cs="Calibri" w:eastAsia="Calibri" w:hAnsi="Calibri"/>
          <w:color w:val="1A2230"/>
          <w:sz w:val="20"/>
          <w:szCs w:val="20"/>
        </w:rPr>
        <w:t xml:space="preserve">does "the other half of the industrial base" hold? If yes, everything downstream follows.</w:t>
      </w:r>
    </w:p>
    <w:p>
      <w:pPr>
        <w:pStyle w:val="ListParagraph"/>
        <w:numPr>
          <w:ilvl w:val="0"/>
          <w:numId w:val="2"/>
        </w:numPr>
        <w:spacing w:after="70" w:line="270"/>
      </w:pPr>
      <w:r>
        <w:rPr>
          <w:rFonts w:ascii="Calibri" w:cs="Calibri" w:eastAsia="Calibri" w:hAnsi="Calibri"/>
          <w:b/>
          <w:bCs/>
          <w:color w:val="1A2230"/>
          <w:sz w:val="20"/>
          <w:szCs w:val="20"/>
        </w:rPr>
        <w:t xml:space="preserve">Pick a positioning pillar emphasis (15 min) — </w:t>
      </w:r>
      <w:r>
        <w:rPr>
          <w:rFonts w:ascii="Calibri" w:cs="Calibri" w:eastAsia="Calibri" w:hAnsi="Calibri"/>
          <w:color w:val="1A2230"/>
          <w:sz w:val="20"/>
          <w:szCs w:val="20"/>
        </w:rPr>
        <w:t xml:space="preserve">lead with sovereign-safety, or with industrial-scale? Audience-dependent.</w:t>
      </w:r>
    </w:p>
    <w:p>
      <w:pPr>
        <w:pStyle w:val="ListParagraph"/>
        <w:numPr>
          <w:ilvl w:val="0"/>
          <w:numId w:val="2"/>
        </w:numPr>
        <w:spacing w:after="70" w:line="270"/>
      </w:pPr>
      <w:r>
        <w:rPr>
          <w:rFonts w:ascii="Calibri" w:cs="Calibri" w:eastAsia="Calibri" w:hAnsi="Calibri"/>
          <w:b/>
          <w:bCs/>
          <w:color w:val="1A2230"/>
          <w:sz w:val="20"/>
          <w:szCs w:val="20"/>
        </w:rPr>
        <w:t xml:space="preserve">Choose a naming territory before names (20 min) — </w:t>
      </w:r>
      <w:r>
        <w:rPr>
          <w:rFonts w:ascii="Calibri" w:cs="Calibri" w:eastAsia="Calibri" w:hAnsi="Calibri"/>
          <w:color w:val="1A2230"/>
          <w:sz w:val="20"/>
          <w:szCs w:val="20"/>
        </w:rPr>
        <w:t xml:space="preserve">A, B, or C. Don't debate individual names until the territory is set.</w:t>
      </w:r>
    </w:p>
    <w:p>
      <w:pPr>
        <w:pStyle w:val="ListParagraph"/>
        <w:numPr>
          <w:ilvl w:val="0"/>
          <w:numId w:val="2"/>
        </w:numPr>
        <w:spacing w:after="70" w:line="270"/>
      </w:pPr>
      <w:r>
        <w:rPr>
          <w:rFonts w:ascii="Calibri" w:cs="Calibri" w:eastAsia="Calibri" w:hAnsi="Calibri"/>
          <w:b/>
          <w:bCs/>
          <w:color w:val="1A2230"/>
          <w:sz w:val="20"/>
          <w:szCs w:val="20"/>
        </w:rPr>
        <w:t xml:space="preserve">Shortlist 3 names + architecture decision (20 min) — </w:t>
      </w:r>
      <w:r>
        <w:rPr>
          <w:rFonts w:ascii="Calibri" w:cs="Calibri" w:eastAsia="Calibri" w:hAnsi="Calibri"/>
          <w:color w:val="1A2230"/>
          <w:sz w:val="20"/>
          <w:szCs w:val="20"/>
        </w:rPr>
        <w:t xml:space="preserve">standalone vs. parent-over-two-units.</w:t>
      </w:r>
    </w:p>
    <w:p>
      <w:pPr>
        <w:pStyle w:val="ListParagraph"/>
        <w:numPr>
          <w:ilvl w:val="0"/>
          <w:numId w:val="2"/>
        </w:numPr>
        <w:spacing w:after="70" w:line="270"/>
      </w:pPr>
      <w:r>
        <w:rPr>
          <w:rFonts w:ascii="Calibri" w:cs="Calibri" w:eastAsia="Calibri" w:hAnsi="Calibri"/>
          <w:b/>
          <w:bCs/>
          <w:color w:val="1A2230"/>
          <w:sz w:val="20"/>
          <w:szCs w:val="20"/>
        </w:rPr>
        <w:t xml:space="preserve">Assign diligence (5 min) — </w:t>
      </w:r>
      <w:r>
        <w:rPr>
          <w:rFonts w:ascii="Calibri" w:cs="Calibri" w:eastAsia="Calibri" w:hAnsi="Calibri"/>
          <w:color w:val="1A2230"/>
          <w:sz w:val="20"/>
          <w:szCs w:val="20"/>
        </w:rPr>
        <w:t xml:space="preserve">trademark, .com, and ITAR/cross-border optics on the shortlist before anyone falls in love.</w:t>
      </w:r>
    </w:p>
    <w:p>
      <w:pPr>
        <w:spacing w:before="200"/>
      </w:pPr>
    </w:p>
    <w:p>
      <w:pPr>
        <w:spacing w:after="120" w:line="276"/>
      </w:pPr>
      <w:r>
        <w:rPr>
          <w:rFonts w:ascii="Calibri" w:cs="Calibri" w:eastAsia="Calibri" w:hAnsi="Calibri"/>
          <w:b/>
          <w:bCs/>
          <w:color w:val="5A6472"/>
          <w:sz w:val="16"/>
          <w:szCs w:val="16"/>
        </w:rPr>
        <w:t xml:space="preserve">Source note: </w:t>
      </w:r>
      <w:r>
        <w:rPr>
          <w:rFonts w:ascii="Calibri" w:cs="Calibri" w:eastAsia="Calibri" w:hAnsi="Calibri"/>
          <w:i/>
          <w:iCs/>
          <w:color w:val="5A6472"/>
          <w:sz w:val="16"/>
          <w:szCs w:val="16"/>
        </w:rPr>
        <w:t xml:space="preserve">Market figures (DoD demil stockpile ~400k tons; Ukraine demining ~$34.6B / most-mined-country status; UXO dud rates; reconstruction totals) are drawn from U.S. Army / Joint Munitions Command, GAO, National Academies, World Bank, UNDP and press reporting gathered in prior research. Company valuations and messaging reflect 2026 public reporting. All should be re-verified before external use.</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5"/>
        <w:szCs w:val="15"/>
      </w:rPr>
      <w:t xml:space="preserve">Draft for internal discussion — page </w:t>
    </w:r>
    <w:r>
      <w:rPr>
        <w:rFonts w:ascii="Calibri" w:cs="Calibri" w:eastAsia="Calibri" w:hAnsi="Calibri"/>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BE2" w:sz="6" w:space="4"/>
      </w:pBdr>
      <w:jc w:val="right"/>
    </w:pPr>
    <w:r>
      <w:rPr>
        <w:rFonts w:ascii="Calibri" w:cs="Calibri" w:eastAsia="Calibri" w:hAnsi="Calibri"/>
        <w:color w:val="5A6472"/>
        <w:sz w:val="15"/>
        <w:szCs w:val="15"/>
      </w:rPr>
      <w:t xml:space="preserve">TWB — Brand Strategy Working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B22234"/>
      </w:r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TWB Brand Strategy Session Brief</dc:title>
  <dc:creator>TWB Brand Strategy</dc:creator>
  <cp:lastModifiedBy>Un-named</cp:lastModifiedBy>
  <cp:revision>1</cp:revision>
  <dcterms:created xsi:type="dcterms:W3CDTF">2026-08-22T19:31:52.201Z</dcterms:created>
  <dcterms:modified xsi:type="dcterms:W3CDTF">2026-08-22T19:31:52.215Z</dcterms:modified>
</cp:coreProperties>
</file>

<file path=docProps/custom.xml><?xml version="1.0" encoding="utf-8"?>
<Properties xmlns="http://schemas.openxmlformats.org/officeDocument/2006/custom-properties" xmlns:vt="http://schemas.openxmlformats.org/officeDocument/2006/docPropsVTypes"/>
</file>