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41.png" ContentType="image/png"/>
  <Override PartName="/word/media/rId43.png" ContentType="image/png"/>
  <Override PartName="/word/media/rId45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SOLUTION</w:t>
      </w:r>
      <w:r>
        <w:t xml:space="preserve"> </w:t>
      </w:r>
      <w:r>
        <w:t xml:space="preserve">PROPOSAL</w:t>
      </w:r>
    </w:p>
    <w:p>
      <w:pPr>
        <w:pStyle w:val="Subtitle"/>
      </w:pPr>
      <w:r>
        <w:t xml:space="preserve">Finished</w:t>
      </w:r>
      <w:r>
        <w:t xml:space="preserve"> </w:t>
      </w:r>
      <w:r>
        <w:t xml:space="preserve">Goods</w:t>
      </w:r>
      <w:r>
        <w:t xml:space="preserve"> </w:t>
      </w:r>
      <w:r>
        <w:t xml:space="preserve">Cold</w:t>
      </w:r>
      <w:r>
        <w:t xml:space="preserve"> </w:t>
      </w:r>
      <w:r>
        <w:t xml:space="preserve">Store</w:t>
      </w:r>
      <w:r>
        <w:t xml:space="preserve"> </w:t>
      </w:r>
      <w:r>
        <w:t xml:space="preserve">—</w:t>
      </w:r>
      <w:r>
        <w:t xml:space="preserve"> </w:t>
      </w:r>
      <w:r>
        <w:t xml:space="preserve">Management</w:t>
      </w:r>
      <w:r>
        <w:t xml:space="preserve"> </w:t>
      </w:r>
      <w:r>
        <w:t xml:space="preserve">&amp;</w:t>
      </w:r>
      <w:r>
        <w:t xml:space="preserve"> </w:t>
      </w:r>
      <w:r>
        <w:t xml:space="preserve">Automation</w:t>
      </w:r>
      <w:r>
        <w:t xml:space="preserve"> </w:t>
      </w:r>
      <w:r>
        <w:t xml:space="preserve">System</w:t>
      </w:r>
      <w:r>
        <w:t xml:space="preserve"> </w:t>
      </w:r>
      <w:r>
        <w:t xml:space="preserve">|</w:t>
      </w:r>
      <w:r>
        <w:t xml:space="preserve"> </w:t>
      </w:r>
      <w:r>
        <w:t xml:space="preserve">Costa</w:t>
      </w:r>
      <w:r>
        <w:t xml:space="preserve"> </w:t>
      </w:r>
      <w:r>
        <w:t xml:space="preserve">Mushroom,</w:t>
      </w:r>
      <w:r>
        <w:t xml:space="preserve"> </w:t>
      </w:r>
      <w:r>
        <w:t xml:space="preserve">Plant</w:t>
      </w:r>
      <w:r>
        <w:t xml:space="preserve"> </w:t>
      </w:r>
      <w:r>
        <w:t xml:space="preserve">M1</w:t>
      </w:r>
      <w:r>
        <w:t xml:space="preserve"> </w:t>
      </w:r>
      <w:r>
        <w:t xml:space="preserve">&amp;</w:t>
      </w:r>
      <w:r>
        <w:t xml:space="preserve"> </w:t>
      </w:r>
      <w:r>
        <w:t xml:space="preserve">M2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.0"/>
        <w:tblLook w:firstRow="1"/>
      </w:tblPr>
      <w:tblGrid>
        <w:gridCol w:w="1514"/>
        <w:gridCol w:w="64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Client</w:t>
            </w:r>
          </w:p>
        </w:tc>
        <w:tc>
          <w:p>
            <w:pPr>
              <w:pStyle w:val="Compact"/>
              <w:jc w:val="left"/>
            </w:pPr>
            <w:r>
              <w:t xml:space="preserve">Costa Mushroom — Plant M1, M2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Scope</w:t>
            </w:r>
          </w:p>
        </w:tc>
        <w:tc>
          <w:p>
            <w:pPr>
              <w:pStyle w:val="Compact"/>
              <w:jc w:val="left"/>
            </w:pPr>
            <w:r>
              <w:t xml:space="preserve">Finished goods cold store: from completed pallet to container dispatch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Design capacity</w:t>
            </w:r>
          </w:p>
        </w:tc>
        <w:tc>
          <w:p>
            <w:pPr>
              <w:pStyle w:val="Compact"/>
              <w:jc w:val="left"/>
            </w:pPr>
            <w:r>
              <w:t xml:space="preserve">60 tonnes/day peak (M1 + M2 combined)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Issue date</w:t>
            </w:r>
          </w:p>
        </w:tc>
        <w:tc>
          <w:p>
            <w:pPr>
              <w:pStyle w:val="Compact"/>
              <w:jc w:val="left"/>
            </w:pPr>
            <w:r>
              <w:t xml:space="preserve">20 August 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Validity</w:t>
            </w:r>
          </w:p>
        </w:tc>
        <w:tc>
          <w:p>
            <w:pPr>
              <w:pStyle w:val="Compact"/>
              <w:jc w:val="left"/>
            </w:pPr>
            <w:r>
              <w:t xml:space="preserve">60 days from issue date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Preliminary proposal — subject to site survey confirmation</w:t>
            </w:r>
          </w:p>
        </w:tc>
      </w:tr>
    </w:tbl>
    <w:p>
      <w:r>
        <w:br w:type="page"/>
      </w:r>
    </w:p>
    <w:p>
      <w:pPr>
        <w:pStyle w:val="Heading2"/>
      </w:pPr>
      <w:bookmarkStart w:id="20" w:name="table-of-contents"/>
      <w:r>
        <w:t xml:space="preserve">TABLE OF CONTENTS</w:t>
      </w:r>
      <w:bookmarkEnd w:id="20"/>
    </w:p>
    <w:p>
      <w:pPr>
        <w:numPr>
          <w:ilvl w:val="0"/>
          <w:numId w:val="1001"/>
        </w:numPr>
      </w:pPr>
      <w:r>
        <w:t xml:space="preserve">EXECUTIVE SUMMARY</w:t>
      </w:r>
    </w:p>
    <w:p>
      <w:pPr>
        <w:numPr>
          <w:ilvl w:val="0"/>
          <w:numId w:val="1001"/>
        </w:numPr>
      </w:pPr>
      <w:r>
        <w:t xml:space="preserve">DESIGN BASIS</w:t>
      </w:r>
    </w:p>
    <w:p>
      <w:pPr>
        <w:numPr>
          <w:ilvl w:val="0"/>
          <w:numId w:val="1001"/>
        </w:numPr>
      </w:pPr>
      <w:r>
        <w:t xml:space="preserve">CURRENT STATE &amp; CHALLENGES</w:t>
      </w:r>
    </w:p>
    <w:p>
      <w:pPr>
        <w:numPr>
          <w:ilvl w:val="0"/>
          <w:numId w:val="1001"/>
        </w:numPr>
      </w:pPr>
      <w:r>
        <w:t xml:space="preserve">THREE OPTIONS</w:t>
      </w:r>
    </w:p>
    <w:p>
      <w:pPr>
        <w:numPr>
          <w:ilvl w:val="0"/>
          <w:numId w:val="1001"/>
        </w:numPr>
      </w:pPr>
      <w:r>
        <w:t xml:space="preserve">SYSTEM ARCHITECTURE — OPTION A</w:t>
      </w:r>
    </w:p>
    <w:p>
      <w:pPr>
        <w:numPr>
          <w:ilvl w:val="0"/>
          <w:numId w:val="1001"/>
        </w:numPr>
      </w:pPr>
      <w:r>
        <w:t xml:space="preserve">AUTOMATED PALLETISING SYSTEM DESIGN</w:t>
      </w:r>
    </w:p>
    <w:p>
      <w:pPr>
        <w:numPr>
          <w:ilvl w:val="0"/>
          <w:numId w:val="1001"/>
        </w:numPr>
      </w:pPr>
      <w:r>
        <w:t xml:space="preserve">RECOMMENDATION: THREE-PHASE ROADMAP</w:t>
      </w:r>
    </w:p>
    <w:p>
      <w:pPr>
        <w:numPr>
          <w:ilvl w:val="0"/>
          <w:numId w:val="1001"/>
        </w:numPr>
      </w:pPr>
      <w:r>
        <w:t xml:space="preserve">TECHNICAL DESIGN</w:t>
      </w:r>
    </w:p>
    <w:p>
      <w:pPr>
        <w:numPr>
          <w:ilvl w:val="0"/>
          <w:numId w:val="1001"/>
        </w:numPr>
      </w:pPr>
      <w:r>
        <w:t xml:space="preserve">TRACEABILITY &amp; INTEGRATION — OUR DIFFERENTIATOR</w:t>
      </w:r>
    </w:p>
    <w:p>
      <w:pPr>
        <w:numPr>
          <w:ilvl w:val="0"/>
          <w:numId w:val="1001"/>
        </w:numPr>
      </w:pPr>
      <w:r>
        <w:t xml:space="preserve">SAFETY &amp; COMPLIANCE</w:t>
      </w:r>
    </w:p>
    <w:p>
      <w:pPr>
        <w:numPr>
          <w:ilvl w:val="0"/>
          <w:numId w:val="1001"/>
        </w:numPr>
      </w:pPr>
      <w:r>
        <w:t xml:space="preserve">IMPLEMENTATION PLAN — OPTION A</w:t>
      </w:r>
    </w:p>
    <w:p>
      <w:pPr>
        <w:numPr>
          <w:ilvl w:val="0"/>
          <w:numId w:val="1001"/>
        </w:numPr>
      </w:pPr>
      <w:r>
        <w:t xml:space="preserve">COMMERCIAL STRUCTURE</w:t>
      </w:r>
    </w:p>
    <w:p>
      <w:pPr>
        <w:numPr>
          <w:ilvl w:val="0"/>
          <w:numId w:val="1001"/>
        </w:numPr>
      </w:pPr>
      <w:r>
        <w:t xml:space="preserve">PERFORMANCE GUARANTEES</w:t>
      </w:r>
    </w:p>
    <w:p>
      <w:pPr>
        <w:numPr>
          <w:ilvl w:val="0"/>
          <w:numId w:val="1001"/>
        </w:numPr>
      </w:pPr>
      <w:r>
        <w:t xml:space="preserve">ASSUMPTIONS, EXCLUSIONS AND RISKS</w:t>
      </w:r>
    </w:p>
    <w:p>
      <w:pPr>
        <w:numPr>
          <w:ilvl w:val="0"/>
          <w:numId w:val="1001"/>
        </w:numPr>
      </w:pPr>
      <w:r>
        <w:t xml:space="preserve">NEXT STEPS</w:t>
      </w:r>
    </w:p>
    <w:p>
      <w:r>
        <w:br w:type="page"/>
      </w:r>
    </w:p>
    <w:p>
      <w:pPr>
        <w:pStyle w:val="Heading2"/>
      </w:pPr>
      <w:bookmarkStart w:id="21" w:name="executive-summary"/>
      <w:r>
        <w:t xml:space="preserve">1. EXECUTIVE SUMMARY</w:t>
      </w:r>
      <w:bookmarkEnd w:id="21"/>
    </w:p>
    <w:p>
      <w:pPr>
        <w:pStyle w:val="FirstParagraph"/>
      </w:pPr>
      <w:r>
        <w:t xml:space="preserve">We propose upgrading Costa Mushroom’s finished goods cold store through a</w:t>
      </w:r>
      <w:r>
        <w:t xml:space="preserve"> </w:t>
      </w:r>
      <w:r>
        <w:rPr>
          <w:b/>
        </w:rPr>
        <w:t xml:space="preserve">three-phase roadmap</w:t>
      </w:r>
      <w:r>
        <w:t xml:space="preserve">, beginning with a software layer that can be deployed</w:t>
      </w:r>
      <w:r>
        <w:t xml:space="preserve"> </w:t>
      </w:r>
      <w:r>
        <w:t xml:space="preserve">quickly with negligible production disruption, then progressively extending into</w:t>
      </w:r>
      <w:r>
        <w:t xml:space="preserve"> </w:t>
      </w:r>
      <w:r>
        <w:t xml:space="preserve">mechanical automation once the business case has been evidenced.</w:t>
      </w:r>
    </w:p>
    <w:p>
      <w:pPr>
        <w:pStyle w:val="BodyText"/>
      </w:pPr>
      <w:r>
        <w:rPr>
          <w:b/>
        </w:rPr>
        <w:t xml:space="preserve">Three options compared:</w:t>
      </w:r>
    </w:p>
    <w:tbl>
      <w:tblPr>
        <w:tblStyle w:val="Table"/>
        <w:tblW w:type="pct" w:w="5000.0"/>
        <w:tblLook w:firstRow="1"/>
      </w:tblPr>
      <w:tblGrid>
        <w:gridCol w:w="1514"/>
        <w:gridCol w:w="2329"/>
        <w:gridCol w:w="2445"/>
        <w:gridCol w:w="163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Option 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Option 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Option C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Digitalisation &amp; WMS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Semi-automated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Full AS/RS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p>
            <w:pPr>
              <w:pStyle w:val="Compact"/>
              <w:jc w:val="left"/>
            </w:pPr>
            <w:r>
              <w:t xml:space="preserve">Scale station + pallet identification, WMS/WCS, forklift terminals</w:t>
            </w:r>
          </w:p>
        </w:tc>
        <w:tc>
          <w:p>
            <w:pPr>
              <w:pStyle w:val="Compact"/>
              <w:jc w:val="left"/>
            </w:pPr>
            <w:r>
              <w:t xml:space="preserve">Adds</w:t>
            </w:r>
            <w:r>
              <w:t xml:space="preserve"> </w:t>
            </w:r>
            <w:r>
              <w:rPr>
                <w:b/>
              </w:rPr>
              <w:t xml:space="preserve">robotic palletising</w:t>
            </w:r>
            <w:r>
              <w:t xml:space="preserve"> </w:t>
            </w:r>
            <w:r>
              <w:t xml:space="preserve">+ through-wall conveyor + shuttle racking</w:t>
            </w:r>
          </w:p>
        </w:tc>
        <w:tc>
          <w:p>
            <w:pPr>
              <w:pStyle w:val="Compact"/>
              <w:jc w:val="left"/>
            </w:pPr>
            <w:r>
              <w:t xml:space="preserve">Adds AS/RS stacker crane in cold store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Automated palletising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Yes — 2 robot cells</w:t>
            </w:r>
          </w:p>
        </w:tc>
        <w:tc>
          <w:p>
            <w:pPr>
              <w:pStyle w:val="Compact"/>
              <w:jc w:val="left"/>
            </w:pPr>
            <w:r>
              <w:t xml:space="preserve">Yes — 2 robot cells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Cold store floor area</w:t>
            </w:r>
          </w:p>
        </w:tc>
        <w:tc>
          <w:p>
            <w:pPr>
              <w:pStyle w:val="Compact"/>
              <w:jc w:val="left"/>
            </w:pPr>
            <w:r>
              <w:t xml:space="preserve">Unchanged</w:t>
            </w:r>
          </w:p>
        </w:tc>
        <w:tc>
          <w:p>
            <w:pPr>
              <w:pStyle w:val="Compact"/>
              <w:jc w:val="left"/>
            </w:pPr>
            <w:r>
              <w:t xml:space="preserve">~87 m² (from ~296 m²)</w:t>
            </w:r>
          </w:p>
        </w:tc>
        <w:tc>
          <w:p>
            <w:pPr>
              <w:pStyle w:val="Compact"/>
              <w:jc w:val="left"/>
            </w:pPr>
            <w:r>
              <w:t xml:space="preserve">~48 m²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Implementation time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3–5 months</w:t>
            </w:r>
          </w:p>
        </w:tc>
        <w:tc>
          <w:p>
            <w:pPr>
              <w:pStyle w:val="Compact"/>
              <w:jc w:val="left"/>
            </w:pPr>
            <w:r>
              <w:t xml:space="preserve">12–18 months</w:t>
            </w:r>
          </w:p>
        </w:tc>
        <w:tc>
          <w:p>
            <w:pPr>
              <w:pStyle w:val="Compact"/>
              <w:jc w:val="left"/>
            </w:pPr>
            <w:r>
              <w:t xml:space="preserve">24–30 months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Production disruption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Negligible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Indicative budget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AUD 250–500 k</w:t>
            </w:r>
          </w:p>
        </w:tc>
        <w:tc>
          <w:p>
            <w:pPr>
              <w:pStyle w:val="Compact"/>
              <w:jc w:val="left"/>
            </w:pPr>
            <w:r>
              <w:t xml:space="preserve">AUD 2.2–4.0 M</w:t>
            </w:r>
          </w:p>
        </w:tc>
        <w:tc>
          <w:p>
            <w:pPr>
              <w:pStyle w:val="Compact"/>
              <w:jc w:val="left"/>
            </w:pPr>
            <w:r>
              <w:t xml:space="preserve">AUD 4.5–8.0 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Delivery risk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pPr>
        <w:pStyle w:val="BlockText"/>
      </w:pPr>
      <w:r>
        <w:rPr>
          <w:b/>
        </w:rPr>
        <w:t xml:space="preserve">Our recommendation: commence with Option A.</w:t>
      </w:r>
    </w:p>
    <w:p>
      <w:pPr>
        <w:pStyle w:val="BlockText"/>
      </w:pPr>
      <w:r>
        <w:t xml:space="preserve">Not because it is the cheapest, but because</w:t>
      </w:r>
      <w:r>
        <w:t xml:space="preserve"> </w:t>
      </w:r>
      <w:r>
        <w:rPr>
          <w:b/>
        </w:rPr>
        <w:t xml:space="preserve">Costa currently lacks the operating</w:t>
      </w:r>
      <w:r>
        <w:rPr>
          <w:b/>
        </w:rPr>
        <w:t xml:space="preserve"> </w:t>
      </w:r>
      <w:r>
        <w:rPr>
          <w:b/>
        </w:rPr>
        <w:t xml:space="preserve">data required to make a sound decision on Option B or C</w:t>
      </w:r>
      <w:r>
        <w:t xml:space="preserve">. After six months of</w:t>
      </w:r>
      <w:r>
        <w:t xml:space="preserve"> </w:t>
      </w:r>
      <w:r>
        <w:t xml:space="preserve">running Option A, Costa will hold measured data on hourly throughput, actual dwell</w:t>
      </w:r>
      <w:r>
        <w:t xml:space="preserve"> </w:t>
      </w:r>
      <w:r>
        <w:t xml:space="preserve">time, error rates and forklift hours spent inside the cold store — precisely the</w:t>
      </w:r>
      <w:r>
        <w:t xml:space="preserve"> </w:t>
      </w:r>
      <w:r>
        <w:t xml:space="preserve">figures that determine whether an AUD 2.2 M or AUD 8.0 M investment will return.</w:t>
      </w:r>
    </w:p>
    <w:p>
      <w:pPr>
        <w:pStyle w:val="BlockText"/>
      </w:pPr>
      <w:r>
        <w:t xml:space="preserve">Option A is architected so that</w:t>
      </w:r>
      <w:r>
        <w:t xml:space="preserve"> </w:t>
      </w:r>
      <w:r>
        <w:rPr>
          <w:b/>
        </w:rPr>
        <w:t xml:space="preserve">no element is discarded</w:t>
      </w:r>
      <w:r>
        <w:t xml:space="preserve"> </w:t>
      </w:r>
      <w:r>
        <w:t xml:space="preserve">when upgrading to</w:t>
      </w:r>
      <w:r>
        <w:t xml:space="preserve"> </w:t>
      </w:r>
      <w:r>
        <w:t xml:space="preserve">Option B or C.</w:t>
      </w:r>
    </w:p>
    <w:p>
      <w:pPr>
        <w:pStyle w:val="FirstParagraph"/>
      </w:pPr>
      <w:r>
        <w:rPr>
          <w:b/>
        </w:rPr>
        <w:t xml:space="preserve">Our differentiator:</w:t>
      </w:r>
      <w:r>
        <w:t xml:space="preserve"> </w:t>
      </w:r>
      <w:r>
        <w:t xml:space="preserve">Costa’s iZiiApp platform already manages harvest planning by</w:t>
      </w:r>
      <w:r>
        <w:t xml:space="preserve"> </w:t>
      </w:r>
      <w:r>
        <w:t xml:space="preserve">zone (</w:t>
      </w:r>
      <w:r>
        <w:rPr>
          <w:b/>
        </w:rPr>
        <w:t xml:space="preserve">M1/M2</w:t>
      </w:r>
      <w:r>
        <w:t xml:space="preserve">), by</w:t>
      </w:r>
      <w:r>
        <w:t xml:space="preserve"> </w:t>
      </w:r>
      <w:r>
        <w:rPr>
          <w:b/>
        </w:rPr>
        <w:t xml:space="preserve">picking crew</w:t>
      </w:r>
      <w:r>
        <w:t xml:space="preserve">, and by</w:t>
      </w:r>
      <w:r>
        <w:t xml:space="preserve"> </w:t>
      </w:r>
      <w:r>
        <w:rPr>
          <w:b/>
        </w:rPr>
        <w:t xml:space="preserve">grade</w:t>
      </w:r>
      <w:r>
        <w:t xml:space="preserve"> </w:t>
      </w:r>
      <w:r>
        <w:t xml:space="preserve">(Button, Cup, Flat), with</w:t>
      </w:r>
      <w:r>
        <w:t xml:space="preserve"> </w:t>
      </w:r>
      <w:r>
        <w:t xml:space="preserve">output counted in</w:t>
      </w:r>
      <w:r>
        <w:t xml:space="preserve"> </w:t>
      </w:r>
      <w:r>
        <w:rPr>
          <w:b/>
        </w:rPr>
        <w:t xml:space="preserve">boxes</w:t>
      </w:r>
      <w:r>
        <w:t xml:space="preserve">. Critically,</w:t>
      </w:r>
      <w:r>
        <w:t xml:space="preserve"> </w:t>
      </w:r>
      <w:r>
        <w:rPr>
          <w:b/>
        </w:rPr>
        <w:t xml:space="preserve">box-level barcoding is already deployed</w:t>
      </w:r>
      <w:r>
        <w:t xml:space="preserve"> </w:t>
      </w:r>
      <w:r>
        <w:t xml:space="preserve">—</w:t>
      </w:r>
      <w:r>
        <w:t xml:space="preserve"> </w:t>
      </w:r>
      <w:r>
        <w:t xml:space="preserve">carrying crew, grade and grow room. The upstream data therefore already speaks the</w:t>
      </w:r>
      <w:r>
        <w:t xml:space="preserve"> </w:t>
      </w:r>
      <w:r>
        <w:t xml:space="preserve">language of this problem. The one missing link is the</w:t>
      </w:r>
      <w:r>
        <w:t xml:space="preserve"> </w:t>
      </w:r>
      <w:r>
        <w:rPr>
          <w:b/>
        </w:rPr>
        <w:t xml:space="preserve">box → pallet → container</w:t>
      </w:r>
      <w:r>
        <w:t xml:space="preserve"> </w:t>
      </w:r>
      <w:r>
        <w:t xml:space="preserve">aggregation, and that is precisely the scope of this proposal. See Sections 5 and 9.</w:t>
      </w:r>
    </w:p>
    <w:p>
      <w:r>
        <w:br w:type="page"/>
      </w:r>
    </w:p>
    <w:p>
      <w:pPr>
        <w:pStyle w:val="Heading2"/>
      </w:pPr>
      <w:bookmarkStart w:id="22" w:name="design-basis"/>
      <w:r>
        <w:t xml:space="preserve">2. DESIGN BASIS</w:t>
      </w:r>
      <w:bookmarkEnd w:id="22"/>
    </w:p>
    <w:p>
      <w:pPr>
        <w:pStyle w:val="Heading3"/>
      </w:pPr>
      <w:bookmarkStart w:id="23" w:name="input-data"/>
      <w:r>
        <w:t xml:space="preserve">2.1 Input data</w:t>
      </w:r>
      <w:bookmarkEnd w:id="23"/>
    </w:p>
    <w:tbl>
      <w:tblPr>
        <w:tblStyle w:val="Table"/>
        <w:tblW w:type="pct" w:w="5000.0"/>
        <w:tblLook w:firstRow="1"/>
      </w:tblPr>
      <w:tblGrid>
        <w:gridCol w:w="1980"/>
        <w:gridCol w:w="3494"/>
        <w:gridCol w:w="244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Peak output</w:t>
            </w:r>
          </w:p>
        </w:tc>
        <w:tc>
          <w:p>
            <w:pPr>
              <w:pStyle w:val="Compact"/>
              <w:jc w:val="left"/>
            </w:pPr>
            <w:r>
              <w:t xml:space="preserve">60 tonnes/day (M1 + M2)</w:t>
            </w:r>
          </w:p>
        </w:tc>
        <w:tc>
          <w:p>
            <w:pPr>
              <w:pStyle w:val="Compact"/>
              <w:jc w:val="left"/>
            </w:pPr>
            <w:r>
              <w:t xml:space="preserve">Costa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Weight per box</w:t>
            </w:r>
          </w:p>
        </w:tc>
        <w:tc>
          <w:p>
            <w:pPr>
              <w:pStyle w:val="Compact"/>
              <w:jc w:val="left"/>
            </w:pPr>
            <w:r>
              <w:t xml:space="preserve">4 kg</w:t>
            </w:r>
          </w:p>
        </w:tc>
        <w:tc>
          <w:p>
            <w:pPr>
              <w:pStyle w:val="Compact"/>
              <w:jc w:val="left"/>
            </w:pPr>
            <w:r>
              <w:t xml:space="preserve">Costa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Box types</w:t>
            </w:r>
          </w:p>
        </w:tc>
        <w:tc>
          <w:p>
            <w:pPr>
              <w:pStyle w:val="Compact"/>
              <w:jc w:val="left"/>
            </w:pPr>
            <w:r>
              <w:t xml:space="preserve">2 types, differing dimensions</w:t>
            </w:r>
          </w:p>
        </w:tc>
        <w:tc>
          <w:p>
            <w:pPr>
              <w:pStyle w:val="Compact"/>
              <w:jc w:val="left"/>
            </w:pPr>
            <w:r>
              <w:t xml:space="preserve">Costa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Box construction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Open-top vented tray</w:t>
            </w:r>
          </w:p>
        </w:tc>
        <w:tc>
          <w:p>
            <w:pPr>
              <w:pStyle w:val="Compact"/>
              <w:jc w:val="left"/>
            </w:pPr>
            <w:r>
              <w:t xml:space="preserve">Costa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Box dimensions</w:t>
            </w:r>
          </w:p>
        </w:tc>
        <w:tc>
          <w:p>
            <w:pPr>
              <w:pStyle w:val="Compact"/>
              <w:jc w:val="left"/>
            </w:pPr>
            <w:r>
              <w:t xml:space="preserve">~400 × 300 × 130 mm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ASSUMED — both types to be measured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Palletising rule</w:t>
            </w:r>
          </w:p>
        </w:tc>
        <w:tc>
          <w:p>
            <w:pPr>
              <w:pStyle w:val="Compact"/>
              <w:jc w:val="left"/>
            </w:pPr>
            <w:r>
              <w:t xml:space="preserve">The two box types are</w:t>
            </w:r>
            <w:r>
              <w:t xml:space="preserve"> </w:t>
            </w:r>
            <w:r>
              <w:rPr>
                <w:b/>
              </w:rPr>
              <w:t xml:space="preserve">never mixed</w:t>
            </w:r>
            <w:r>
              <w:t xml:space="preserve"> </w:t>
            </w:r>
            <w:r>
              <w:t xml:space="preserve">on one pallet</w:t>
            </w:r>
          </w:p>
        </w:tc>
        <w:tc>
          <w:p>
            <w:pPr>
              <w:pStyle w:val="Compact"/>
              <w:jc w:val="left"/>
            </w:pPr>
            <w:r>
              <w:t xml:space="preserve">Costa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SKU matrix</w:t>
            </w:r>
          </w:p>
        </w:tc>
        <w:tc>
          <w:p>
            <w:pPr>
              <w:pStyle w:val="Compact"/>
              <w:jc w:val="left"/>
            </w:pPr>
            <w:r>
              <w:t xml:space="preserve">2 colours × 3 grades × 2 box types =</w:t>
            </w:r>
            <w:r>
              <w:t xml:space="preserve"> </w:t>
            </w:r>
            <w:r>
              <w:rPr>
                <w:b/>
              </w:rPr>
              <w:t xml:space="preserve">12 SKUs</w:t>
            </w:r>
          </w:p>
        </w:tc>
        <w:tc>
          <w:p>
            <w:pPr>
              <w:pStyle w:val="Compact"/>
              <w:jc w:val="left"/>
            </w:pPr>
            <w:r>
              <w:t xml:space="preserve">Costa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Concurrent SKUs</w:t>
            </w:r>
          </w:p>
        </w:tc>
        <w:tc>
          <w:p>
            <w:pPr>
              <w:pStyle w:val="Compact"/>
              <w:jc w:val="left"/>
            </w:pPr>
            <w:r>
              <w:t xml:space="preserve">4 – 6 SKUs per shift</w:t>
            </w:r>
          </w:p>
        </w:tc>
        <w:tc>
          <w:p>
            <w:pPr>
              <w:pStyle w:val="Compact"/>
              <w:jc w:val="left"/>
            </w:pPr>
            <w:r>
              <w:t xml:space="preserve">Costa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Palletising area temperature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 – 25 °C</w:t>
            </w:r>
          </w:p>
        </w:tc>
        <w:tc>
          <w:p>
            <w:pPr>
              <w:pStyle w:val="Compact"/>
              <w:jc w:val="left"/>
            </w:pPr>
            <w:r>
              <w:t xml:space="preserve">Costa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Pallet standard</w:t>
            </w:r>
          </w:p>
        </w:tc>
        <w:tc>
          <w:p>
            <w:pPr>
              <w:pStyle w:val="Compact"/>
              <w:jc w:val="left"/>
            </w:pPr>
            <w:r>
              <w:t xml:space="preserve">Australian Standard Pallet 1165 × 1165 mm (AS 4068)</w:t>
            </w:r>
          </w:p>
        </w:tc>
        <w:tc>
          <w:p>
            <w:pPr>
              <w:pStyle w:val="Compact"/>
              <w:jc w:val="left"/>
            </w:pPr>
            <w:r>
              <w:t xml:space="preserve">National standard</w:t>
            </w:r>
          </w:p>
        </w:tc>
      </w:tr>
    </w:tbl>
    <w:p>
      <w:pPr>
        <w:pStyle w:val="Heading3"/>
      </w:pPr>
      <w:bookmarkStart w:id="24" w:name="calculated-pallet-pattern"/>
      <w:r>
        <w:t xml:space="preserve">2.2 Calculated pallet pattern</w:t>
      </w:r>
      <w:bookmarkEnd w:id="24"/>
    </w:p>
    <w:p>
      <w:pPr>
        <w:pStyle w:val="FirstParagraph"/>
      </w:pPr>
      <w:r>
        <w:t xml:space="preserve">For a 400 × 300 mm box on the Australian Standard Pallet, with the</w:t>
      </w:r>
      <w:r>
        <w:t xml:space="preserve"> </w:t>
      </w:r>
      <w:r>
        <w:rPr>
          <w:b/>
        </w:rPr>
        <w:t xml:space="preserve">20 mm clearance</w:t>
      </w:r>
      <w:r>
        <w:t xml:space="preserve"> </w:t>
      </w:r>
      <w:r>
        <w:t xml:space="preserve">required by a mechanical gripper (mandatory, since an open-top vented tray cannot be</w:t>
      </w:r>
      <w:r>
        <w:t xml:space="preserve"> </w:t>
      </w:r>
      <w:r>
        <w:t xml:space="preserve">handled by vacuum):</w:t>
      </w:r>
    </w:p>
    <w:tbl>
      <w:tblPr>
        <w:tblStyle w:val="Table"/>
        <w:tblW w:type="pct" w:w="4999.999999999999"/>
        <w:tblLook w:firstRow="1"/>
      </w:tblPr>
      <w:tblGrid>
        <w:gridCol w:w="1514"/>
        <w:gridCol w:w="1630"/>
        <w:gridCol w:w="1514"/>
        <w:gridCol w:w="1630"/>
        <w:gridCol w:w="163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Boxes/pallet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kg/pallet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Pallet height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Pallets/day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 layers</w:t>
            </w:r>
          </w:p>
        </w:tc>
        <w:tc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p>
            <w:pPr>
              <w:pStyle w:val="Compact"/>
              <w:jc w:val="left"/>
            </w:pPr>
            <w:r>
              <w:t xml:space="preserve">1.19 m</w:t>
            </w:r>
          </w:p>
        </w:tc>
        <w:tc>
          <w:p>
            <w:pPr>
              <w:pStyle w:val="Compact"/>
              <w:jc w:val="left"/>
            </w:pPr>
            <w:r>
              <w:t xml:space="preserve">234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9 layers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288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1.32 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 layers</w:t>
            </w:r>
          </w:p>
        </w:tc>
        <w:tc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p>
            <w:pPr>
              <w:pStyle w:val="Compact"/>
              <w:jc w:val="left"/>
            </w:pPr>
            <w:r>
              <w:t xml:space="preserve">320</w:t>
            </w:r>
          </w:p>
        </w:tc>
        <w:tc>
          <w:p>
            <w:pPr>
              <w:pStyle w:val="Compact"/>
              <w:jc w:val="left"/>
            </w:pPr>
            <w:r>
              <w:t xml:space="preserve">1.45 m</w:t>
            </w:r>
          </w:p>
        </w:tc>
        <w:tc>
          <w:p>
            <w:pPr>
              <w:pStyle w:val="Compact"/>
              <w:jc w:val="left"/>
            </w:pPr>
            <w:r>
              <w:t xml:space="preserve">188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 layers</w:t>
            </w:r>
          </w:p>
        </w:tc>
        <w:tc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p>
            <w:pPr>
              <w:pStyle w:val="Compact"/>
              <w:jc w:val="left"/>
            </w:pPr>
            <w:r>
              <w:t xml:space="preserve">352</w:t>
            </w:r>
          </w:p>
        </w:tc>
        <w:tc>
          <w:p>
            <w:pPr>
              <w:pStyle w:val="Compact"/>
              <w:jc w:val="left"/>
            </w:pPr>
            <w:r>
              <w:t xml:space="preserve">1.58 m</w:t>
            </w:r>
          </w:p>
        </w:tc>
        <w:tc>
          <w:p>
            <w:pPr>
              <w:pStyle w:val="Compact"/>
              <w:jc w:val="left"/>
            </w:pPr>
            <w:r>
              <w:t xml:space="preserve">170</w:t>
            </w:r>
          </w:p>
        </w:tc>
      </w:tr>
    </w:tbl>
    <w:p>
      <w:pPr>
        <w:pStyle w:val="BodyText"/>
      </w:pPr>
      <w:r>
        <w:rPr>
          <w:b/>
        </w:rPr>
        <w:t xml:space="preserve">8 boxes per layer.</w:t>
      </w:r>
      <w:r>
        <w:t xml:space="preserve"> </w:t>
      </w:r>
      <w:r>
        <w:t xml:space="preserve">Notably, the 20 mm gripper clearance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reduce the</w:t>
      </w:r>
      <w:r>
        <w:t xml:space="preserve"> </w:t>
      </w:r>
      <w:r>
        <w:t xml:space="preserve">boxes per layer compared with a tight pattern; only beyond 25 mm does it fall to 7</w:t>
      </w:r>
      <w:r>
        <w:t xml:space="preserve"> </w:t>
      </w:r>
      <w:r>
        <w:t xml:space="preserve">boxes per layer. This is a favourable finding for gripper selection.</w:t>
      </w:r>
    </w:p>
    <w:p>
      <w:pPr>
        <w:pStyle w:val="Heading3"/>
      </w:pPr>
      <w:bookmarkStart w:id="25" w:name="derived-figures"/>
      <w:r>
        <w:t xml:space="preserve">2.3 Derived figures</w:t>
      </w:r>
      <w:bookmarkEnd w:id="25"/>
    </w:p>
    <w:tbl>
      <w:tblPr>
        <w:tblStyle w:val="Table"/>
        <w:tblW w:type="pct" w:w="5000.0"/>
        <w:tblLook w:firstRow="1"/>
      </w:tblPr>
      <w:tblGrid>
        <w:gridCol w:w="3727"/>
        <w:gridCol w:w="419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boxes per peak day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15,000 boxes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pallets per peak day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~208 pallets</w:t>
            </w:r>
            <w:r>
              <w:t xml:space="preserve"> </w:t>
            </w:r>
            <w:r>
              <w:t xml:space="preserve">(9 layers × 8 boxes)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Split evenly across two plants</w:t>
            </w:r>
          </w:p>
        </w:tc>
        <w:tc>
          <w:p>
            <w:pPr>
              <w:pStyle w:val="Compact"/>
              <w:jc w:val="left"/>
            </w:pPr>
            <w:r>
              <w:t xml:space="preserve">~104 pallets/plant/day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Equivalent 40 ft containers</w:t>
            </w:r>
          </w:p>
        </w:tc>
        <w:tc>
          <w:p>
            <w:pPr>
              <w:pStyle w:val="Compact"/>
              <w:jc w:val="left"/>
            </w:pPr>
            <w:r>
              <w:t xml:space="preserve">~10 containers/day</w:t>
            </w:r>
          </w:p>
        </w:tc>
      </w:tr>
    </w:tbl>
    <w:p>
      <w:pPr>
        <w:pStyle w:val="BlockText"/>
      </w:pPr>
      <w:r>
        <w:rPr>
          <w:b/>
        </w:rPr>
        <w:t xml:space="preserve">Note on rounding:</w:t>
      </w:r>
      <w:r>
        <w:t xml:space="preserve"> </w:t>
      </w:r>
      <w:r>
        <w:t xml:space="preserve">the capacity and floor-area tables below use</w:t>
      </w:r>
      <w:r>
        <w:t xml:space="preserve"> </w:t>
      </w:r>
      <w:r>
        <w:rPr>
          <w:b/>
        </w:rPr>
        <w:t xml:space="preserve">200 pallets/day</w:t>
      </w:r>
      <w:r>
        <w:t xml:space="preserve"> </w:t>
      </w:r>
      <w:r>
        <w:t xml:space="preserve">as a round planning figure. The 4% difference against 208 sits comfortably within the</w:t>
      </w:r>
      <w:r>
        <w:t xml:space="preserve"> </w:t>
      </w:r>
      <w:r>
        <w:t xml:space="preserve">20% design margin applied to storage capacity. Once both box types are physically</w:t>
      </w:r>
      <w:r>
        <w:t xml:space="preserve"> </w:t>
      </w:r>
      <w:r>
        <w:t xml:space="preserve">measured, we will confirm exact figures per product line.</w:t>
      </w:r>
    </w:p>
    <w:p>
      <w:pPr>
        <w:pStyle w:val="Heading3"/>
      </w:pPr>
      <w:bookmarkStart w:id="26" w:name="required-throughput"/>
      <w:r>
        <w:t xml:space="preserve">2.4 Required throughput</w:t>
      </w:r>
      <w:bookmarkEnd w:id="26"/>
    </w:p>
    <w:tbl>
      <w:tblPr>
        <w:tblStyle w:val="Table"/>
        <w:tblW w:type="pct" w:w="5000.0"/>
        <w:tblLook w:firstRow="1"/>
      </w:tblPr>
      <w:tblGrid>
        <w:gridCol w:w="1630"/>
        <w:gridCol w:w="1630"/>
        <w:gridCol w:w="1630"/>
        <w:gridCol w:w="1514"/>
        <w:gridCol w:w="151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Operating hours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Pallets/h (avg)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Seconds/pallet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Peak (×1.5)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Boxes/min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 hours</w:t>
            </w:r>
          </w:p>
        </w:tc>
        <w:tc>
          <w:p>
            <w:pPr>
              <w:pStyle w:val="Compact"/>
              <w:jc w:val="left"/>
            </w:pPr>
            <w:r>
              <w:t xml:space="preserve">25.0</w:t>
            </w:r>
          </w:p>
        </w:tc>
        <w:tc>
          <w:p>
            <w:pPr>
              <w:pStyle w:val="Compact"/>
              <w:jc w:val="left"/>
            </w:pPr>
            <w:r>
              <w:t xml:space="preserve">144</w:t>
            </w:r>
          </w:p>
        </w:tc>
        <w:tc>
          <w:p>
            <w:pPr>
              <w:pStyle w:val="Compact"/>
              <w:jc w:val="left"/>
            </w:pPr>
            <w:r>
              <w:t xml:space="preserve">37.5</w:t>
            </w:r>
          </w:p>
        </w:tc>
        <w:tc>
          <w:p>
            <w:pPr>
              <w:pStyle w:val="Compact"/>
              <w:jc w:val="left"/>
            </w:pPr>
            <w:r>
              <w:t xml:space="preserve">31.2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 hours</w:t>
            </w:r>
          </w:p>
        </w:tc>
        <w:tc>
          <w:p>
            <w:pPr>
              <w:pStyle w:val="Compact"/>
              <w:jc w:val="left"/>
            </w:pPr>
            <w:r>
              <w:t xml:space="preserve">20.0</w:t>
            </w:r>
          </w:p>
        </w:tc>
        <w:tc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p>
            <w:pPr>
              <w:pStyle w:val="Compact"/>
              <w:jc w:val="left"/>
            </w:pPr>
            <w:r>
              <w:t xml:space="preserve">30.0</w:t>
            </w:r>
          </w:p>
        </w:tc>
        <w:tc>
          <w:p>
            <w:pPr>
              <w:pStyle w:val="Compact"/>
              <w:jc w:val="left"/>
            </w:pPr>
            <w:r>
              <w:t xml:space="preserve">25.0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12 hours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16.7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216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25.0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20.8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 hours</w:t>
            </w:r>
          </w:p>
        </w:tc>
        <w:tc>
          <w:p>
            <w:pPr>
              <w:pStyle w:val="Compact"/>
              <w:jc w:val="left"/>
            </w:pPr>
            <w:r>
              <w:t xml:space="preserve">12.5</w:t>
            </w:r>
          </w:p>
        </w:tc>
        <w:tc>
          <w:p>
            <w:pPr>
              <w:pStyle w:val="Compact"/>
              <w:jc w:val="left"/>
            </w:pPr>
            <w:r>
              <w:t xml:space="preserve">288</w:t>
            </w:r>
          </w:p>
        </w:tc>
        <w:tc>
          <w:p>
            <w:pPr>
              <w:pStyle w:val="Compact"/>
              <w:jc w:val="left"/>
            </w:pPr>
            <w:r>
              <w:t xml:space="preserve">18.8</w:t>
            </w:r>
          </w:p>
        </w:tc>
        <w:tc>
          <w:p>
            <w:pPr>
              <w:pStyle w:val="Compact"/>
              <w:jc w:val="left"/>
            </w:pPr>
            <w:r>
              <w:t xml:space="preserve">15.6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 hours</w:t>
            </w:r>
          </w:p>
        </w:tc>
        <w:tc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p>
            <w:pPr>
              <w:pStyle w:val="Compact"/>
              <w:jc w:val="left"/>
            </w:pPr>
            <w:r>
              <w:t xml:space="preserve">15.0</w:t>
            </w:r>
          </w:p>
        </w:tc>
        <w:tc>
          <w:p>
            <w:pPr>
              <w:pStyle w:val="Compact"/>
              <w:jc w:val="left"/>
            </w:pPr>
            <w:r>
              <w:t xml:space="preserve">12.5</w:t>
            </w:r>
          </w:p>
        </w:tc>
      </w:tr>
    </w:tbl>
    <w:p>
      <w:pPr>
        <w:pStyle w:val="BlockText"/>
      </w:pPr>
      <w:r>
        <w:rPr>
          <w:b/>
        </w:rPr>
        <w:t xml:space="preserve">Engineering observation:</w:t>
      </w:r>
      <w:r>
        <w:t xml:space="preserve"> </w:t>
      </w:r>
      <w:r>
        <w:t xml:space="preserve">at 12 operating hours, the peak rate of 25 pallets/h</w:t>
      </w:r>
      <w:r>
        <w:t xml:space="preserve"> </w:t>
      </w:r>
      <w:r>
        <w:t xml:space="preserve">equates to</w:t>
      </w:r>
      <w:r>
        <w:t xml:space="preserve"> </w:t>
      </w:r>
      <w:r>
        <w:rPr>
          <w:b/>
        </w:rPr>
        <w:t xml:space="preserve">one pallet every 2.4 minutes</w:t>
      </w:r>
      <w:r>
        <w:t xml:space="preserve">. A single scale conveyor station handles</w:t>
      </w:r>
      <w:r>
        <w:t xml:space="preserve"> </w:t>
      </w:r>
      <w:r>
        <w:t xml:space="preserve">this comfortably, and it also sits within the duty of a single AS/RS stacker crane</w:t>
      </w:r>
      <w:r>
        <w:t xml:space="preserve"> </w:t>
      </w:r>
      <w:r>
        <w:t xml:space="preserve">(typically 25–35 dual cycles/h). In other words,</w:t>
      </w:r>
      <w:r>
        <w:t xml:space="preserve"> </w:t>
      </w:r>
      <w:r>
        <w:rPr>
          <w:b/>
        </w:rPr>
        <w:t xml:space="preserve">Costa’s problem is not throughput-</w:t>
      </w:r>
      <w:r>
        <w:rPr>
          <w:b/>
        </w:rPr>
        <w:t xml:space="preserve"> </w:t>
      </w:r>
      <w:r>
        <w:rPr>
          <w:b/>
        </w:rPr>
        <w:t xml:space="preserve">limited</w:t>
      </w:r>
      <w:r>
        <w:t xml:space="preserve"> </w:t>
      </w:r>
      <w:r>
        <w:t xml:space="preserve">— it is limited by</w:t>
      </w:r>
      <w:r>
        <w:t xml:space="preserve"> </w:t>
      </w:r>
      <w:r>
        <w:rPr>
          <w:b/>
        </w:rPr>
        <w:t xml:space="preserve">storage density and data accuracy</w:t>
      </w:r>
      <w:r>
        <w:t xml:space="preserve">. This observation</w:t>
      </w:r>
      <w:r>
        <w:t xml:space="preserve"> </w:t>
      </w:r>
      <w:r>
        <w:t xml:space="preserve">drives every recommendation that follows.</w:t>
      </w:r>
    </w:p>
    <w:p>
      <w:pPr>
        <w:pStyle w:val="Heading3"/>
      </w:pPr>
      <w:bookmarkStart w:id="27" w:name="cold-store-capacity-vs-dwell-time"/>
      <w:r>
        <w:t xml:space="preserve">2.5 Cold store capacity vs dwell time</w:t>
      </w:r>
      <w:bookmarkEnd w:id="27"/>
    </w:p>
    <w:tbl>
      <w:tblPr>
        <w:tblStyle w:val="Table"/>
        <w:tblW w:type="pct" w:w="4999.999999999999"/>
        <w:tblLook w:firstRow="1"/>
      </w:tblPr>
      <w:tblGrid>
        <w:gridCol w:w="1514"/>
        <w:gridCol w:w="1514"/>
        <w:gridCol w:w="1630"/>
        <w:gridCol w:w="326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Dwell time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Pallets on hand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+20% contingency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Scenario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 hours</w:t>
            </w:r>
          </w:p>
        </w:tc>
        <w:tc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p>
            <w:pPr>
              <w:pStyle w:val="Compact"/>
              <w:jc w:val="left"/>
            </w:pPr>
            <w:r>
              <w:t xml:space="preserve">Dispatched within shift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 hours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p>
            <w:pPr>
              <w:pStyle w:val="Compact"/>
              <w:jc w:val="left"/>
            </w:pPr>
            <w:r>
              <w:t xml:space="preserve">Dispatched same 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 hours</w:t>
            </w:r>
          </w:p>
        </w:tc>
        <w:tc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p>
            <w:pPr>
              <w:pStyle w:val="Compact"/>
              <w:jc w:val="left"/>
            </w:pPr>
            <w:r>
              <w:t xml:space="preserve">Overnight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24 hours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240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Proposed design basis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36 hours</w:t>
            </w:r>
          </w:p>
        </w:tc>
        <w:tc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p>
            <w:pPr>
              <w:pStyle w:val="Compact"/>
              <w:jc w:val="left"/>
            </w:pPr>
            <w:r>
              <w:t xml:space="preserve">1.5 days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48 hours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480</w:t>
            </w:r>
          </w:p>
        </w:tc>
        <w:tc>
          <w:p>
            <w:pPr>
              <w:pStyle w:val="Compact"/>
              <w:jc w:val="left"/>
            </w:pPr>
            <w:r>
              <w:t xml:space="preserve">Weekend buffer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72 hours</w:t>
            </w:r>
          </w:p>
        </w:tc>
        <w:tc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p>
            <w:pPr>
              <w:pStyle w:val="Compact"/>
              <w:jc w:val="left"/>
            </w:pPr>
            <w:r>
              <w:t xml:space="preserve">720</w:t>
            </w:r>
          </w:p>
        </w:tc>
        <w:tc>
          <w:p>
            <w:pPr>
              <w:pStyle w:val="Compact"/>
              <w:jc w:val="left"/>
            </w:pPr>
            <w:r>
              <w:t xml:space="preserve">Public holiday / transport disruption</w:t>
            </w:r>
          </w:p>
        </w:tc>
      </w:tr>
    </w:tbl>
    <w:p>
      <w:pPr>
        <w:pStyle w:val="BodyText"/>
      </w:pPr>
      <w:r>
        <w:rPr>
          <w:b/>
        </w:rPr>
        <w:t xml:space="preserve">This is the single parameter Costa should confirm first.</w:t>
      </w:r>
      <w:r>
        <w:t xml:space="preserve"> </w:t>
      </w:r>
      <w:r>
        <w:t xml:space="preserve">Actual dwell time drives</w:t>
      </w:r>
      <w:r>
        <w:t xml:space="preserve"> </w:t>
      </w:r>
      <w:r>
        <w:t xml:space="preserve">capital cost directly — the difference between 12 hours and 48 hours is a</w:t>
      </w:r>
      <w:r>
        <w:t xml:space="preserve"> </w:t>
      </w:r>
      <w:r>
        <w:rPr>
          <w:b/>
        </w:rPr>
        <w:t xml:space="preserve">fourfold</w:t>
      </w:r>
      <w:r>
        <w:rPr>
          <w:b/>
        </w:rPr>
        <w:t xml:space="preserve"> </w:t>
      </w:r>
      <w:r>
        <w:rPr>
          <w:b/>
        </w:rPr>
        <w:t xml:space="preserve">change in required capacity</w:t>
      </w:r>
      <w:r>
        <w:t xml:space="preserve">.</w:t>
      </w:r>
    </w:p>
    <w:p>
      <w:pPr>
        <w:pStyle w:val="Heading3"/>
      </w:pPr>
      <w:bookmarkStart w:id="28" w:name="Xeb09aeb2dcbaf2d2e580312534b2b85c6d77a5c"/>
      <w:r>
        <w:t xml:space="preserve">2.6 Floor area by storage technology (240-pallet capacity)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Utilisation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Floor m²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Refrigerated m³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Block stacking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55%</w:t>
            </w:r>
          </w:p>
        </w:tc>
        <w:tc>
          <w:p>
            <w:pPr>
              <w:pStyle w:val="Compact"/>
              <w:jc w:val="left"/>
            </w:pPr>
            <w:r>
              <w:t xml:space="preserve">296</w:t>
            </w:r>
          </w:p>
        </w:tc>
        <w:tc>
          <w:p>
            <w:pPr>
              <w:pStyle w:val="Compact"/>
              <w:jc w:val="left"/>
            </w:pPr>
            <w:r>
              <w:t xml:space="preserve">1,184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Selective racking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p>
            <w:pPr>
              <w:pStyle w:val="Compact"/>
              <w:jc w:val="left"/>
            </w:pPr>
            <w:r>
              <w:t xml:space="preserve">271</w:t>
            </w:r>
          </w:p>
        </w:tc>
        <w:tc>
          <w:p>
            <w:pPr>
              <w:pStyle w:val="Compact"/>
              <w:jc w:val="left"/>
            </w:pPr>
            <w:r>
              <w:t xml:space="preserve">1,900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Double-deep racking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217</w:t>
            </w:r>
          </w:p>
        </w:tc>
        <w:tc>
          <w:p>
            <w:pPr>
              <w:pStyle w:val="Compact"/>
              <w:jc w:val="left"/>
            </w:pPr>
            <w:r>
              <w:t xml:space="preserve">1,520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Drive-in racking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65%</w:t>
            </w:r>
          </w:p>
        </w:tc>
        <w:tc>
          <w:p>
            <w:pPr>
              <w:pStyle w:val="Compact"/>
              <w:jc w:val="left"/>
            </w:pPr>
            <w:r>
              <w:t xml:space="preserve">125</w:t>
            </w:r>
          </w:p>
        </w:tc>
        <w:tc>
          <w:p>
            <w:pPr>
              <w:pStyle w:val="Compact"/>
              <w:jc w:val="left"/>
            </w:pPr>
            <w:r>
              <w:t xml:space="preserve">1,128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Pallet shuttle racking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Mobile racking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65%</w:t>
            </w:r>
          </w:p>
        </w:tc>
        <w:tc>
          <w:p>
            <w:pPr>
              <w:pStyle w:val="Compact"/>
              <w:jc w:val="left"/>
            </w:pPr>
            <w:r>
              <w:t xml:space="preserve">167</w:t>
            </w:r>
          </w:p>
        </w:tc>
        <w:tc>
          <w:p>
            <w:pPr>
              <w:pStyle w:val="Compact"/>
              <w:jc w:val="left"/>
            </w:pPr>
            <w:r>
              <w:t xml:space="preserve">1,169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AS/RS stacker crane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862</w:t>
            </w:r>
          </w:p>
        </w:tc>
      </w:tr>
    </w:tbl>
    <w:p>
      <w:pPr>
        <w:pStyle w:val="BlockText"/>
      </w:pPr>
      <w:r>
        <w:t xml:space="preserve">The final column matters more than floor area:</w:t>
      </w:r>
      <w:r>
        <w:t xml:space="preserve"> </w:t>
      </w:r>
      <w:r>
        <w:rPr>
          <w:b/>
        </w:rPr>
        <w:t xml:space="preserve">refrigerated volume drives energy</w:t>
      </w:r>
      <w:r>
        <w:rPr>
          <w:b/>
        </w:rPr>
        <w:t xml:space="preserve"> </w:t>
      </w:r>
      <w:r>
        <w:rPr>
          <w:b/>
        </w:rPr>
        <w:t xml:space="preserve">cost across the whole asset life</w:t>
      </w:r>
      <w:r>
        <w:t xml:space="preserve">. Moving from block stacking to shuttle racking cuts</w:t>
      </w:r>
      <w:r>
        <w:t xml:space="preserve"> </w:t>
      </w:r>
      <w:r>
        <w:t xml:space="preserve">refrigerated volume by ~19%; AS/RS cuts it by ~27%. For a store running 24/7 year-round,</w:t>
      </w:r>
      <w:r>
        <w:t xml:space="preserve"> </w:t>
      </w:r>
      <w:r>
        <w:t xml:space="preserve">this compounds materially.</w:t>
      </w:r>
    </w:p>
    <w:p>
      <w:pPr>
        <w:pStyle w:val="Heading3"/>
      </w:pPr>
      <w:bookmarkStart w:id="29" w:name="dispatch-doors"/>
      <w:r>
        <w:t xml:space="preserve">2.7 Dispatch doors</w:t>
      </w:r>
      <w:bookmarkEnd w:id="29"/>
    </w:p>
    <w:tbl>
      <w:tblPr>
        <w:tblStyle w:val="Table"/>
        <w:tblW w:type="pct" w:w="5000.0"/>
        <w:tblLook w:firstRow="1"/>
      </w:tblPr>
      <w:tblGrid>
        <w:gridCol w:w="4658"/>
        <w:gridCol w:w="1747"/>
        <w:gridCol w:w="151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Movements/day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Pallets/movement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 ft interstate containers (70%)</w:t>
            </w:r>
          </w:p>
        </w:tc>
        <w:tc>
          <w:p>
            <w:pPr>
              <w:pStyle w:val="Compact"/>
              <w:jc w:val="left"/>
            </w:pPr>
            <w:r>
              <w:t xml:space="preserve">7.0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Refrigerated supermarket trucks, intrastate (30%)</w:t>
            </w:r>
          </w:p>
        </w:tc>
        <w:tc>
          <w:p>
            <w:pPr>
              <w:pStyle w:val="Compact"/>
              <w:jc w:val="left"/>
            </w:pPr>
            <w:r>
              <w:t xml:space="preserve">7.5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~14.5 movements/day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Over a 10-hour dispatch window this is 1.45 vehicles/h. Applying a 1.5 peak factor,</w:t>
      </w:r>
      <w:r>
        <w:t xml:space="preserve"> </w:t>
      </w:r>
      <w:r>
        <w:rPr>
          <w:b/>
        </w:rPr>
        <w:t xml:space="preserve">a minimum of three dispatch doors</w:t>
      </w:r>
      <w:r>
        <w:t xml:space="preserve"> </w:t>
      </w:r>
      <w:r>
        <w:t xml:space="preserve">is required to avoid vehicle queuing.</w:t>
      </w:r>
    </w:p>
    <w:p>
      <w:r>
        <w:br w:type="page"/>
      </w:r>
    </w:p>
    <w:p>
      <w:pPr>
        <w:pStyle w:val="Heading2"/>
      </w:pPr>
      <w:bookmarkStart w:id="30" w:name="current-state-challenges"/>
      <w:r>
        <w:t xml:space="preserve">3. CURRENT STATE &amp; CHALLENGES</w:t>
      </w:r>
      <w:bookmarkEnd w:id="30"/>
    </w:p>
    <w:p>
      <w:pPr>
        <w:pStyle w:val="Heading3"/>
      </w:pPr>
      <w:bookmarkStart w:id="31" w:name="current-process"/>
      <w:r>
        <w:t xml:space="preserve">3.1 Current process</w:t>
      </w:r>
      <w:bookmarkEnd w:id="31"/>
    </w:p>
    <w:p>
      <w:pPr>
        <w:pStyle w:val="SourceCode"/>
      </w:pPr>
      <w:r>
        <w:rPr>
          <w:rStyle w:val="VerbatimChar"/>
        </w:rPr>
        <w:t xml:space="preserve">Box packing → Palletising (two box types kept separate) → Stretch wrapping</w:t>
      </w:r>
      <w:r>
        <w:br/>
      </w:r>
      <w:r>
        <w:rPr>
          <w:rStyle w:val="VerbatimChar"/>
        </w:rPr>
        <w:t xml:space="preserve">    → Forklift places pallet on scale conveyor → Into cold store</w:t>
      </w:r>
      <w:r>
        <w:br/>
      </w:r>
      <w:r>
        <w:rPr>
          <w:rStyle w:val="VerbatimChar"/>
        </w:rPr>
        <w:t xml:space="preserve">    → Container / truck collects against order</w:t>
      </w:r>
    </w:p>
    <w:p>
      <w:pPr>
        <w:pStyle w:val="Heading3"/>
      </w:pPr>
      <w:bookmarkStart w:id="32" w:name="five-challenges-identified"/>
      <w:r>
        <w:t xml:space="preserve">3.2 Five challenges identified</w:t>
      </w:r>
      <w:bookmarkEnd w:id="32"/>
    </w:p>
    <w:p>
      <w:pPr>
        <w:pStyle w:val="FirstParagraph"/>
      </w:pPr>
      <w:r>
        <w:rPr>
          <w:b/>
        </w:rPr>
        <w:t xml:space="preserve">(1) Brownfield constraint — upgrading a live facility.</w:t>
      </w:r>
      <w:r>
        <w:t xml:space="preserve"> </w:t>
      </w:r>
      <w:r>
        <w:t xml:space="preserve">Costa has an existing cold store requiring upgrade, not a greenfield build. This</w:t>
      </w:r>
      <w:r>
        <w:t xml:space="preserve"> </w:t>
      </w:r>
      <w:r>
        <w:t xml:space="preserve">constrains available clear height, column positions, floor loading and installed</w:t>
      </w:r>
      <w:r>
        <w:t xml:space="preserve"> </w:t>
      </w:r>
      <w:r>
        <w:t xml:space="preserve">refrigeration capacity. Every option must be installed</w:t>
      </w:r>
      <w:r>
        <w:t xml:space="preserve"> </w:t>
      </w:r>
      <w:r>
        <w:rPr>
          <w:b/>
        </w:rPr>
        <w:t xml:space="preserve">while the store continues to</w:t>
      </w:r>
      <w:r>
        <w:rPr>
          <w:b/>
        </w:rPr>
        <w:t xml:space="preserve"> </w:t>
      </w:r>
      <w:r>
        <w:rPr>
          <w:b/>
        </w:rPr>
        <w:t xml:space="preserve">operate</w:t>
      </w:r>
      <w:r>
        <w:t xml:space="preserve"> </w:t>
      </w:r>
      <w:r>
        <w:t xml:space="preserve">— the heaviest constraint of all, and the principal reason we recommend</w:t>
      </w:r>
      <w:r>
        <w:t xml:space="preserve"> </w:t>
      </w:r>
      <w:r>
        <w:t xml:space="preserve">starting with software.</w:t>
      </w:r>
    </w:p>
    <w:p>
      <w:pPr>
        <w:pStyle w:val="BodyText"/>
      </w:pPr>
      <w:r>
        <w:rPr>
          <w:b/>
        </w:rPr>
        <w:t xml:space="preserve">(2) Relative humidity above 95% — a harder problem than temperature.</w:t>
      </w:r>
      <w:r>
        <w:t xml:space="preserve"> </w:t>
      </w:r>
      <w:r>
        <w:t xml:space="preserve">Mushrooms store best at</w:t>
      </w:r>
      <w:r>
        <w:t xml:space="preserve"> </w:t>
      </w:r>
      <w:r>
        <w:rPr>
          <w:b/>
        </w:rPr>
        <w:t xml:space="preserve">0–2 °C with relative humidity above 95%</w:t>
      </w:r>
      <w:r>
        <w:t xml:space="preserve">. Under these</w:t>
      </w:r>
      <w:r>
        <w:t xml:space="preserve"> </w:t>
      </w:r>
      <w:r>
        <w:t xml:space="preserve">conditions:</w:t>
      </w:r>
    </w:p>
    <w:p>
      <w:pPr>
        <w:numPr>
          <w:ilvl w:val="0"/>
          <w:numId w:val="1002"/>
        </w:numPr>
        <w:pStyle w:val="Compact"/>
      </w:pPr>
      <w:r>
        <w:t xml:space="preserve">Barcode readers and cameras</w:t>
      </w:r>
      <w:r>
        <w:t xml:space="preserve"> </w:t>
      </w:r>
      <w:r>
        <w:rPr>
          <w:b/>
        </w:rPr>
        <w:t xml:space="preserve">fog over</w:t>
      </w:r>
      <w:r>
        <w:t xml:space="preserve">, and misread rates rise sharply</w:t>
      </w:r>
    </w:p>
    <w:p>
      <w:pPr>
        <w:numPr>
          <w:ilvl w:val="0"/>
          <w:numId w:val="1002"/>
        </w:numPr>
        <w:pStyle w:val="Compact"/>
      </w:pPr>
      <w:r>
        <w:t xml:space="preserve">Enclosures and sensors require</w:t>
      </w:r>
      <w:r>
        <w:t xml:space="preserve"> </w:t>
      </w:r>
      <w:r>
        <w:rPr>
          <w:b/>
        </w:rPr>
        <w:t xml:space="preserve">IP65 or better with anti-condensation heating</w:t>
      </w:r>
    </w:p>
    <w:p>
      <w:pPr>
        <w:numPr>
          <w:ilvl w:val="0"/>
          <w:numId w:val="1002"/>
        </w:numPr>
        <w:pStyle w:val="Compact"/>
      </w:pPr>
      <w:r>
        <w:t xml:space="preserve">Metal corrosion proceeds far faster than in ambient warehousing</w:t>
      </w:r>
    </w:p>
    <w:p>
      <w:pPr>
        <w:numPr>
          <w:ilvl w:val="0"/>
          <w:numId w:val="1002"/>
        </w:numPr>
        <w:pStyle w:val="Compact"/>
      </w:pPr>
      <w:r>
        <w:t xml:space="preserve">Paper pallet labels</w:t>
      </w:r>
      <w:r>
        <w:t xml:space="preserve"> </w:t>
      </w:r>
      <w:r>
        <w:rPr>
          <w:b/>
        </w:rPr>
        <w:t xml:space="preserve">delaminate and smear</w:t>
      </w:r>
    </w:p>
    <w:p>
      <w:pPr>
        <w:pStyle w:val="FirstParagraph"/>
      </w:pPr>
      <w:r>
        <w:t xml:space="preserve">This is why we specify</w:t>
      </w:r>
      <w:r>
        <w:t xml:space="preserve"> </w:t>
      </w:r>
      <w:r>
        <w:rPr>
          <w:b/>
        </w:rPr>
        <w:t xml:space="preserve">RFID rather than barcode</w:t>
      </w:r>
      <w:r>
        <w:t xml:space="preserve"> </w:t>
      </w:r>
      <w:r>
        <w:t xml:space="preserve">for pallet identification inside</w:t>
      </w:r>
      <w:r>
        <w:t xml:space="preserve"> </w:t>
      </w:r>
      <w:r>
        <w:t xml:space="preserve">the chilled envelope — see Section 8.3.</w:t>
      </w:r>
    </w:p>
    <w:p>
      <w:pPr>
        <w:pStyle w:val="BodyText"/>
      </w:pPr>
      <w:r>
        <w:rPr>
          <w:b/>
        </w:rPr>
        <w:t xml:space="preserve">(3) Box-level data already exists — only the aggregation step is missing.</w:t>
      </w:r>
    </w:p>
    <w:p>
      <w:pPr>
        <w:pStyle w:val="BodyText"/>
      </w:pPr>
      <w:r>
        <w:t xml:space="preserve">Costa</w:t>
      </w:r>
      <w:r>
        <w:t xml:space="preserve"> </w:t>
      </w:r>
      <w:r>
        <w:rPr>
          <w:b/>
        </w:rPr>
        <w:t xml:space="preserve">already operates box-level barcoding</w:t>
      </w:r>
      <w:r>
        <w:t xml:space="preserve">, carrying picking crew, grade and grow</w:t>
      </w:r>
      <w:r>
        <w:t xml:space="preserve"> </w:t>
      </w:r>
      <w:r>
        <w:t xml:space="preserve">room. This is an excellent foundation and materially changes the problem in Costa’s</w:t>
      </w:r>
      <w:r>
        <w:t xml:space="preserve"> </w:t>
      </w:r>
      <w:r>
        <w:t xml:space="preserve">favour:</w:t>
      </w:r>
      <w:r>
        <w:t xml:space="preserve"> </w:t>
      </w:r>
      <w:r>
        <w:rPr>
          <w:b/>
        </w:rPr>
        <w:t xml:space="preserve">traceability does not need to be built from scratch — only one link needs</w:t>
      </w:r>
      <w:r>
        <w:rPr>
          <w:b/>
        </w:rPr>
        <w:t xml:space="preserve"> </w:t>
      </w:r>
      <w:r>
        <w:rPr>
          <w:b/>
        </w:rPr>
        <w:t xml:space="preserve">closing.</w:t>
      </w:r>
    </w:p>
    <w:p>
      <w:pPr>
        <w:pStyle w:val="SourceCode"/>
      </w:pPr>
      <w:r>
        <w:rPr>
          <w:rStyle w:val="VerbatimChar"/>
        </w:rPr>
        <w:t xml:space="preserve">ALREADY IN PLACE                          MISSING</w:t>
      </w:r>
      <w:r>
        <w:br/>
      </w:r>
      <w:r>
        <w:rPr>
          <w:rStyle w:val="VerbatimChar"/>
        </w:rPr>
        <w:t xml:space="preserve">────────────────────────────────         ──────────────────────────────</w:t>
      </w:r>
      <w:r>
        <w:br/>
      </w:r>
      <w:r>
        <w:rPr>
          <w:rStyle w:val="VerbatimChar"/>
        </w:rPr>
        <w:t xml:space="preserve">Grow Room · Crew · Grade                  Which boxes are on which pallet?</w:t>
      </w:r>
      <w:r>
        <w:br/>
      </w:r>
      <w:r>
        <w:rPr>
          <w:rStyle w:val="VerbatimChar"/>
        </w:rPr>
        <w:t xml:space="preserve">        ↓ (barcode on every box)          Which pallets went on which container?</w:t>
      </w:r>
      <w:r>
        <w:br/>
      </w:r>
      <w:r>
        <w:rPr>
          <w:rStyle w:val="VerbatimChar"/>
        </w:rPr>
        <w:t xml:space="preserve">      BOX  [in place]         --X--            PALLET → CONTAINER</w:t>
      </w:r>
    </w:p>
    <w:p>
      <w:pPr>
        <w:pStyle w:val="FirstParagraph"/>
      </w:pPr>
      <w:r>
        <w:t xml:space="preserve">Consequences of the broken link:</w:t>
      </w:r>
    </w:p>
    <w:p>
      <w:pPr>
        <w:numPr>
          <w:ilvl w:val="0"/>
          <w:numId w:val="1003"/>
        </w:numPr>
        <w:pStyle w:val="Compact"/>
      </w:pPr>
      <w:r>
        <w:t xml:space="preserve">No means of tracing a</w:t>
      </w:r>
      <w:r>
        <w:t xml:space="preserve"> </w:t>
      </w:r>
      <w:r>
        <w:rPr>
          <w:b/>
        </w:rPr>
        <w:t xml:space="preserve">pallet</w:t>
      </w:r>
      <w:r>
        <w:t xml:space="preserve"> </w:t>
      </w:r>
      <w:r>
        <w:t xml:space="preserve">back to its grow rooms</w:t>
      </w:r>
    </w:p>
    <w:p>
      <w:pPr>
        <w:numPr>
          <w:ilvl w:val="0"/>
          <w:numId w:val="1003"/>
        </w:numPr>
        <w:pStyle w:val="Compact"/>
      </w:pPr>
      <w:r>
        <w:t xml:space="preserve">Reconciling harvested output against dispatched output is a manual exercise</w:t>
      </w:r>
    </w:p>
    <w:p>
      <w:pPr>
        <w:numPr>
          <w:ilvl w:val="0"/>
          <w:numId w:val="1003"/>
        </w:numPr>
        <w:pStyle w:val="Compact"/>
      </w:pPr>
      <w:r>
        <w:t xml:space="preserve">When a supermarket raises a quality claim, isolating the affected lot requires</w:t>
      </w:r>
      <w:r>
        <w:t xml:space="preserve"> </w:t>
      </w:r>
      <w:r>
        <w:t xml:space="preserve">working back through paperwork</w:t>
      </w:r>
    </w:p>
    <w:p>
      <w:pPr>
        <w:pStyle w:val="BlockText"/>
      </w:pPr>
      <w:r>
        <w:rPr>
          <w:b/>
        </w:rPr>
        <w:t xml:space="preserve">The key point:</w:t>
      </w:r>
      <w:r>
        <w:t xml:space="preserve"> </w:t>
      </w:r>
      <w:r>
        <w:t xml:space="preserve">because barcodes already exist on every box, the box → pallet</w:t>
      </w:r>
      <w:r>
        <w:t xml:space="preserve"> </w:t>
      </w:r>
      <w:r>
        <w:t xml:space="preserve">aggregation can be captured</w:t>
      </w:r>
      <w:r>
        <w:t xml:space="preserve"> </w:t>
      </w:r>
      <w:r>
        <w:rPr>
          <w:b/>
        </w:rPr>
        <w:t xml:space="preserve">fully automatically with no additional labour</w:t>
      </w:r>
      <w:r>
        <w:t xml:space="preserve">, by</w:t>
      </w:r>
      <w:r>
        <w:t xml:space="preserve"> </w:t>
      </w:r>
      <w:r>
        <w:t xml:space="preserve">placing a reader immediately upstream of the palletiser pick point. Put differently,</w:t>
      </w:r>
      <w:r>
        <w:t xml:space="preserve"> </w:t>
      </w:r>
      <w:r>
        <w:rPr>
          <w:b/>
        </w:rPr>
        <w:t xml:space="preserve">the palletising system and the traceability requirement solve one another</w:t>
      </w:r>
      <w:r>
        <w:t xml:space="preserve"> </w:t>
      </w:r>
      <w:r>
        <w:t xml:space="preserve">— see</w:t>
      </w:r>
      <w:r>
        <w:t xml:space="preserve"> </w:t>
      </w:r>
      <w:r>
        <w:t xml:space="preserve">Section 6.5.</w:t>
      </w:r>
    </w:p>
    <w:p>
      <w:pPr>
        <w:pStyle w:val="FirstParagraph"/>
      </w:pPr>
      <w:r>
        <w:rPr>
          <w:b/>
        </w:rPr>
        <w:t xml:space="preserve">(4) A 12-SKU matrix — automated palletising required.</w:t>
      </w:r>
    </w:p>
    <w:p>
      <w:pPr>
        <w:pStyle w:val="BodyText"/>
      </w:pPr>
      <w:r>
        <w:t xml:space="preserve">The real product matrix has three dimensions: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</w:t>
            </w:r>
          </w:p>
        </w:tc>
        <w:tc>
          <w:p>
            <w:pPr>
              <w:pStyle w:val="Compact"/>
              <w:jc w:val="left"/>
            </w:pPr>
            <w:r>
              <w:t xml:space="preserve">White, Brown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Grade</w:t>
            </w:r>
          </w:p>
        </w:tc>
        <w:tc>
          <w:p>
            <w:pPr>
              <w:pStyle w:val="Compact"/>
              <w:jc w:val="left"/>
            </w:pPr>
            <w:r>
              <w:t xml:space="preserve">Button, Cup, Flat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Box type</w:t>
            </w:r>
          </w:p>
        </w:tc>
        <w:tc>
          <w:p>
            <w:pPr>
              <w:pStyle w:val="Compact"/>
              <w:jc w:val="left"/>
            </w:pPr>
            <w:r>
              <w:t xml:space="preserve">Box A, Box B (different dimensions)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combinations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12 SKUs</w:t>
            </w:r>
          </w:p>
        </w:tc>
      </w:tr>
    </w:tbl>
    <w:p>
      <w:pPr>
        <w:pStyle w:val="BodyText"/>
      </w:pPr>
      <w:r>
        <w:t xml:space="preserve">At 208 pallets/day across 12 SKUs, the average is only</w:t>
      </w:r>
      <w:r>
        <w:t xml:space="preserve"> </w:t>
      </w:r>
      <w:r>
        <w:rPr>
          <w:b/>
        </w:rPr>
        <w:t xml:space="preserve">17 pallets/day per SKU</w:t>
      </w:r>
      <w:r>
        <w:t xml:space="preserve">.</w:t>
      </w:r>
      <w:r>
        <w:t xml:space="preserve"> </w:t>
      </w:r>
      <w:r>
        <w:t xml:space="preserve">Many SKUs</w:t>
      </w:r>
      <w:r>
        <w:t xml:space="preserve"> </w:t>
      </w:r>
      <w:r>
        <w:rPr>
          <w:b/>
        </w:rPr>
        <w:t xml:space="preserve">will not fill a single pallet in a day</w:t>
      </w:r>
      <w:r>
        <w:t xml:space="preserve"> </w:t>
      </w:r>
      <w:r>
        <w:t xml:space="preserve">if demand splits evenly.</w:t>
      </w:r>
    </w:p>
    <w:p>
      <w:pPr>
        <w:pStyle w:val="BlockText"/>
      </w:pPr>
      <w:r>
        <w:rPr>
          <w:b/>
        </w:rPr>
        <w:t xml:space="preserve">This — not throughput — is the real challenge.</w:t>
      </w:r>
      <w:r>
        <w:t xml:space="preserve"> </w:t>
      </w:r>
      <w:r>
        <w:t xml:space="preserve">Pallets must be built</w:t>
      </w:r>
      <w:r>
        <w:t xml:space="preserve"> </w:t>
      </w:r>
      <w:r>
        <w:rPr>
          <w:b/>
        </w:rPr>
        <w:t xml:space="preserve">to order</w:t>
      </w:r>
      <w:r>
        <w:t xml:space="preserve">,</w:t>
      </w:r>
      <w:r>
        <w:t xml:space="preserve"> </w:t>
      </w:r>
      <w:r>
        <w:t xml:space="preserve">not to SKU, which means several different pallets must be open simultaneously. With</w:t>
      </w:r>
      <w:r>
        <w:t xml:space="preserve"> </w:t>
      </w:r>
      <w:r>
        <w:t xml:space="preserve">4–6 SKUs running concurrently in a shift, manual palletising leads to mis-selected</w:t>
      </w:r>
      <w:r>
        <w:t xml:space="preserve"> </w:t>
      </w:r>
      <w:r>
        <w:t xml:space="preserve">pallets, part-built pallets occupying floor space, and no reliable means of recording</w:t>
      </w:r>
      <w:r>
        <w:t xml:space="preserve"> </w:t>
      </w:r>
      <w:r>
        <w:t xml:space="preserve">which box went onto which pallet.</w:t>
      </w:r>
    </w:p>
    <w:p>
      <w:pPr>
        <w:pStyle w:val="FirstParagraph"/>
      </w:pPr>
      <w:r>
        <w:t xml:space="preserve">This is why Costa requires an</w:t>
      </w:r>
      <w:r>
        <w:t xml:space="preserve"> </w:t>
      </w:r>
      <w:r>
        <w:rPr>
          <w:b/>
        </w:rPr>
        <w:t xml:space="preserve">automated palletising system</w:t>
      </w:r>
      <w:r>
        <w:t xml:space="preserve"> </w:t>
      </w:r>
      <w:r>
        <w:t xml:space="preserve">— design detail in</w:t>
      </w:r>
      <w:r>
        <w:t xml:space="preserve"> </w:t>
      </w:r>
      <w:r>
        <w:t xml:space="preserve">Section 6.</w:t>
      </w:r>
    </w:p>
    <w:p>
      <w:pPr>
        <w:pStyle w:val="BodyText"/>
      </w:pPr>
      <w:r>
        <w:rPr>
          <w:b/>
        </w:rPr>
        <w:t xml:space="preserve">(5) Personnel hours inside the chilled envelope.</w:t>
      </w:r>
      <w:r>
        <w:t xml:space="preserve"> </w:t>
      </w:r>
      <w:r>
        <w:t xml:space="preserve">Forklift operation at 0–2 °C attracts allowances, limits shift duration, and carries</w:t>
      </w:r>
      <w:r>
        <w:t xml:space="preserve"> </w:t>
      </w:r>
      <w:r>
        <w:t xml:space="preserve">occupational health obligations under WHS legislation. This is a hidden cost that is</w:t>
      </w:r>
      <w:r>
        <w:t xml:space="preserve"> </w:t>
      </w:r>
      <w:r>
        <w:t xml:space="preserve">routinely under-counted when options are compared.</w:t>
      </w:r>
    </w:p>
    <w:p>
      <w:r>
        <w:br w:type="page"/>
      </w:r>
    </w:p>
    <w:p>
      <w:pPr>
        <w:pStyle w:val="Heading2"/>
      </w:pPr>
      <w:bookmarkStart w:id="33" w:name="three-options"/>
      <w:r>
        <w:t xml:space="preserve">4. THREE OPTIONS</w:t>
      </w:r>
      <w:bookmarkEnd w:id="33"/>
    </w:p>
    <w:p>
      <w:pPr>
        <w:pStyle w:val="Heading3"/>
      </w:pPr>
      <w:bookmarkStart w:id="34" w:name="Xa09cf94b34eef54d12c40e358cee632013f9cde"/>
      <w:r>
        <w:t xml:space="preserve">4.1 Option A — Digitalisation &amp; WMS</w:t>
      </w:r>
      <w:r>
        <w:t xml:space="preserve"> </w:t>
      </w:r>
      <w:r>
        <w:rPr>
          <w:i/>
        </w:rPr>
        <w:t xml:space="preserve">(recommended starting point)</w:t>
      </w:r>
      <w:bookmarkEnd w:id="34"/>
    </w:p>
    <w:p>
      <w:pPr>
        <w:pStyle w:val="FirstParagraph"/>
      </w:pPr>
      <w:r>
        <w:rPr>
          <w:b/>
        </w:rPr>
        <w:t xml:space="preserve">Scope of supply:</w:t>
      </w:r>
    </w:p>
    <w:tbl>
      <w:tblPr>
        <w:tblStyle w:val="Table"/>
        <w:tblW w:type="pct" w:w="5000.0"/>
        <w:tblLook w:firstRow="1"/>
      </w:tblPr>
      <w:tblGrid>
        <w:gridCol w:w="2096"/>
        <w:gridCol w:w="582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Intelligent scale station</w:t>
            </w:r>
          </w:p>
        </w:tc>
        <w:tc>
          <w:p>
            <w:pPr>
              <w:pStyle w:val="Compact"/>
              <w:jc w:val="left"/>
            </w:pPr>
            <w:r>
              <w:t xml:space="preserve">Integration with existing scale conveyor; automatic weight capture, no manual entry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Pallet identification</w:t>
            </w:r>
          </w:p>
        </w:tc>
        <w:tc>
          <w:p>
            <w:pPr>
              <w:pStyle w:val="Compact"/>
              <w:jc w:val="left"/>
            </w:pPr>
            <w:r>
              <w:t xml:space="preserve">Humidity-rated RFID tags; read portals at scale station and dispatch doors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Print &amp; apply labelling</w:t>
            </w:r>
          </w:p>
        </w:tc>
        <w:tc>
          <w:p>
            <w:pPr>
              <w:pStyle w:val="Compact"/>
              <w:jc w:val="left"/>
            </w:pPr>
            <w:r>
              <w:t xml:space="preserve">Humidity-resistant labels, printed automatically post-weighing, carrying GS1 SSCC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WMS/WCS on the iZiiApp platform</w:t>
            </w:r>
          </w:p>
        </w:tc>
        <w:tc>
          <w:p>
            <w:pPr>
              <w:pStyle w:val="Compact"/>
              <w:jc w:val="left"/>
            </w:pPr>
            <w:r>
              <w:t xml:space="preserve">Location management, dispatch orders, output reconciliation, traceability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Forklift-mounted terminals</w:t>
            </w:r>
          </w:p>
        </w:tc>
        <w:tc>
          <w:p>
            <w:pPr>
              <w:pStyle w:val="Compact"/>
              <w:jc w:val="left"/>
            </w:pPr>
            <w:r>
              <w:t xml:space="preserve">Cold-rated displays providing directed put-away and retrieval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dashboard</w:t>
            </w:r>
          </w:p>
        </w:tc>
        <w:tc>
          <w:p>
            <w:pPr>
              <w:pStyle w:val="Compact"/>
              <w:jc w:val="left"/>
            </w:pPr>
            <w:r>
              <w:t xml:space="preserve">Throughput, stock on hand, open orders, stock-ageing alerts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p>
            <w:pPr>
              <w:pStyle w:val="Compact"/>
              <w:jc w:val="left"/>
            </w:pPr>
            <w:r>
              <w:t xml:space="preserve">Connection to the existing harvest module; ERP-ready interfaces</w:t>
            </w:r>
          </w:p>
        </w:tc>
      </w:tr>
    </w:tbl>
    <w:p>
      <w:pPr>
        <w:pStyle w:val="BodyText"/>
      </w:pPr>
      <w:r>
        <w:rPr>
          <w:b/>
        </w:rPr>
        <w:t xml:space="preserve">Advantages:</w:t>
      </w:r>
    </w:p>
    <w:p>
      <w:pPr>
        <w:numPr>
          <w:ilvl w:val="0"/>
          <w:numId w:val="1004"/>
        </w:numPr>
        <w:pStyle w:val="Compact"/>
      </w:pPr>
      <w:r>
        <w:t xml:space="preserve">Deployed in</w:t>
      </w:r>
      <w:r>
        <w:t xml:space="preserve"> </w:t>
      </w:r>
      <w:r>
        <w:rPr>
          <w:b/>
        </w:rPr>
        <w:t xml:space="preserve">3–5 months</w:t>
      </w:r>
      <w:r>
        <w:t xml:space="preserve"> </w:t>
      </w:r>
      <w:r>
        <w:t xml:space="preserve">with negligible production disruption</w:t>
      </w:r>
    </w:p>
    <w:p>
      <w:pPr>
        <w:numPr>
          <w:ilvl w:val="0"/>
          <w:numId w:val="1004"/>
        </w:numPr>
        <w:pStyle w:val="Compact"/>
      </w:pPr>
      <w:r>
        <w:t xml:space="preserve">No structural works, no shutdown required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Generates the data needed to decide between B and C</w:t>
      </w:r>
      <w:r>
        <w:t xml:space="preserve"> </w:t>
      </w:r>
      <w:r>
        <w:t xml:space="preserve">— the greatest single value</w:t>
      </w:r>
      <w:r>
        <w:t xml:space="preserve"> </w:t>
      </w:r>
      <w:r>
        <w:t xml:space="preserve">of this option</w:t>
      </w:r>
    </w:p>
    <w:p>
      <w:pPr>
        <w:numPr>
          <w:ilvl w:val="0"/>
          <w:numId w:val="1004"/>
        </w:numPr>
        <w:pStyle w:val="Compact"/>
      </w:pPr>
      <w:r>
        <w:t xml:space="preserve">Every element is retained on upgrade</w:t>
      </w:r>
    </w:p>
    <w:p>
      <w:pPr>
        <w:pStyle w:val="FirstParagraph"/>
      </w:pPr>
      <w:r>
        <w:rPr>
          <w:b/>
        </w:rPr>
        <w:t xml:space="preserve">Limitations — stated plainly:</w:t>
      </w:r>
    </w:p>
    <w:p>
      <w:pPr>
        <w:numPr>
          <w:ilvl w:val="0"/>
          <w:numId w:val="1005"/>
        </w:numPr>
        <w:pStyle w:val="Compact"/>
      </w:pPr>
      <w:r>
        <w:t xml:space="preserve">Does not increase storage density</w:t>
      </w:r>
    </w:p>
    <w:p>
      <w:pPr>
        <w:numPr>
          <w:ilvl w:val="0"/>
          <w:numId w:val="1005"/>
        </w:numPr>
        <w:pStyle w:val="Compact"/>
      </w:pPr>
      <w:r>
        <w:t xml:space="preserve">Does not reduce personnel hours inside the cold store</w:t>
      </w:r>
    </w:p>
    <w:p>
      <w:pPr>
        <w:numPr>
          <w:ilvl w:val="0"/>
          <w:numId w:val="1005"/>
        </w:numPr>
        <w:pStyle w:val="Compact"/>
      </w:pPr>
      <w:r>
        <w:t xml:space="preserve">Does not add capacity should output exceed 60 tonnes/day</w:t>
      </w:r>
    </w:p>
    <w:p>
      <w:pPr>
        <w:pStyle w:val="FirstParagraph"/>
      </w:pPr>
      <w:r>
        <w:rPr>
          <w:b/>
        </w:rPr>
        <w:t xml:space="preserve">Indicative budget: AUD 250,000 – 500,000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option-b-semi-automated"/>
      <w:r>
        <w:t xml:space="preserve">4.2 Option B — Semi-automated</w:t>
      </w:r>
      <w:bookmarkEnd w:id="35"/>
    </w:p>
    <w:p>
      <w:pPr>
        <w:pStyle w:val="FirstParagraph"/>
      </w:pPr>
      <w:r>
        <w:rPr>
          <w:b/>
        </w:rPr>
        <w:t xml:space="preserve">Added to Option A:</w:t>
      </w:r>
    </w:p>
    <w:tbl>
      <w:tblPr>
        <w:tblStyle w:val="Table"/>
        <w:tblW w:type="pct" w:w="5000.0"/>
        <w:tblLook w:firstRow="1"/>
      </w:tblPr>
      <w:tblGrid>
        <w:gridCol w:w="2445"/>
        <w:gridCol w:w="547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Automated palletising system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 robot cells (one per plant), 4 build positions + roller conveyor — Section 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Barcode reader upstream of pick point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Creates the box → pallet link automatically, with no additional labour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Automatic stretch wrapper</w:t>
            </w:r>
          </w:p>
        </w:tc>
        <w:tc>
          <w:p>
            <w:pPr>
              <w:pStyle w:val="Compact"/>
              <w:jc w:val="left"/>
            </w:pPr>
            <w:r>
              <w:t xml:space="preserve">In-line, immediately downstream of the palletiser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Through-wall pallet conveyor</w:t>
            </w:r>
          </w:p>
        </w:tc>
        <w:tc>
          <w:p>
            <w:pPr>
              <w:pStyle w:val="Compact"/>
              <w:jc w:val="left"/>
            </w:pPr>
            <w:r>
              <w:t xml:space="preserve">Moves pallets from packing hall into the cold store without forklift door transits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High-speed doors</w:t>
            </w:r>
          </w:p>
        </w:tc>
        <w:tc>
          <w:p>
            <w:pPr>
              <w:pStyle w:val="Compact"/>
              <w:jc w:val="left"/>
            </w:pPr>
            <w:r>
              <w:t xml:space="preserve">Reduce cold loss and condensation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Pallet shuttle racking</w:t>
            </w:r>
          </w:p>
        </w:tc>
        <w:tc>
          <w:p>
            <w:pPr>
              <w:pStyle w:val="Compact"/>
              <w:jc w:val="left"/>
            </w:pPr>
            <w:r>
              <w:t xml:space="preserve">5 levels, high density — floor area from ~296 m² down to</w:t>
            </w:r>
            <w:r>
              <w:t xml:space="preserve"> </w:t>
            </w:r>
            <w:r>
              <w:rPr>
                <w:b/>
              </w:rPr>
              <w:t xml:space="preserve">~87 m²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Shuttle carriers</w:t>
            </w:r>
          </w:p>
        </w:tc>
        <w:tc>
          <w:p>
            <w:pPr>
              <w:pStyle w:val="Compact"/>
              <w:jc w:val="left"/>
            </w:pPr>
            <w:r>
              <w:t xml:space="preserve">2–3 units operating within lanes; forklifts load/unload at lane face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Extended WCS</w:t>
            </w:r>
          </w:p>
        </w:tc>
        <w:tc>
          <w:p>
            <w:pPr>
              <w:pStyle w:val="Compact"/>
              <w:jc w:val="left"/>
            </w:pPr>
            <w:r>
              <w:t xml:space="preserve">Coordination of palletiser, conveyor and shuttle carriers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 3 safety system</w:t>
            </w:r>
          </w:p>
        </w:tc>
        <w:tc>
          <w:p>
            <w:pPr>
              <w:pStyle w:val="Compact"/>
              <w:jc w:val="left"/>
            </w:pPr>
            <w:r>
              <w:t xml:space="preserve">Perimeter guarding, interlocks and E-stop for the robot cell — Section 6.8</w:t>
            </w:r>
          </w:p>
        </w:tc>
      </w:tr>
    </w:tbl>
    <w:p>
      <w:pPr>
        <w:pStyle w:val="BodyText"/>
      </w:pPr>
      <w:r>
        <w:rPr>
          <w:b/>
        </w:rPr>
        <w:t xml:space="preserve">Advantages: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Eliminates box-type mixing errors entirely</w:t>
      </w:r>
      <w:r>
        <w:t xml:space="preserve"> </w:t>
      </w:r>
      <w:r>
        <w:t xml:space="preserve">— the system refuses an incorrect SKU placement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Automatic box → pallet traceability</w:t>
      </w:r>
      <w:r>
        <w:t xml:space="preserve"> </w:t>
      </w:r>
      <w:r>
        <w:t xml:space="preserve">at near-zero marginal cost (Section 6.5)</w:t>
      </w:r>
    </w:p>
    <w:p>
      <w:pPr>
        <w:numPr>
          <w:ilvl w:val="0"/>
          <w:numId w:val="1006"/>
        </w:numPr>
        <w:pStyle w:val="Compact"/>
      </w:pPr>
      <w:r>
        <w:t xml:space="preserve">Releases</w:t>
      </w:r>
      <w:r>
        <w:t xml:space="preserve"> </w:t>
      </w:r>
      <w:r>
        <w:rPr>
          <w:b/>
        </w:rPr>
        <w:t xml:space="preserve">~70% of floor area</w:t>
      </w:r>
      <w:r>
        <w:t xml:space="preserve"> </w:t>
      </w:r>
      <w:r>
        <w:t xml:space="preserve">compared with block stacking</w:t>
      </w:r>
    </w:p>
    <w:p>
      <w:pPr>
        <w:numPr>
          <w:ilvl w:val="0"/>
          <w:numId w:val="1006"/>
        </w:numPr>
        <w:pStyle w:val="Compact"/>
      </w:pPr>
      <w:r>
        <w:t xml:space="preserve">Cuts refrigerated volume by ~19% — sustained energy saving</w:t>
      </w:r>
    </w:p>
    <w:p>
      <w:pPr>
        <w:numPr>
          <w:ilvl w:val="0"/>
          <w:numId w:val="1006"/>
        </w:numPr>
        <w:pStyle w:val="Compact"/>
      </w:pPr>
      <w:r>
        <w:t xml:space="preserve">Materially reduces forklift hours inside the cold store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Shortens time at ambient temperature</w:t>
      </w:r>
      <w:r>
        <w:t xml:space="preserve"> </w:t>
      </w:r>
      <w:r>
        <w:t xml:space="preserve">— continuous conveying replaces forklift</w:t>
      </w:r>
      <w:r>
        <w:t xml:space="preserve"> </w:t>
      </w:r>
      <w:r>
        <w:t xml:space="preserve">waiting steps, partially mitigating the issue raised in Section 6.7</w:t>
      </w:r>
    </w:p>
    <w:p>
      <w:pPr>
        <w:numPr>
          <w:ilvl w:val="0"/>
          <w:numId w:val="1006"/>
        </w:numPr>
        <w:pStyle w:val="Compact"/>
      </w:pPr>
      <w:r>
        <w:t xml:space="preserve">Retains forklift flexibility for exception handling</w:t>
      </w:r>
    </w:p>
    <w:p>
      <w:pPr>
        <w:pStyle w:val="FirstParagraph"/>
      </w:pPr>
      <w:r>
        <w:rPr>
          <w:b/>
        </w:rPr>
        <w:t xml:space="preserve">Limitations:</w:t>
      </w:r>
    </w:p>
    <w:p>
      <w:pPr>
        <w:numPr>
          <w:ilvl w:val="0"/>
          <w:numId w:val="1007"/>
        </w:numPr>
        <w:pStyle w:val="Compact"/>
      </w:pPr>
      <w:r>
        <w:t xml:space="preserve">Structural works required — a phased changeover plan is essential</w:t>
      </w:r>
    </w:p>
    <w:p>
      <w:pPr>
        <w:numPr>
          <w:ilvl w:val="0"/>
          <w:numId w:val="1007"/>
        </w:numPr>
        <w:pStyle w:val="Compact"/>
      </w:pPr>
      <w:r>
        <w:t xml:space="preserve">Implementation 12–18 months (extended by the palletising scope)</w:t>
      </w:r>
    </w:p>
    <w:p>
      <w:pPr>
        <w:numPr>
          <w:ilvl w:val="0"/>
          <w:numId w:val="1007"/>
        </w:numPr>
        <w:pStyle w:val="Compact"/>
      </w:pPr>
      <w:r>
        <w:t xml:space="preserve">Floor loading and clear height must be verified</w:t>
      </w:r>
    </w:p>
    <w:p>
      <w:pPr>
        <w:numPr>
          <w:ilvl w:val="0"/>
          <w:numId w:val="1007"/>
        </w:numPr>
        <w:pStyle w:val="Compact"/>
      </w:pPr>
      <w:r>
        <w:t xml:space="preserve">Floor space required for a robot cell at</w:t>
      </w:r>
      <w:r>
        <w:t xml:space="preserve"> </w:t>
      </w:r>
      <w:r>
        <w:rPr>
          <w:b/>
        </w:rPr>
        <w:t xml:space="preserve">both plants</w:t>
      </w:r>
    </w:p>
    <w:p>
      <w:pPr>
        <w:numPr>
          <w:ilvl w:val="0"/>
          <w:numId w:val="1007"/>
        </w:numPr>
        <w:pStyle w:val="Compact"/>
      </w:pPr>
      <w:r>
        <w:t xml:space="preserve">The robot cell requires a full safety dossier to AS/NZS 4024</w:t>
      </w:r>
    </w:p>
    <w:p>
      <w:pPr>
        <w:pStyle w:val="FirstParagraph"/>
      </w:pPr>
      <w:r>
        <w:rPr>
          <w:b/>
        </w:rPr>
        <w:t xml:space="preserve">Indicative budget: AUD 2.2 – 4.0 M</w:t>
      </w:r>
      <w:r>
        <w:t xml:space="preserve"> </w:t>
      </w:r>
      <w:r>
        <w:rPr>
          <w:i/>
        </w:rPr>
        <w:t xml:space="preserve">(of which the two palletising cells represent approximately AUD 1.0 – 1.6 M)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6" w:name="option-c-full-asrs"/>
      <w:r>
        <w:t xml:space="preserve">4.3 Option C — Full AS/RS</w:t>
      </w:r>
      <w:bookmarkEnd w:id="36"/>
    </w:p>
    <w:p>
      <w:pPr>
        <w:pStyle w:val="FirstParagraph"/>
      </w:pPr>
      <w:r>
        <w:rPr>
          <w:b/>
        </w:rPr>
        <w:t xml:space="preserve">Added to Option B:</w:t>
      </w:r>
    </w:p>
    <w:tbl>
      <w:tblPr>
        <w:tblStyle w:val="Table"/>
        <w:tblW w:type="pct" w:w="5000.0"/>
        <w:tblLook w:firstRow="1"/>
      </w:tblPr>
      <w:tblGrid>
        <w:gridCol w:w="2678"/>
        <w:gridCol w:w="524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AS/RS stacker crane</w:t>
            </w:r>
          </w:p>
        </w:tc>
        <w:tc>
          <w:p>
            <w:pPr>
              <w:pStyle w:val="Compact"/>
              <w:jc w:val="left"/>
            </w:pPr>
            <w:r>
              <w:t xml:space="preserve">1–2 rail-guided cranes within the cold store, 8 levels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High-bay racking</w:t>
            </w:r>
          </w:p>
        </w:tc>
        <w:tc>
          <w:p>
            <w:pPr>
              <w:pStyle w:val="Compact"/>
              <w:jc w:val="left"/>
            </w:pPr>
            <w:r>
              <w:t xml:space="preserve">Designed to available clear height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 infeed/outfeed conveyor</w:t>
            </w:r>
          </w:p>
        </w:tc>
        <w:tc>
          <w:p>
            <w:pPr>
              <w:pStyle w:val="Compact"/>
              <w:jc w:val="left"/>
            </w:pPr>
            <w:r>
              <w:t xml:space="preserve">Fully automated from packing through to dispatch door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 3 safety system</w:t>
            </w:r>
          </w:p>
        </w:tc>
        <w:tc>
          <w:p>
            <w:pPr>
              <w:pStyle w:val="Compact"/>
              <w:jc w:val="left"/>
            </w:pPr>
            <w:r>
              <w:t xml:space="preserve">Per AS/NZS 4024 — perimeter guarding and interlocks</w:t>
            </w:r>
          </w:p>
        </w:tc>
      </w:tr>
    </w:tbl>
    <w:p>
      <w:pPr>
        <w:pStyle w:val="BodyText"/>
      </w:pPr>
      <w:r>
        <w:rPr>
          <w:b/>
        </w:rPr>
        <w:t xml:space="preserve">Advantages:</w:t>
      </w:r>
    </w:p>
    <w:p>
      <w:pPr>
        <w:numPr>
          <w:ilvl w:val="0"/>
          <w:numId w:val="1008"/>
        </w:numPr>
        <w:pStyle w:val="Compact"/>
      </w:pPr>
      <w:r>
        <w:t xml:space="preserve">Highest density:</w:t>
      </w:r>
      <w:r>
        <w:t xml:space="preserve"> </w:t>
      </w:r>
      <w:r>
        <w:rPr>
          <w:b/>
        </w:rPr>
        <w:t xml:space="preserve">~48 m² floor</w:t>
      </w:r>
      <w:r>
        <w:t xml:space="preserve">, refrigerated volume reduced ~27%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Effectively no personnel required inside the cold store</w:t>
      </w:r>
      <w:r>
        <w:t xml:space="preserve"> </w:t>
      </w:r>
      <w:r>
        <w:t xml:space="preserve">during normal operation —</w:t>
      </w:r>
      <w:r>
        <w:t xml:space="preserve"> </w:t>
      </w:r>
      <w:r>
        <w:t xml:space="preserve">the single largest benefit, in both cost and WHS-obligation terms</w:t>
      </w:r>
    </w:p>
    <w:p>
      <w:pPr>
        <w:numPr>
          <w:ilvl w:val="0"/>
          <w:numId w:val="1008"/>
        </w:numPr>
        <w:pStyle w:val="Compact"/>
      </w:pPr>
      <w:r>
        <w:t xml:space="preserve">Near-absolute inventory accuracy</w:t>
      </w:r>
    </w:p>
    <w:p>
      <w:pPr>
        <w:pStyle w:val="FirstParagraph"/>
      </w:pPr>
      <w:r>
        <w:rPr>
          <w:b/>
        </w:rPr>
        <w:t xml:space="preserve">Limitations — stated plainly:</w:t>
      </w:r>
    </w:p>
    <w:p>
      <w:pPr>
        <w:numPr>
          <w:ilvl w:val="0"/>
          <w:numId w:val="1009"/>
        </w:numPr>
        <w:pStyle w:val="Compact"/>
      </w:pPr>
      <w:r>
        <w:t xml:space="preserve">Major capital outlay, 24–30 month programme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Existing clear height may render this option unfeasible</w:t>
      </w:r>
      <w:r>
        <w:t xml:space="preserve"> </w:t>
      </w:r>
      <w:r>
        <w:t xml:space="preserve">on a brownfield site —</w:t>
      </w:r>
      <w:r>
        <w:t xml:space="preserve"> </w:t>
      </w:r>
      <w:r>
        <w:t xml:space="preserve">must be surveyed before any commitment</w:t>
      </w:r>
    </w:p>
    <w:p>
      <w:pPr>
        <w:numPr>
          <w:ilvl w:val="0"/>
          <w:numId w:val="1009"/>
        </w:numPr>
        <w:pStyle w:val="Compact"/>
      </w:pPr>
      <w:r>
        <w:t xml:space="preserve">System-down risk: if the crane fails there is no manual fallback unless designed in</w:t>
      </w:r>
    </w:p>
    <w:p>
      <w:pPr>
        <w:numPr>
          <w:ilvl w:val="0"/>
          <w:numId w:val="1009"/>
        </w:numPr>
        <w:pStyle w:val="Compact"/>
      </w:pPr>
      <w:r>
        <w:t xml:space="preserve">Installation within a live cold store is highly complex</w:t>
      </w:r>
    </w:p>
    <w:p>
      <w:pPr>
        <w:pStyle w:val="FirstParagraph"/>
      </w:pPr>
      <w:r>
        <w:rPr>
          <w:b/>
        </w:rPr>
        <w:t xml:space="preserve">Indicative budget: AUD 4.5 – 8.0 M</w:t>
      </w:r>
      <w:r>
        <w:t xml:space="preserve"> </w:t>
      </w:r>
      <w:r>
        <w:rPr>
          <w:i/>
        </w:rPr>
        <w:t xml:space="preserve">(inclusive of all Option B scope)</w:t>
      </w:r>
    </w:p>
    <w:p>
      <w:pPr>
        <w:pStyle w:val="BlockText"/>
      </w:pPr>
      <w:r>
        <w:rPr>
          <w:b/>
        </w:rPr>
        <w:t xml:space="preserve">Regarding the budget figures:</w:t>
      </w:r>
      <w:r>
        <w:t xml:space="preserve"> </w:t>
      </w:r>
      <w:r>
        <w:t xml:space="preserve">these are</w:t>
      </w:r>
      <w:r>
        <w:t xml:space="preserve"> </w:t>
      </w:r>
      <w:r>
        <w:rPr>
          <w:b/>
        </w:rPr>
        <w:t xml:space="preserve">order-of-magnitude ranges for planning</w:t>
      </w:r>
      <w:r>
        <w:rPr>
          <w:b/>
        </w:rPr>
        <w:t xml:space="preserve"> </w:t>
      </w:r>
      <w:r>
        <w:rPr>
          <w:b/>
        </w:rPr>
        <w:t xml:space="preserve">purposes</w:t>
      </w:r>
      <w:r>
        <w:t xml:space="preserve">, not quotations. The two most volatile items — and the two that</w:t>
      </w:r>
      <w:r>
        <w:t xml:space="preserve"> </w:t>
      </w:r>
      <w:r>
        <w:rPr>
          <w:b/>
        </w:rPr>
        <w:t xml:space="preserve">cannot be</w:t>
      </w:r>
      <w:r>
        <w:rPr>
          <w:b/>
        </w:rPr>
        <w:t xml:space="preserve"> </w:t>
      </w:r>
      <w:r>
        <w:rPr>
          <w:b/>
        </w:rPr>
        <w:t xml:space="preserve">estimated without a site survey</w:t>
      </w:r>
      <w:r>
        <w:t xml:space="preserve"> </w:t>
      </w:r>
      <w:r>
        <w:t xml:space="preserve">— are (a) refrigeration plant upgrade and (b)</w:t>
      </w:r>
      <w:r>
        <w:t xml:space="preserve"> </w:t>
      </w:r>
      <w:r>
        <w:t xml:space="preserve">structural/floor strengthening. Firm pricing follows the survey described in Section 15.</w:t>
      </w:r>
    </w:p>
    <w:p>
      <w:r>
        <w:br w:type="page"/>
      </w:r>
    </w:p>
    <w:p>
      <w:pPr>
        <w:pStyle w:val="Heading2"/>
      </w:pPr>
      <w:bookmarkStart w:id="37" w:name="system-architecture-option-a"/>
      <w:r>
        <w:t xml:space="preserve">5. SYSTEM ARCHITECTURE — OPTION A</w:t>
      </w:r>
      <w:bookmarkEnd w:id="37"/>
    </w:p>
    <w:p>
      <w:pPr>
        <w:pStyle w:val="FirstParagraph"/>
      </w:pPr>
      <w:r>
        <w:t xml:space="preserve">This section defines the technical design of Option A. Four views are presented:</w:t>
      </w:r>
      <w:r>
        <w:t xml:space="preserve"> </w:t>
      </w:r>
      <w:r>
        <w:t xml:space="preserve">system architecture, data flow, data model, and process sequence.</w:t>
      </w:r>
    </w:p>
    <w:p>
      <w:pPr>
        <w:pStyle w:val="Heading3"/>
      </w:pPr>
      <w:bookmarkStart w:id="38" w:name="architecture-overview"/>
      <w:r>
        <w:t xml:space="preserve">5.1 Architecture overview</w:t>
      </w:r>
      <w:bookmarkEnd w:id="38"/>
    </w:p>
    <w:p>
      <w:pPr>
        <w:pStyle w:val="FirstParagraph"/>
      </w:pPr>
      <w:r>
        <w:t xml:space="preserve">The solution is structured in four layers. Green elements already exist at Costa and</w:t>
      </w:r>
      <w:r>
        <w:t xml:space="preserve"> </w:t>
      </w:r>
      <w:r>
        <w:t xml:space="preserve">are reused, not replaced.</w:t>
      </w:r>
    </w:p>
    <w:p>
      <w:pPr>
        <w:pStyle w:val="BodyText"/>
      </w:pPr>
      <w:r>
        <w:drawing>
          <wp:inline>
            <wp:extent cx="4846320" cy="419557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happy-optimistic-edison/mnt/izii_app/plan/diagrams/fig1_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4195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Figure 1 — Option A system architecture.</w:t>
      </w:r>
    </w:p>
    <w:p>
      <w:pPr>
        <w:pStyle w:val="BodyText"/>
      </w:pPr>
      <w:r>
        <w:t xml:space="preserve">Key architectural decisions:</w:t>
      </w:r>
    </w:p>
    <w:tbl>
      <w:tblPr>
        <w:tblStyle w:val="Table"/>
        <w:tblW w:type="pct" w:w="5000.0"/>
        <w:tblLook w:firstRow="1"/>
      </w:tblPr>
      <w:tblGrid>
        <w:gridCol w:w="3261"/>
        <w:gridCol w:w="465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Reuse the existing harvest module rather than replace it</w:t>
            </w:r>
          </w:p>
        </w:tc>
        <w:tc>
          <w:p>
            <w:pPr>
              <w:pStyle w:val="Compact"/>
              <w:jc w:val="left"/>
            </w:pPr>
            <w:r>
              <w:t xml:space="preserve">Crew, grade and grow-room data already exist and are trusted by operations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WMS/WCS deployed on the existing iZiiApp platform</w:t>
            </w:r>
          </w:p>
        </w:tc>
        <w:tc>
          <w:p>
            <w:pPr>
              <w:pStyle w:val="Compact"/>
              <w:jc w:val="left"/>
            </w:pPr>
            <w:r>
              <w:t xml:space="preserve">Avoids a second platform, second login and second support contract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layer isolated from the application layer</w:t>
            </w:r>
          </w:p>
        </w:tc>
        <w:tc>
          <w:p>
            <w:pPr>
              <w:pStyle w:val="Compact"/>
              <w:jc w:val="left"/>
            </w:pPr>
            <w:r>
              <w:t xml:space="preserve">Field devices can be added or changed without altering application logic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 safety function implemented in software</w:t>
            </w:r>
          </w:p>
        </w:tc>
        <w:tc>
          <w:p>
            <w:pPr>
              <w:pStyle w:val="Compact"/>
              <w:jc w:val="left"/>
            </w:pPr>
            <w:r>
              <w:t xml:space="preserve">All machinery safety resides in independent certified hardware — see Section 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ERP interface is bidirectional but non-blocking</w:t>
            </w:r>
          </w:p>
        </w:tc>
        <w:tc>
          <w:p>
            <w:pPr>
              <w:pStyle w:val="Compact"/>
              <w:jc w:val="left"/>
            </w:pPr>
            <w:r>
              <w:t xml:space="preserve">Loss of the ERP link must not stop the floor</w:t>
            </w:r>
          </w:p>
        </w:tc>
      </w:tr>
    </w:tbl>
    <w:p>
      <w:pPr>
        <w:pStyle w:val="Heading3"/>
      </w:pPr>
      <w:bookmarkStart w:id="40" w:name="data-flow-closing-the-aggregation-link"/>
      <w:r>
        <w:t xml:space="preserve">5.2 Data flow — closing the aggregation link</w:t>
      </w:r>
      <w:bookmarkEnd w:id="40"/>
    </w:p>
    <w:p>
      <w:pPr>
        <w:pStyle w:val="FirstParagraph"/>
      </w:pPr>
      <w:r>
        <w:drawing>
          <wp:inline>
            <wp:extent cx="5334000" cy="341492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happy-optimistic-edison/mnt/izii_app/plan/diagrams/fig2_data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4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Figure 2 — Data flow showing the aggregation event.</w:t>
      </w:r>
    </w:p>
    <w:p>
      <w:pPr>
        <w:pStyle w:val="BodyText"/>
      </w:pPr>
      <w:r>
        <w:t xml:space="preserve">The dashed return path is the commercial value of this proposal: given a container</w:t>
      </w:r>
      <w:r>
        <w:t xml:space="preserve"> </w:t>
      </w:r>
      <w:r>
        <w:t xml:space="preserve">number, the system resolves the full set of contributing grow rooms, crews and harvest</w:t>
      </w:r>
      <w:r>
        <w:t xml:space="preserve"> </w:t>
      </w:r>
      <w:r>
        <w:t xml:space="preserve">dates in seconds rather than hours.</w:t>
      </w:r>
    </w:p>
    <w:p>
      <w:pPr>
        <w:pStyle w:val="Heading3"/>
      </w:pPr>
      <w:bookmarkStart w:id="42" w:name="data-model-erd"/>
      <w:r>
        <w:t xml:space="preserve">5.3 Data model (ERD)</w:t>
      </w:r>
      <w:bookmarkEnd w:id="42"/>
    </w:p>
    <w:p>
      <w:pPr>
        <w:pStyle w:val="FirstParagraph"/>
      </w:pPr>
      <w:r>
        <w:drawing>
          <wp:inline>
            <wp:extent cx="5334000" cy="376471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happy-optimistic-edison/mnt/izii_app/plan/diagrams/fig3_er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4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Figure 3 — Entity relationship diagram.</w:t>
      </w:r>
    </w:p>
    <w:p>
      <w:pPr>
        <w:pStyle w:val="BodyText"/>
      </w:pPr>
      <w:r>
        <w:t xml:space="preserve">The critical addition is the single foreign key</w:t>
      </w:r>
      <w:r>
        <w:t xml:space="preserve"> </w:t>
      </w:r>
      <w:r>
        <w:rPr>
          <w:rStyle w:val="VerbatimChar"/>
          <w:b/>
        </w:rPr>
        <w:t xml:space="preserve">BOX.pallet_sscc</w:t>
      </w:r>
      <w:r>
        <w:t xml:space="preserve">. Everything else</w:t>
      </w:r>
      <w:r>
        <w:t xml:space="preserve"> </w:t>
      </w:r>
      <w:r>
        <w:t xml:space="preserve">either already exists or is conventional warehouse data. This is worth emphasising in</w:t>
      </w:r>
      <w:r>
        <w:t xml:space="preserve"> </w:t>
      </w:r>
      <w:r>
        <w:t xml:space="preserve">commercial terms: the traceability capability Costa gains rests on</w:t>
      </w:r>
      <w:r>
        <w:t xml:space="preserve"> </w:t>
      </w:r>
      <w:r>
        <w:rPr>
          <w:b/>
        </w:rPr>
        <w:t xml:space="preserve">one new relationship</w:t>
      </w:r>
      <w:r>
        <w:t xml:space="preserve">,</w:t>
      </w:r>
      <w:r>
        <w:t xml:space="preserve"> </w:t>
      </w:r>
      <w:r>
        <w:t xml:space="preserve">not on a new system.</w:t>
      </w:r>
    </w:p>
    <w:p>
      <w:pPr>
        <w:pStyle w:val="BodyText"/>
      </w:pPr>
      <w:r>
        <w:t xml:space="preserve">Two design notes: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/>
        </w:rPr>
        <w:t xml:space="preserve">TRANSPORT_ORDER.idempotency_key</w:t>
      </w:r>
      <w:r>
        <w:t xml:space="preserve"> </w:t>
      </w:r>
      <w:r>
        <w:t xml:space="preserve">— orders received more than once must never</w:t>
      </w:r>
      <w:r>
        <w:t xml:space="preserve"> </w:t>
      </w:r>
      <w:r>
        <w:t xml:space="preserve">create duplicate movements. This mirrors the pattern already proven in Costa’s</w:t>
      </w:r>
      <w:r>
        <w:t xml:space="preserve"> </w:t>
      </w:r>
      <w:r>
        <w:t xml:space="preserve">existing synchronisation layer.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/>
        </w:rPr>
        <w:t xml:space="preserve">PALLET.status</w:t>
      </w:r>
      <w:r>
        <w:t xml:space="preserve"> </w:t>
      </w:r>
      <w:r>
        <w:t xml:space="preserve">follows a controlled state model:</w:t>
      </w:r>
      <w:r>
        <w:t xml:space="preserve"> </w:t>
      </w:r>
      <w:r>
        <w:rPr>
          <w:rStyle w:val="VerbatimChar"/>
        </w:rPr>
        <w:t xml:space="preserve">building → wrapped → weighed →   stored → allocated → picked → dispatched</w:t>
      </w:r>
      <w:r>
        <w:t xml:space="preserve">. Status transitions are the audit trail.</w:t>
      </w:r>
    </w:p>
    <w:p>
      <w:pPr>
        <w:pStyle w:val="Heading3"/>
      </w:pPr>
      <w:bookmarkStart w:id="44" w:name="pallet-lifecycle-sequence"/>
      <w:r>
        <w:t xml:space="preserve">5.4 Pallet lifecycle sequence</w:t>
      </w:r>
      <w:bookmarkEnd w:id="44"/>
    </w:p>
    <w:p>
      <w:pPr>
        <w:pStyle w:val="FirstParagraph"/>
      </w:pPr>
      <w:r>
        <w:drawing>
          <wp:inline>
            <wp:extent cx="5334000" cy="356190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happy-optimistic-edison/mnt/izii_app/plan/diagrams/fig4_sequenc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1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Figure 4 — Pallet lifecycle sequence, Option A.</w:t>
      </w:r>
    </w:p>
    <w:p>
      <w:pPr>
        <w:pStyle w:val="BodyText"/>
      </w:pPr>
      <w:r>
        <w:t xml:space="preserve">Step 4 is the aggregation event. In</w:t>
      </w:r>
      <w:r>
        <w:t xml:space="preserve"> </w:t>
      </w:r>
      <w:r>
        <w:rPr>
          <w:b/>
        </w:rPr>
        <w:t xml:space="preserve">Option A</w:t>
      </w:r>
      <w:r>
        <w:t xml:space="preserve"> </w:t>
      </w:r>
      <w:r>
        <w:t xml:space="preserve">it is a handheld scan performed by the</w:t>
      </w:r>
      <w:r>
        <w:t xml:space="preserve"> </w:t>
      </w:r>
      <w:r>
        <w:t xml:space="preserve">operator; in</w:t>
      </w:r>
      <w:r>
        <w:t xml:space="preserve"> </w:t>
      </w:r>
      <w:r>
        <w:rPr>
          <w:b/>
        </w:rPr>
        <w:t xml:space="preserve">Option B</w:t>
      </w:r>
      <w:r>
        <w:t xml:space="preserve"> </w:t>
      </w:r>
      <w:r>
        <w:t xml:space="preserve">the identical data is captured automatically at the palletising</w:t>
      </w:r>
      <w:r>
        <w:t xml:space="preserve"> </w:t>
      </w:r>
      <w:r>
        <w:t xml:space="preserve">cell with no operator action. The data model does not change between options — only the</w:t>
      </w:r>
      <w:r>
        <w:t xml:space="preserve"> </w:t>
      </w:r>
      <w:r>
        <w:t xml:space="preserve">capture mechanism — which is why Option A is not discarded on upgrade.</w:t>
      </w:r>
    </w:p>
    <w:p>
      <w:pPr>
        <w:pStyle w:val="BodyText"/>
      </w:pPr>
      <w:r>
        <w:rPr>
          <w:b/>
        </w:rPr>
        <w:t xml:space="preserve">FEFO note:</w:t>
      </w:r>
      <w:r>
        <w:t xml:space="preserve"> </w:t>
      </w:r>
      <w:r>
        <w:t xml:space="preserve">pick lists are sequenced</w:t>
      </w:r>
      <w:r>
        <w:t xml:space="preserve"> </w:t>
      </w:r>
      <w:r>
        <w:rPr>
          <w:i/>
        </w:rPr>
        <w:t xml:space="preserve">first-expired-first-out</w:t>
      </w:r>
      <w:r>
        <w:t xml:space="preserve"> </w:t>
      </w:r>
      <w:r>
        <w:t xml:space="preserve">by pallet build</w:t>
      </w:r>
      <w:r>
        <w:t xml:space="preserve"> </w:t>
      </w:r>
      <w:r>
        <w:t xml:space="preserve">timestamp, not by location convenience. Given a 14–20 day shelf life at 1 °C, this is the</w:t>
      </w:r>
      <w:r>
        <w:t xml:space="preserve"> </w:t>
      </w:r>
      <w:r>
        <w:t xml:space="preserve">single most effective software control over product wastage.</w:t>
      </w:r>
    </w:p>
    <w:p>
      <w:pPr>
        <w:pStyle w:val="Heading3"/>
      </w:pPr>
      <w:bookmarkStart w:id="46" w:name="technology-stack-and-interfaces"/>
      <w:r>
        <w:t xml:space="preserve">5.5 Technology stack and interfaces</w:t>
      </w:r>
      <w:bookmarkEnd w:id="46"/>
    </w:p>
    <w:tbl>
      <w:tblPr>
        <w:tblStyle w:val="Table"/>
        <w:tblW w:type="pct" w:w="4999.999999999999"/>
        <w:tblLook w:firstRow="1"/>
      </w:tblPr>
      <w:tblGrid>
        <w:gridCol w:w="1630"/>
        <w:gridCol w:w="3028"/>
        <w:gridCol w:w="326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p>
            <w:pPr>
              <w:pStyle w:val="Compact"/>
              <w:jc w:val="left"/>
            </w:pPr>
            <w:r>
              <w:t xml:space="preserve">iZiiApp platform (existing)</w:t>
            </w:r>
          </w:p>
        </w:tc>
        <w:tc>
          <w:p>
            <w:pPr>
              <w:pStyle w:val="Compact"/>
              <w:jc w:val="left"/>
            </w:pPr>
            <w:r>
              <w:t xml:space="preserve">No new platform introduced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REST/JSON over HTTPS</w:t>
            </w:r>
          </w:p>
        </w:tc>
        <w:tc>
          <w:p>
            <w:pPr>
              <w:pStyle w:val="Compact"/>
              <w:jc w:val="left"/>
            </w:pPr>
            <w:r>
              <w:t xml:space="preserve">Idempotent order endpoints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</w:t>
            </w:r>
          </w:p>
        </w:tc>
        <w:tc>
          <w:p>
            <w:pPr>
              <w:pStyle w:val="Compact"/>
              <w:jc w:val="left"/>
            </w:pPr>
            <w:r>
              <w:t xml:space="preserve">WebSocket + outbound webhooks</w:t>
            </w:r>
          </w:p>
        </w:tc>
        <w:tc>
          <w:p>
            <w:pPr>
              <w:pStyle w:val="Compact"/>
              <w:jc w:val="left"/>
            </w:pPr>
            <w:r>
              <w:t xml:space="preserve">Dashboard and terminal updates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Pallet identification</w:t>
            </w:r>
          </w:p>
        </w:tc>
        <w:tc>
          <w:p>
            <w:pPr>
              <w:pStyle w:val="Compact"/>
              <w:jc w:val="left"/>
            </w:pPr>
            <w:r>
              <w:t xml:space="preserve">UHF RFID (AS/NZS-compliant band)</w:t>
            </w:r>
          </w:p>
        </w:tc>
        <w:tc>
          <w:p>
            <w:pPr>
              <w:pStyle w:val="Compact"/>
              <w:jc w:val="left"/>
            </w:pPr>
            <w:r>
              <w:t xml:space="preserve">See Section 8.3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Labelling</w:t>
            </w:r>
          </w:p>
        </w:tc>
        <w:tc>
          <w:p>
            <w:pPr>
              <w:pStyle w:val="Compact"/>
              <w:jc w:val="left"/>
            </w:pPr>
            <w:r>
              <w:t xml:space="preserve">GS1 SSCC, print &amp; apply</w:t>
            </w:r>
          </w:p>
        </w:tc>
        <w:tc>
          <w:p>
            <w:pPr>
              <w:pStyle w:val="Compact"/>
              <w:jc w:val="left"/>
            </w:pPr>
            <w:r>
              <w:t xml:space="preserve">Supermarket-compatible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Box identification</w:t>
            </w:r>
          </w:p>
        </w:tc>
        <w:tc>
          <w:p>
            <w:pPr>
              <w:pStyle w:val="Compact"/>
              <w:jc w:val="left"/>
            </w:pPr>
            <w:r>
              <w:t xml:space="preserve">Existing barcode symbology</w:t>
            </w:r>
          </w:p>
        </w:tc>
        <w:tc>
          <w:p>
            <w:pPr>
              <w:pStyle w:val="Compact"/>
              <w:jc w:val="left"/>
            </w:pPr>
            <w:r>
              <w:t xml:space="preserve">Reused unchanged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Device connectivity</w:t>
            </w:r>
          </w:p>
        </w:tc>
        <w:tc>
          <w:p>
            <w:pPr>
              <w:pStyle w:val="Compact"/>
              <w:jc w:val="left"/>
            </w:pPr>
            <w:r>
              <w:t xml:space="preserve">Industrial Wi-Fi / wired Ethernet</w:t>
            </w:r>
          </w:p>
        </w:tc>
        <w:tc>
          <w:p>
            <w:pPr>
              <w:pStyle w:val="Compact"/>
              <w:jc w:val="left"/>
            </w:pPr>
            <w:r>
              <w:t xml:space="preserve">Wireless never in a control or safety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ERP integration</w:t>
            </w:r>
          </w:p>
        </w:tc>
        <w:tc>
          <w:p>
            <w:pPr>
              <w:pStyle w:val="Compact"/>
              <w:jc w:val="left"/>
            </w:pPr>
            <w:r>
              <w:t xml:space="preserve">REST or file-based, to suit Costa’s ERP</w:t>
            </w:r>
          </w:p>
        </w:tc>
        <w:tc>
          <w:p>
            <w:pPr>
              <w:pStyle w:val="Compact"/>
              <w:jc w:val="left"/>
            </w:pPr>
            <w:r>
              <w:t xml:space="preserve">Confirmed at survey</w:t>
            </w:r>
          </w:p>
        </w:tc>
      </w:tr>
    </w:tbl>
    <w:p>
      <w:pPr>
        <w:pStyle w:val="BlockText"/>
      </w:pPr>
      <w:r>
        <w:rPr>
          <w:b/>
        </w:rPr>
        <w:t xml:space="preserve">Architectural constraint retained throughout:</w:t>
      </w:r>
      <w:r>
        <w:t xml:space="preserve"> </w:t>
      </w:r>
      <w:r>
        <w:t xml:space="preserve">the WMS/WCS performs</w:t>
      </w:r>
      <w:r>
        <w:t xml:space="preserve"> </w:t>
      </w:r>
      <w:r>
        <w:rPr>
          <w:b/>
        </w:rPr>
        <w:t xml:space="preserve">no safety</w:t>
      </w:r>
      <w:r>
        <w:rPr>
          <w:b/>
        </w:rPr>
        <w:t xml:space="preserve"> </w:t>
      </w:r>
      <w:r>
        <w:rPr>
          <w:b/>
        </w:rPr>
        <w:t xml:space="preserve">function</w:t>
      </w:r>
      <w:r>
        <w:t xml:space="preserve">. All machinery safety is delivered by independent certified hardware to</w:t>
      </w:r>
      <w:r>
        <w:t xml:space="preserve"> </w:t>
      </w:r>
      <w:r>
        <w:t xml:space="preserve">AS/NZS 4024. This boundary is maintained in every phase — for engineering reasons, and</w:t>
      </w:r>
      <w:r>
        <w:t xml:space="preserve"> </w:t>
      </w:r>
      <w:r>
        <w:t xml:space="preserve">because it keeps responsibility under the WHS Act unambiguous.</w:t>
      </w:r>
    </w:p>
    <w:p>
      <w:r>
        <w:br w:type="page"/>
      </w:r>
    </w:p>
    <w:p>
      <w:pPr>
        <w:pStyle w:val="Heading2"/>
      </w:pPr>
      <w:bookmarkStart w:id="47" w:name="automated-palletising-system-design"/>
      <w:r>
        <w:t xml:space="preserve">6. AUTOMATED PALLETISING SYSTEM DESIGN</w:t>
      </w:r>
      <w:bookmarkEnd w:id="47"/>
    </w:p>
    <w:p>
      <w:pPr>
        <w:pStyle w:val="Heading3"/>
      </w:pPr>
      <w:bookmarkStart w:id="48" w:name="design-requirements"/>
      <w:r>
        <w:t xml:space="preserve">6.1 Design requirements</w:t>
      </w:r>
      <w:bookmarkEnd w:id="48"/>
    </w:p>
    <w:tbl>
      <w:tblPr>
        <w:tblStyle w:val="Table"/>
        <w:tblW w:type="pct" w:w="5000.0"/>
        <w:tblLook w:firstRow="1"/>
      </w:tblPr>
      <w:tblGrid>
        <w:gridCol w:w="1514"/>
        <w:gridCol w:w="64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15,000 boxes/day (M1 + M2)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Box</w:t>
            </w:r>
          </w:p>
        </w:tc>
        <w:tc>
          <w:p>
            <w:pPr>
              <w:pStyle w:val="Compact"/>
              <w:jc w:val="left"/>
            </w:pPr>
            <w:r>
              <w:t xml:space="preserve">~400 × 300 × 130 mm,</w:t>
            </w:r>
            <w:r>
              <w:t xml:space="preserve"> </w:t>
            </w:r>
            <w:r>
              <w:rPr>
                <w:b/>
              </w:rPr>
              <w:t xml:space="preserve">open-top vented tray</w:t>
            </w:r>
            <w:r>
              <w:t xml:space="preserve">, 4 kg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SKUs</w:t>
            </w:r>
          </w:p>
        </w:tc>
        <w:tc>
          <w:p>
            <w:pPr>
              <w:pStyle w:val="Compact"/>
              <w:jc w:val="left"/>
            </w:pPr>
            <w:r>
              <w:t xml:space="preserve">12 combinations;</w:t>
            </w:r>
            <w:r>
              <w:t xml:space="preserve"> </w:t>
            </w:r>
            <w:r>
              <w:rPr>
                <w:b/>
              </w:rPr>
              <w:t xml:space="preserve">4–6 running concurrently</w:t>
            </w:r>
            <w:r>
              <w:t xml:space="preserve"> </w:t>
            </w:r>
            <w:r>
              <w:t xml:space="preserve">per shift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The two box types</w:t>
            </w:r>
            <w:r>
              <w:t xml:space="preserve"> </w:t>
            </w:r>
            <w:r>
              <w:rPr>
                <w:b/>
              </w:rPr>
              <w:t xml:space="preserve">must never be mixed</w:t>
            </w:r>
            <w:r>
              <w:t xml:space="preserve"> </w:t>
            </w:r>
            <w:r>
              <w:t xml:space="preserve">on one pallet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Pallet</w:t>
            </w:r>
          </w:p>
        </w:tc>
        <w:tc>
          <w:p>
            <w:pPr>
              <w:pStyle w:val="Compact"/>
              <w:jc w:val="left"/>
            </w:pPr>
            <w:r>
              <w:t xml:space="preserve">Australian Standard 1165 × 1165 mm, 8 boxes/layer × 9 layers = 72 boxes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t xml:space="preserve">20 – 25 °C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Traceability</w:t>
            </w:r>
          </w:p>
        </w:tc>
        <w:tc>
          <w:p>
            <w:pPr>
              <w:pStyle w:val="Compact"/>
              <w:jc w:val="left"/>
            </w:pPr>
            <w:r>
              <w:t xml:space="preserve">Record</w:t>
            </w:r>
            <w:r>
              <w:t xml:space="preserve"> </w:t>
            </w:r>
            <w:r>
              <w:rPr>
                <w:b/>
              </w:rPr>
              <w:t xml:space="preserve">every box</w:t>
            </w:r>
            <w:r>
              <w:t xml:space="preserve"> </w:t>
            </w:r>
            <w:r>
              <w:t xml:space="preserve">against its pallet</w:t>
            </w:r>
          </w:p>
        </w:tc>
      </w:tr>
    </w:tbl>
    <w:p>
      <w:pPr>
        <w:pStyle w:val="Heading3"/>
      </w:pPr>
      <w:bookmarkStart w:id="49" w:name="X4dd87270123d913457d2c9a552c57958b248403"/>
      <w:r>
        <w:t xml:space="preserve">6.2 Throughput — and why robotic rather than layer palletising</w:t>
      </w:r>
      <w:bookmarkEnd w:id="49"/>
    </w:p>
    <w:tbl>
      <w:tblPr>
        <w:tblStyle w:val="Table"/>
        <w:tblW w:type="pct" w:w="5000.0"/>
        <w:tblLook w:firstRow="1"/>
      </w:tblPr>
      <w:tblGrid>
        <w:gridCol w:w="2562"/>
        <w:gridCol w:w="1630"/>
        <w:gridCol w:w="1863"/>
        <w:gridCol w:w="186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Boxes/min per machine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Cycles/min (single pick)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Cycles/min (double pick)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machine serving M1+M2, 12 h</w:t>
            </w:r>
          </w:p>
        </w:tc>
        <w:tc>
          <w:p>
            <w:pPr>
              <w:pStyle w:val="Compact"/>
              <w:jc w:val="left"/>
            </w:pPr>
            <w:r>
              <w:t xml:space="preserve">20.8</w:t>
            </w:r>
          </w:p>
        </w:tc>
        <w:tc>
          <w:p>
            <w:pPr>
              <w:pStyle w:val="Compact"/>
              <w:jc w:val="left"/>
            </w:pPr>
            <w:r>
              <w:t xml:space="preserve">20.8</w:t>
            </w:r>
          </w:p>
        </w:tc>
        <w:tc>
          <w:p>
            <w:pPr>
              <w:pStyle w:val="Compact"/>
              <w:jc w:val="left"/>
            </w:pPr>
            <w:r>
              <w:t xml:space="preserve">10.4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 machines (one per plant), 12 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10.4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10.4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machines, 8 h</w:t>
            </w:r>
          </w:p>
        </w:tc>
        <w:tc>
          <w:p>
            <w:pPr>
              <w:pStyle w:val="Compact"/>
              <w:jc w:val="left"/>
            </w:pPr>
            <w:r>
              <w:t xml:space="preserve">15.6</w:t>
            </w:r>
          </w:p>
        </w:tc>
        <w:tc>
          <w:p>
            <w:pPr>
              <w:pStyle w:val="Compact"/>
              <w:jc w:val="left"/>
            </w:pPr>
            <w:r>
              <w:t xml:space="preserve">15.6</w:t>
            </w:r>
          </w:p>
        </w:tc>
        <w:tc>
          <w:p>
            <w:pPr>
              <w:pStyle w:val="Compact"/>
              <w:jc w:val="left"/>
            </w:pPr>
            <w:r>
              <w:t xml:space="preserve">7.8</w:t>
            </w:r>
          </w:p>
        </w:tc>
      </w:tr>
    </w:tbl>
    <w:p>
      <w:pPr>
        <w:pStyle w:val="BodyText"/>
      </w:pPr>
      <w:r>
        <w:t xml:space="preserve">Reference capacities:</w:t>
      </w:r>
    </w:p>
    <w:tbl>
      <w:tblPr>
        <w:tblStyle w:val="Table"/>
        <w:tblW w:type="pct" w:w="5000.0"/>
        <w:tblLook w:firstRow="1"/>
      </w:tblPr>
      <w:tblGrid>
        <w:gridCol w:w="1863"/>
        <w:gridCol w:w="1514"/>
        <w:gridCol w:w="454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Machine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Suitable?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palletiser</w:t>
            </w:r>
          </w:p>
        </w:tc>
        <w:tc>
          <w:p>
            <w:pPr>
              <w:pStyle w:val="Compact"/>
              <w:jc w:val="left"/>
            </w:pPr>
            <w:r>
              <w:t xml:space="preserve">60–120 cases/min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</w:t>
            </w:r>
            <w:r>
              <w:t xml:space="preserve"> </w:t>
            </w:r>
            <w:r>
              <w:t xml:space="preserve">— very fast but</w:t>
            </w:r>
            <w:r>
              <w:t xml:space="preserve"> </w:t>
            </w:r>
            <w:r>
              <w:rPr>
                <w:b/>
              </w:rPr>
              <w:t xml:space="preserve">slow to change SKU</w:t>
            </w:r>
            <w:r>
              <w:t xml:space="preserve">; unsuitable for 12 SKUs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Industrial 4-axis robot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20–30 cycles/min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 — correct selection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Collaborative robot</w:t>
            </w:r>
          </w:p>
        </w:tc>
        <w:tc>
          <w:p>
            <w:pPr>
              <w:pStyle w:val="Compact"/>
              <w:jc w:val="left"/>
            </w:pPr>
            <w:r>
              <w:t xml:space="preserve">5–9 cycles/min</w:t>
            </w:r>
          </w:p>
        </w:tc>
        <w:tc>
          <w:p>
            <w:pPr>
              <w:pStyle w:val="Compact"/>
              <w:jc w:val="left"/>
            </w:pPr>
            <w:r>
              <w:t xml:space="preserve">Marginal — only viable at 2 machines × 20 hours</w:t>
            </w:r>
          </w:p>
        </w:tc>
      </w:tr>
    </w:tbl>
    <w:p>
      <w:pPr>
        <w:pStyle w:val="BlockText"/>
      </w:pPr>
      <w:r>
        <w:rPr>
          <w:b/>
        </w:rPr>
        <w:t xml:space="preserve">Conclusion: two robot cells (one per plant) operate at 10.4 cycles/min — roughly</w:t>
      </w:r>
      <w:r>
        <w:rPr>
          <w:b/>
        </w:rPr>
        <w:t xml:space="preserve"> </w:t>
      </w:r>
      <w:r>
        <w:rPr>
          <w:b/>
        </w:rPr>
        <w:t xml:space="preserve">42% of rated robot capacity, a design margin of 2.4×.</w:t>
      </w:r>
      <w:r>
        <w:t xml:space="preserve"> </w:t>
      </w:r>
      <w:r>
        <w:t xml:space="preserve">Practically, this means that</w:t>
      </w:r>
      <w:r>
        <w:t xml:space="preserve"> </w:t>
      </w:r>
      <w:r>
        <w:t xml:space="preserve">if Costa increases output beyond 60 tonnes/day, or compresses operating hours, the</w:t>
      </w:r>
      <w:r>
        <w:t xml:space="preserve"> </w:t>
      </w:r>
      <w:r>
        <w:t xml:space="preserve">equipment still meets demand without further capital investment.</w:t>
      </w:r>
    </w:p>
    <w:p>
      <w:pPr>
        <w:pStyle w:val="Heading3"/>
      </w:pPr>
      <w:bookmarkStart w:id="50" w:name="X65e9b8035b3542f19c255c7b88050b0b3e88ae7"/>
      <w:r>
        <w:t xml:space="preserve">6.3 Gripper design for open-top vented trays — the critical technical point</w:t>
      </w:r>
      <w:bookmarkEnd w:id="50"/>
    </w:p>
    <w:p>
      <w:pPr>
        <w:pStyle w:val="FirstParagraph"/>
      </w:pPr>
      <w:r>
        <w:t xml:space="preserve">The boxes are</w:t>
      </w:r>
      <w:r>
        <w:t xml:space="preserve"> </w:t>
      </w:r>
      <w:r>
        <w:rPr>
          <w:b/>
        </w:rPr>
        <w:t xml:space="preserve">open-top vented trays</w:t>
      </w:r>
      <w:r>
        <w:t xml:space="preserve">. This immediately eliminates the most common</w:t>
      </w:r>
      <w:r>
        <w:t xml:space="preserve"> </w:t>
      </w:r>
      <w:r>
        <w:t xml:space="preserve">end-of-arm tooling:</w:t>
      </w:r>
    </w:p>
    <w:tbl>
      <w:tblPr>
        <w:tblStyle w:val="Table"/>
        <w:tblW w:type="pct" w:w="5000.0"/>
        <w:tblLook w:firstRow="1"/>
      </w:tblPr>
      <w:tblGrid>
        <w:gridCol w:w="2795"/>
        <w:gridCol w:w="1514"/>
        <w:gridCol w:w="361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Gripper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Viable?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Vacuum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Open top provides no sealing surface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Side clamp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Requires clearance between boxes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Fork / blade</w:t>
            </w:r>
          </w:p>
        </w:tc>
        <w:tc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p>
            <w:pPr>
              <w:pStyle w:val="Compact"/>
              <w:jc w:val="left"/>
            </w:pPr>
            <w:r>
              <w:t xml:space="preserve">Requires clearance beneath the tray base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Side clamp + bottom support plate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Recommended</w:t>
            </w:r>
          </w:p>
        </w:tc>
        <w:tc>
          <w:p>
            <w:pPr>
              <w:pStyle w:val="Compact"/>
              <w:jc w:val="left"/>
            </w:pPr>
            <w:r>
              <w:t xml:space="preserve">Most secure for open trays; prevents drop-through</w:t>
            </w:r>
          </w:p>
        </w:tc>
      </w:tr>
    </w:tbl>
    <w:p>
      <w:pPr>
        <w:pStyle w:val="BodyText"/>
      </w:pPr>
      <w:r>
        <w:rPr>
          <w:b/>
        </w:rPr>
        <w:t xml:space="preserve">A favourable finding from the pattern calculation:</w:t>
      </w:r>
      <w:r>
        <w:t xml:space="preserve"> </w:t>
      </w:r>
      <w:r>
        <w:t xml:space="preserve">the 20 mm clearance required by a</w:t>
      </w:r>
      <w:r>
        <w:t xml:space="preserve"> </w:t>
      </w:r>
      <w:r>
        <w:t xml:space="preserve">clamp gripper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reduce boxes per layer — still 8, identical to a tight pattern.</w:t>
      </w:r>
      <w:r>
        <w:t xml:space="preserve"> </w:t>
      </w:r>
      <w:r>
        <w:t xml:space="preserve">Only beyond 25 mm does it fall to 7 per layer (a 12.5% capacity loss). Therefore:</w:t>
      </w:r>
    </w:p>
    <w:p>
      <w:pPr>
        <w:pStyle w:val="BlockText"/>
      </w:pPr>
      <w:r>
        <w:rPr>
          <w:b/>
        </w:rPr>
        <w:t xml:space="preserve">Design constraint: the gripper must operate within a clearance of ≤ 20 mm.</w:t>
      </w:r>
      <w:r>
        <w:t xml:space="preserve"> </w:t>
      </w:r>
      <w:r>
        <w:t xml:space="preserve">This figure must appear in the equipment specification at tender. It is not negotiable.</w:t>
      </w:r>
    </w:p>
    <w:p>
      <w:pPr>
        <w:pStyle w:val="FirstParagraph"/>
      </w:pPr>
      <w:r>
        <w:rPr>
          <w:b/>
        </w:rPr>
        <w:t xml:space="preserve">Three constraints observed from the product itself:</w:t>
      </w:r>
    </w:p>
    <w:p>
      <w:pPr>
        <w:numPr>
          <w:ilvl w:val="0"/>
          <w:numId w:val="1011"/>
        </w:numPr>
        <w:pStyle w:val="Compact"/>
      </w:pPr>
      <w:r>
        <w:t xml:space="preserve">Carton walls are thin and flexible — clamping force must be distributed across a</w:t>
      </w:r>
      <w:r>
        <w:t xml:space="preserve"> </w:t>
      </w:r>
      <w:r>
        <w:t xml:space="preserve">broad contact area to avoid crushing the tray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Mushrooms frequently sit proud of the tray rim</w:t>
      </w:r>
      <w:r>
        <w:t xml:space="preserve"> </w:t>
      </w:r>
      <w:r>
        <w:t xml:space="preserve">— the gripper must approach from</w:t>
      </w:r>
      <w:r>
        <w:t xml:space="preserve"> </w:t>
      </w:r>
      <w:r>
        <w:t xml:space="preserve">the sides only, with no component passing over the product</w:t>
      </w:r>
    </w:p>
    <w:p>
      <w:pPr>
        <w:numPr>
          <w:ilvl w:val="0"/>
          <w:numId w:val="1011"/>
        </w:numPr>
        <w:pStyle w:val="Compact"/>
      </w:pPr>
      <w:r>
        <w:t xml:space="preserve">Handhold cut-outs in the tray sides can be exploited as location features for gripper</w:t>
      </w:r>
      <w:r>
        <w:t xml:space="preserve"> </w:t>
      </w:r>
      <w:r>
        <w:t xml:space="preserve">fingers, improving positional repeatability</w:t>
      </w:r>
    </w:p>
    <w:p>
      <w:pPr>
        <w:pStyle w:val="FirstParagraph"/>
      </w:pPr>
      <w:r>
        <w:rPr>
          <w:b/>
        </w:rPr>
        <w:t xml:space="preserve">Consequence for pallet stability.</w:t>
      </w:r>
      <w:r>
        <w:t xml:space="preserve"> </w:t>
      </w:r>
      <w:r>
        <w:t xml:space="preserve">A 20 mm gap between boxes produces a less</w:t>
      </w:r>
      <w:r>
        <w:t xml:space="preserve"> </w:t>
      </w:r>
      <w:r>
        <w:t xml:space="preserve">interlocked load than a tight pattern. This is compensated by:</w:t>
      </w:r>
    </w:p>
    <w:p>
      <w:pPr>
        <w:numPr>
          <w:ilvl w:val="0"/>
          <w:numId w:val="1012"/>
        </w:numPr>
        <w:pStyle w:val="Compact"/>
      </w:pPr>
      <w:r>
        <w:t xml:space="preserve">Stretch wrapping with calibrated film tension (already in Costa’s process)</w:t>
      </w:r>
    </w:p>
    <w:p>
      <w:pPr>
        <w:numPr>
          <w:ilvl w:val="0"/>
          <w:numId w:val="1012"/>
        </w:numPr>
        <w:pStyle w:val="Compact"/>
      </w:pPr>
      <w:r>
        <w:t xml:space="preserve">Interlayer pads — to be evaluated during sample trials</w:t>
      </w:r>
    </w:p>
    <w:p>
      <w:pPr>
        <w:numPr>
          <w:ilvl w:val="0"/>
          <w:numId w:val="1012"/>
        </w:numPr>
        <w:pStyle w:val="Compact"/>
      </w:pPr>
      <w:r>
        <w:t xml:space="preserve">Alternating layer orientation to improve interlock</w:t>
      </w:r>
    </w:p>
    <w:p>
      <w:pPr>
        <w:pStyle w:val="Heading3"/>
      </w:pPr>
      <w:bookmarkStart w:id="51" w:name="cell-layout"/>
      <w:r>
        <w:t xml:space="preserve">6.4 Cell layout</w:t>
      </w:r>
      <w:bookmarkEnd w:id="51"/>
    </w:p>
    <w:p>
      <w:pPr>
        <w:pStyle w:val="FirstParagraph"/>
      </w:pPr>
      <w:r>
        <w:t xml:space="preserve">With 4–6 concurrent SKUs, the number of pallet build positions governs the layout:</w:t>
      </w:r>
    </w:p>
    <w:tbl>
      <w:tblPr>
        <w:tblStyle w:val="Table"/>
        <w:tblW w:type="pct" w:w="5000.0"/>
        <w:tblLook w:firstRow="1"/>
      </w:tblPr>
      <w:tblGrid>
        <w:gridCol w:w="1514"/>
        <w:gridCol w:w="1514"/>
        <w:gridCol w:w="1747"/>
        <w:gridCol w:w="314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Build positions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 required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Robot reach required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Feasible?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positions</w:t>
            </w:r>
          </w:p>
        </w:tc>
        <w:tc>
          <w:p>
            <w:pPr>
              <w:pStyle w:val="Compact"/>
              <w:jc w:val="left"/>
            </w:pPr>
            <w:r>
              <w:t xml:space="preserve">5.3 m</w:t>
            </w:r>
          </w:p>
        </w:tc>
        <w:tc>
          <w:p>
            <w:pPr>
              <w:pStyle w:val="Compact"/>
              <w:jc w:val="left"/>
            </w:pPr>
            <w:r>
              <w:t xml:space="preserve">~3.2 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</w:t>
            </w:r>
            <w:r>
              <w:t xml:space="preserve"> </w:t>
            </w:r>
            <w:r>
              <w:t xml:space="preserve">— one standard robot (3.1–3.2 m reach)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 positions</w:t>
            </w:r>
          </w:p>
        </w:tc>
        <w:tc>
          <w:p>
            <w:pPr>
              <w:pStyle w:val="Compact"/>
              <w:jc w:val="left"/>
            </w:pPr>
            <w:r>
              <w:t xml:space="preserve">8.0 m</w:t>
            </w:r>
          </w:p>
        </w:tc>
        <w:tc>
          <w:p>
            <w:pPr>
              <w:pStyle w:val="Compact"/>
              <w:jc w:val="left"/>
            </w:pPr>
            <w:r>
              <w:t xml:space="preserve">~4.6 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</w:t>
            </w:r>
            <w:r>
              <w:t xml:space="preserve"> </w:t>
            </w:r>
            <w:r>
              <w:t xml:space="preserve">— exceeds standard palletising robot reach</w:t>
            </w:r>
          </w:p>
        </w:tc>
      </w:tr>
    </w:tbl>
    <w:p>
      <w:pPr>
        <w:pStyle w:val="BodyText"/>
      </w:pPr>
      <w:r>
        <w:rPr>
          <w:b/>
        </w:rPr>
        <w:t xml:space="preserve">Recommended solution — 4 active positions served by roller conveyor:</w:t>
      </w:r>
    </w:p>
    <w:p>
      <w:pPr>
        <w:pStyle w:val="SourceCode"/>
      </w:pPr>
      <w:r>
        <w:rPr>
          <w:rStyle w:val="VerbatimChar"/>
        </w:rPr>
        <w:t xml:space="preserve">              [ Box infeed conveyor ]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      +---------v---------+</w:t>
      </w:r>
      <w:r>
        <w:br/>
      </w:r>
      <w:r>
        <w:rPr>
          <w:rStyle w:val="VerbatimChar"/>
        </w:rPr>
        <w:t xml:space="preserve">              |  Barcode reader   |   &lt;- traceability capture point</w:t>
      </w:r>
      <w:r>
        <w:br/>
      </w:r>
      <w:r>
        <w:rPr>
          <w:rStyle w:val="VerbatimChar"/>
        </w:rPr>
        <w:t xml:space="preserve">              +---------+---------+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     +----------v----------+</w:t>
      </w:r>
      <w:r>
        <w:br/>
      </w:r>
      <w:r>
        <w:rPr>
          <w:rStyle w:val="VerbatimChar"/>
        </w:rPr>
        <w:t xml:space="preserve">             |  4-AXIS ROBOT       |</w:t>
      </w:r>
      <w:r>
        <w:br/>
      </w:r>
      <w:r>
        <w:rPr>
          <w:rStyle w:val="VerbatimChar"/>
        </w:rPr>
        <w:t xml:space="preserve">             +--+-----+-----+---+--+</w:t>
      </w:r>
      <w:r>
        <w:br/>
      </w:r>
      <w:r>
        <w:rPr>
          <w:rStyle w:val="VerbatimChar"/>
        </w:rPr>
        <w:t xml:space="preserve">                |     |     |   |</w:t>
      </w:r>
      <w:r>
        <w:br/>
      </w:r>
      <w:r>
        <w:rPr>
          <w:rStyle w:val="VerbatimChar"/>
        </w:rPr>
        <w:t xml:space="preserve">              [P1]  [P2]  [P3] [P4]      &lt;- 4 active build positions</w:t>
      </w:r>
      <w:r>
        <w:br/>
      </w:r>
      <w:r>
        <w:rPr>
          <w:rStyle w:val="VerbatimChar"/>
        </w:rPr>
        <w:t xml:space="preserve">                |     |     |   |</w:t>
      </w:r>
      <w:r>
        <w:br/>
      </w:r>
      <w:r>
        <w:rPr>
          <w:rStyle w:val="VerbatimChar"/>
        </w:rPr>
        <w:t xml:space="preserve">            ====+=====+=====+===+====    &lt;- powered roller conveyor</w:t>
      </w:r>
      <w:r>
        <w:br/>
      </w:r>
      <w:r>
        <w:rPr>
          <w:rStyle w:val="VerbatimChar"/>
        </w:rPr>
        <w:t xml:space="preserve">                ^                   |</w:t>
      </w:r>
      <w:r>
        <w:br/>
      </w:r>
      <w:r>
        <w:rPr>
          <w:rStyle w:val="VerbatimChar"/>
        </w:rPr>
        <w:t xml:space="preserve">          empty pallets in     full pallets out -&gt; stretch wrap</w:t>
      </w:r>
      <w:r>
        <w:br/>
      </w:r>
      <w:r>
        <w:rPr>
          <w:rStyle w:val="VerbatimChar"/>
        </w:rPr>
        <w:t xml:space="preserve">                                     -&gt; weigh -&gt; SSCC label -&gt; cold store</w:t>
      </w:r>
    </w:p>
    <w:p>
      <w:pPr>
        <w:pStyle w:val="FirstParagraph"/>
      </w:pPr>
      <w:r>
        <w:t xml:space="preserve">The roller conveyor allows</w:t>
      </w:r>
      <w:r>
        <w:t xml:space="preserve"> </w:t>
      </w:r>
      <w:r>
        <w:rPr>
          <w:b/>
        </w:rPr>
        <w:t xml:space="preserve">completed pallets to exit and empty pallets to enter</w:t>
      </w:r>
      <w:r>
        <w:rPr>
          <w:b/>
        </w:rPr>
        <w:t xml:space="preserve"> </w:t>
      </w:r>
      <w:r>
        <w:rPr>
          <w:b/>
        </w:rPr>
        <w:t xml:space="preserve">automatically</w:t>
      </w:r>
      <w:r>
        <w:t xml:space="preserve">, so four positions within robot reach can serve six SKUs in rotation.</w:t>
      </w:r>
      <w:r>
        <w:t xml:space="preserve"> </w:t>
      </w:r>
      <w:r>
        <w:t xml:space="preserve">This is substantially cheaper than deploying two robots, and simpler than specifying an</w:t>
      </w:r>
      <w:r>
        <w:t xml:space="preserve"> </w:t>
      </w:r>
      <w:r>
        <w:t xml:space="preserve">extended-reach machine.</w:t>
      </w:r>
    </w:p>
    <w:p>
      <w:pPr>
        <w:pStyle w:val="Heading3"/>
      </w:pPr>
      <w:bookmarkStart w:id="52" w:name="Xc80b42d52db5a12088de19f2d3c9ffb206d42a8"/>
      <w:r>
        <w:t xml:space="preserve">6.5 Barcode integration — where two problems solve one another</w:t>
      </w:r>
      <w:bookmarkEnd w:id="52"/>
    </w:p>
    <w:p>
      <w:pPr>
        <w:pStyle w:val="FirstParagraph"/>
      </w:pPr>
      <w:r>
        <w:t xml:space="preserve">This is what distinguishes this proposal from the purchase of a standard palletiser.</w:t>
      </w:r>
    </w:p>
    <w:p>
      <w:pPr>
        <w:pStyle w:val="BodyText"/>
      </w:pPr>
      <w:r>
        <w:t xml:space="preserve">Because</w:t>
      </w:r>
      <w:r>
        <w:t xml:space="preserve"> </w:t>
      </w:r>
      <w:r>
        <w:rPr>
          <w:b/>
        </w:rPr>
        <w:t xml:space="preserve">every box already carries a barcode</w:t>
      </w:r>
      <w:r>
        <w:t xml:space="preserve"> </w:t>
      </w:r>
      <w:r>
        <w:t xml:space="preserve">encoding crew, grade and grow room, a</w:t>
      </w:r>
      <w:r>
        <w:t xml:space="preserve"> </w:t>
      </w:r>
      <w:r>
        <w:t xml:space="preserve">reader array placed immediately upstream of the pick point achieves three things at once:</w:t>
      </w:r>
    </w:p>
    <w:p>
      <w:pPr>
        <w:pStyle w:val="SourceCode"/>
      </w:pPr>
      <w:r>
        <w:rPr>
          <w:rStyle w:val="VerbatimChar"/>
        </w:rPr>
        <w:t xml:space="preserve">Box on infeed conveyor  -&gt;  Barcode read  -&gt;  System resolves SKU</w:t>
      </w:r>
      <w:r>
        <w:br/>
      </w:r>
      <w:r>
        <w:rPr>
          <w:rStyle w:val="VerbatimChar"/>
        </w:rPr>
        <w:t xml:space="preserve">                                 |</w:t>
      </w:r>
      <w:r>
        <w:br/>
      </w:r>
      <w:r>
        <w:rPr>
          <w:rStyle w:val="VerbatimChar"/>
        </w:rPr>
        <w:t xml:space="preserve">                                 +--&gt; Routing: select correct build position (P1..P4)</w:t>
      </w:r>
      <w:r>
        <w:br/>
      </w:r>
      <w:r>
        <w:rPr>
          <w:rStyle w:val="VerbatimChar"/>
        </w:rPr>
        <w:t xml:space="preserve">                                 |</w:t>
      </w:r>
      <w:r>
        <w:br/>
      </w:r>
      <w:r>
        <w:rPr>
          <w:rStyle w:val="VerbatimChar"/>
        </w:rPr>
        <w:t xml:space="preserve">                                 +--&gt; Interlock: reject wrong-SKU placement</w:t>
      </w:r>
      <w:r>
        <w:br/>
      </w:r>
      <w:r>
        <w:rPr>
          <w:rStyle w:val="VerbatimChar"/>
        </w:rPr>
        <w:t xml:space="preserve">                                 |</w:t>
      </w:r>
      <w:r>
        <w:br/>
      </w:r>
      <w:r>
        <w:rPr>
          <w:rStyle w:val="VerbatimChar"/>
        </w:rPr>
        <w:t xml:space="preserve">                                 +--&gt; Traceability: write box -&gt; pallet SSCC link</w:t>
      </w:r>
    </w:p>
    <w:p>
      <w:pPr>
        <w:pStyle w:val="FirstParagraph"/>
      </w:pPr>
      <w:r>
        <w:t xml:space="preserve">All three occur</w:t>
      </w:r>
      <w:r>
        <w:t xml:space="preserve"> </w:t>
      </w:r>
      <w:r>
        <w:rPr>
          <w:b/>
        </w:rPr>
        <w:t xml:space="preserve">with no additional operator time whatsoever</w:t>
      </w:r>
      <w:r>
        <w:t xml:space="preserve">: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Automatic sortation</w:t>
      </w:r>
      <w:r>
        <w:t xml:space="preserve"> </w:t>
      </w:r>
      <w:r>
        <w:t xml:space="preserve">— the robot places each box on the correct pallet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Mixing prevention</w:t>
      </w:r>
      <w:r>
        <w:t xml:space="preserve"> </w:t>
      </w:r>
      <w:r>
        <w:t xml:space="preserve">— the system refuses to place Box A onto a Box B pallet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Traceability capture</w:t>
      </w:r>
      <w:r>
        <w:t xml:space="preserve"> </w:t>
      </w:r>
      <w:r>
        <w:t xml:space="preserve">— the box → pallet link is created at the moment of placement</w:t>
      </w:r>
    </w:p>
    <w:p>
      <w:pPr>
        <w:pStyle w:val="FirstParagraph"/>
      </w:pPr>
      <w:r>
        <w:t xml:space="preserve">When a pallet is complete, the system prints a</w:t>
      </w:r>
      <w:r>
        <w:t xml:space="preserve"> </w:t>
      </w:r>
      <w:r>
        <w:rPr>
          <w:b/>
        </w:rPr>
        <w:t xml:space="preserve">GS1 SSCC label</w:t>
      </w:r>
      <w:r>
        <w:t xml:space="preserve"> </w:t>
      </w:r>
      <w:r>
        <w:t xml:space="preserve">carrying the full</w:t>
      </w:r>
      <w:r>
        <w:t xml:space="preserve"> </w:t>
      </w:r>
      <w:r>
        <w:t xml:space="preserve">manifest of boxes it contains. This is the resolution of Challenge (3) in Section 3.</w:t>
      </w:r>
    </w:p>
    <w:p>
      <w:pPr>
        <w:pStyle w:val="BlockText"/>
      </w:pPr>
      <w:r>
        <w:rPr>
          <w:b/>
        </w:rPr>
        <w:t xml:space="preserve">In short: the palletiser is not merely materials handling equipment — it is also the</w:t>
      </w:r>
      <w:r>
        <w:rPr>
          <w:b/>
        </w:rPr>
        <w:t xml:space="preserve"> </w:t>
      </w:r>
      <w:r>
        <w:rPr>
          <w:b/>
        </w:rPr>
        <w:t xml:space="preserve">traceability data capture device.</w:t>
      </w:r>
      <w:r>
        <w:t xml:space="preserve"> </w:t>
      </w:r>
      <w:r>
        <w:t xml:space="preserve">The marginal cost of the traceability capability is</w:t>
      </w:r>
      <w:r>
        <w:t xml:space="preserve"> </w:t>
      </w:r>
      <w:r>
        <w:t xml:space="preserve">close to zero because the barcode infrastructure already exists.</w:t>
      </w:r>
    </w:p>
    <w:p>
      <w:pPr>
        <w:pStyle w:val="FirstParagraph"/>
      </w:pPr>
      <w:r>
        <w:rPr>
          <w:b/>
        </w:rPr>
        <w:t xml:space="preserve">Technical caveat:</w:t>
      </w:r>
      <w:r>
        <w:t xml:space="preserve"> </w:t>
      </w:r>
      <w:r>
        <w:t xml:space="preserve">a</w:t>
      </w:r>
      <w:r>
        <w:t xml:space="preserve"> </w:t>
      </w:r>
      <w:r>
        <w:rPr>
          <w:b/>
        </w:rPr>
        <w:t xml:space="preserve">consistent barcode position on the box</w:t>
      </w:r>
      <w:r>
        <w:t xml:space="preserve"> </w:t>
      </w:r>
      <w:r>
        <w:t xml:space="preserve">must be agreed. If</w:t>
      </w:r>
      <w:r>
        <w:t xml:space="preserve"> </w:t>
      </w:r>
      <w:r>
        <w:t xml:space="preserve">label placement is arbitrary, a multi-angle reader array or vision system is required —</w:t>
      </w:r>
      <w:r>
        <w:t xml:space="preserve"> </w:t>
      </w:r>
      <w:r>
        <w:t xml:space="preserve">significantly more expensive and slower. This must be verified during the site survey.</w:t>
      </w:r>
    </w:p>
    <w:p>
      <w:pPr>
        <w:pStyle w:val="Heading3"/>
      </w:pPr>
      <w:bookmarkStart w:id="53" w:name="complete-line-configuration"/>
      <w:r>
        <w:t xml:space="preserve">6.6 Complete line configuration</w:t>
      </w:r>
      <w:bookmarkEnd w:id="53"/>
    </w:p>
    <w:p>
      <w:pPr>
        <w:pStyle w:val="SourceCode"/>
      </w:pPr>
      <w:r>
        <w:rPr>
          <w:rStyle w:val="VerbatimChar"/>
        </w:rPr>
        <w:t xml:space="preserve">Box packing -&gt; Accumulation conveyor -&gt; BARCODE READ -&gt; ROBOT PALLETISER (4 positions)</w:t>
      </w:r>
      <w:r>
        <w:br/>
      </w:r>
      <w:r>
        <w:rPr>
          <w:rStyle w:val="VerbatimChar"/>
        </w:rPr>
        <w:t xml:space="preserve">   -&gt; Full-pallet conveyor -&gt; Automatic stretch wrapper -&gt; CHECK-WEIGH</w:t>
      </w:r>
      <w:r>
        <w:br/>
      </w:r>
      <w:r>
        <w:rPr>
          <w:rStyle w:val="VerbatimChar"/>
        </w:rPr>
        <w:t xml:space="preserve">   -&gt; SSCC print &amp; apply -&gt; Cold store</w:t>
      </w:r>
    </w:p>
    <w:p>
      <w:pPr>
        <w:pStyle w:val="FirstParagraph"/>
      </w:pPr>
      <w:r>
        <w:t xml:space="preserve">Two notable changes against the current process: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The forklift transfer of pallets onto the scale conveyor is eliminated</w:t>
      </w:r>
      <w:r>
        <w:t xml:space="preserve"> </w:t>
      </w:r>
      <w:r>
        <w:t xml:space="preserve">— pallets</w:t>
      </w:r>
      <w:r>
        <w:t xml:space="preserve"> </w:t>
      </w:r>
      <w:r>
        <w:t xml:space="preserve">travel directly on conveyor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Weighing becomes in-line</w:t>
      </w:r>
      <w:r>
        <w:t xml:space="preserve">, rather than a discrete stop</w:t>
      </w:r>
    </w:p>
    <w:p>
      <w:pPr>
        <w:pStyle w:val="Heading3"/>
      </w:pPr>
      <w:bookmarkStart w:id="54" w:name="Xc6f5b23efa2013059501eb82f353fa19038b9c0"/>
      <w:r>
        <w:t xml:space="preserve">6.7 Ambient palletising temperature — a significant finding</w:t>
      </w:r>
      <w:bookmarkEnd w:id="54"/>
    </w:p>
    <w:p>
      <w:pPr>
        <w:pStyle w:val="FirstParagraph"/>
      </w:pPr>
      <w:r>
        <w:t xml:space="preserve">Costa has confirmed the palletising area operates at</w:t>
      </w:r>
      <w:r>
        <w:t xml:space="preserve"> </w:t>
      </w:r>
      <w:r>
        <w:rPr>
          <w:b/>
        </w:rPr>
        <w:t xml:space="preserve">20–25 °C</w:t>
      </w:r>
      <w:r>
        <w:t xml:space="preserve">. We wish to draw</w:t>
      </w:r>
      <w:r>
        <w:t xml:space="preserve"> </w:t>
      </w:r>
      <w:r>
        <w:t xml:space="preserve">particular attention to this, because it carries financial consequences that are commonly</w:t>
      </w:r>
      <w:r>
        <w:t xml:space="preserve"> </w:t>
      </w:r>
      <w:r>
        <w:t xml:space="preserve">overlooked.</w:t>
      </w:r>
    </w:p>
    <w:p>
      <w:pPr>
        <w:pStyle w:val="BodyText"/>
      </w:pPr>
      <w:r>
        <w:rPr>
          <w:b/>
        </w:rPr>
        <w:t xml:space="preserve">Consequence 1: refrigeration load increases 44%</w:t>
      </w:r>
    </w:p>
    <w:tbl>
      <w:tblPr>
        <w:tblStyle w:val="Table"/>
        <w:tblW w:type="pct" w:w="5000.0"/>
        <w:tblLook w:firstRow="1"/>
      </w:tblPr>
      <w:tblGrid>
        <w:gridCol w:w="4425"/>
        <w:gridCol w:w="349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Product temperature entering store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Product cooling load @ 12 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 °C</w:t>
            </w:r>
          </w:p>
        </w:tc>
        <w:tc>
          <w:p>
            <w:pPr>
              <w:pStyle w:val="Compact"/>
              <w:jc w:val="left"/>
            </w:pPr>
            <w:r>
              <w:t xml:space="preserve">87 kW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 °C</w:t>
            </w:r>
          </w:p>
        </w:tc>
        <w:tc>
          <w:p>
            <w:pPr>
              <w:pStyle w:val="Compact"/>
              <w:jc w:val="left"/>
            </w:pPr>
            <w:r>
              <w:t xml:space="preserve">98 kW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 °C</w:t>
            </w:r>
          </w:p>
        </w:tc>
        <w:tc>
          <w:p>
            <w:pPr>
              <w:pStyle w:val="Compact"/>
              <w:jc w:val="left"/>
            </w:pPr>
            <w:r>
              <w:t xml:space="preserve">108 kW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25 °C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125 kW</w:t>
            </w:r>
          </w:p>
        </w:tc>
      </w:tr>
    </w:tbl>
    <w:p>
      <w:pPr>
        <w:pStyle w:val="BodyText"/>
      </w:pPr>
      <w:r>
        <w:t xml:space="preserve">From 18 °C to 25 °C, product cooling load rises</w:t>
      </w:r>
      <w:r>
        <w:t xml:space="preserve"> </w:t>
      </w:r>
      <w:r>
        <w:rPr>
          <w:b/>
        </w:rPr>
        <w:t xml:space="preserve">44%</w:t>
      </w:r>
      <w:r>
        <w:t xml:space="preserve">. Where the existing cold store has</w:t>
      </w:r>
      <w:r>
        <w:t xml:space="preserve"> </w:t>
      </w:r>
      <w:r>
        <w:t xml:space="preserve">limited installed refrigeration capacity,</w:t>
      </w:r>
      <w:r>
        <w:t xml:space="preserve"> </w:t>
      </w:r>
      <w:r>
        <w:rPr>
          <w:b/>
        </w:rPr>
        <w:t xml:space="preserve">this may prove to be the genuine bottleneck —</w:t>
      </w:r>
      <w:r>
        <w:rPr>
          <w:b/>
        </w:rPr>
        <w:t xml:space="preserve"> </w:t>
      </w:r>
      <w:r>
        <w:rPr>
          <w:b/>
        </w:rPr>
        <w:t xml:space="preserve">not storage capacity</w:t>
      </w:r>
      <w:r>
        <w:t xml:space="preserve">.</w:t>
      </w:r>
    </w:p>
    <w:p>
      <w:pPr>
        <w:pStyle w:val="BodyText"/>
      </w:pPr>
      <w:r>
        <w:rPr>
          <w:b/>
        </w:rPr>
        <w:t xml:space="preserve">Consequence 2: respiration heat and shelf life</w:t>
      </w:r>
    </w:p>
    <w:p>
      <w:pPr>
        <w:pStyle w:val="BodyText"/>
      </w:pPr>
      <w:r>
        <w:t xml:space="preserve">Mushrooms are living tissue and continue to respire after harvest, generating heat. The</w:t>
      </w:r>
      <w:r>
        <w:t xml:space="preserve"> </w:t>
      </w:r>
      <w:r>
        <w:t xml:space="preserve">respiration rate rises steeply with temperature: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Temperature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Respiration heat, 60 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Relative to 2 °C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°C</w:t>
            </w:r>
          </w:p>
        </w:tc>
        <w:tc>
          <w:p>
            <w:pPr>
              <w:pStyle w:val="Compact"/>
              <w:jc w:val="left"/>
            </w:pPr>
            <w:r>
              <w:t xml:space="preserve">~1.2 kW</w:t>
            </w:r>
          </w:p>
        </w:tc>
        <w:tc>
          <w:p>
            <w:pPr>
              <w:pStyle w:val="Compact"/>
              <w:jc w:val="left"/>
            </w:pPr>
            <w:r>
              <w:t xml:space="preserve">1.0×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 °C</w:t>
            </w:r>
          </w:p>
        </w:tc>
        <w:tc>
          <w:p>
            <w:pPr>
              <w:pStyle w:val="Compact"/>
              <w:jc w:val="left"/>
            </w:pPr>
            <w:r>
              <w:t xml:space="preserve">~4.2 kW</w:t>
            </w:r>
          </w:p>
        </w:tc>
        <w:tc>
          <w:p>
            <w:pPr>
              <w:pStyle w:val="Compact"/>
              <w:jc w:val="left"/>
            </w:pPr>
            <w:r>
              <w:t xml:space="preserve">3.5×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 °C</w:t>
            </w:r>
          </w:p>
        </w:tc>
        <w:tc>
          <w:p>
            <w:pPr>
              <w:pStyle w:val="Compact"/>
              <w:jc w:val="left"/>
            </w:pPr>
            <w:r>
              <w:t xml:space="preserve">~12 kW</w:t>
            </w:r>
          </w:p>
        </w:tc>
        <w:tc>
          <w:p>
            <w:pPr>
              <w:pStyle w:val="Compact"/>
              <w:jc w:val="left"/>
            </w:pPr>
            <w:r>
              <w:t xml:space="preserve">10×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25 °C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~18 kW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15×</w:t>
            </w:r>
          </w:p>
        </w:tc>
      </w:tr>
    </w:tbl>
    <w:p>
      <w:pPr>
        <w:pStyle w:val="BodyText"/>
      </w:pPr>
      <w:r>
        <w:rPr>
          <w:i/>
        </w:rPr>
        <w:t xml:space="preserve">Respiration coefficients are indicative figures drawn from post-harvest literature and</w:t>
      </w:r>
      <w:r>
        <w:rPr>
          <w:i/>
        </w:rPr>
        <w:t xml:space="preserve"> </w:t>
      </w:r>
      <w:r>
        <w:rPr>
          <w:i/>
        </w:rPr>
        <w:t xml:space="preserve">require confirmation for Costa’s specific cultivars.</w:t>
      </w:r>
    </w:p>
    <w:p>
      <w:pPr>
        <w:pStyle w:val="BodyText"/>
      </w:pPr>
      <w:r>
        <w:t xml:space="preserve">In practical terms:</w:t>
      </w:r>
      <w:r>
        <w:t xml:space="preserve"> </w:t>
      </w:r>
      <w:r>
        <w:rPr>
          <w:b/>
        </w:rPr>
        <w:t xml:space="preserve">every minute spent at 25 °C consumes shelf life roughly 15 times</w:t>
      </w:r>
      <w:r>
        <w:rPr>
          <w:b/>
        </w:rPr>
        <w:t xml:space="preserve"> </w:t>
      </w:r>
      <w:r>
        <w:rPr>
          <w:b/>
        </w:rPr>
        <w:t xml:space="preserve">faster than at 2 °C.</w:t>
      </w:r>
      <w:r>
        <w:t xml:space="preserve"> </w:t>
      </w:r>
      <w:r>
        <w:t xml:space="preserve">The interval between packing and entry to the cold store is the</w:t>
      </w:r>
      <w:r>
        <w:t xml:space="preserve"> </w:t>
      </w:r>
      <w:r>
        <w:t xml:space="preserve">most expensive period in the entire chain.</w:t>
      </w:r>
    </w:p>
    <w:p>
      <w:pPr>
        <w:pStyle w:val="BodyText"/>
      </w:pPr>
      <w:r>
        <w:rPr>
          <w:b/>
        </w:rPr>
        <w:t xml:space="preserve">Consequence 3: condensation at dispatch</w:t>
      </w:r>
    </w:p>
    <w:p>
      <w:pPr>
        <w:pStyle w:val="BodyText"/>
      </w:pPr>
      <w:r>
        <w:t xml:space="preserve">The reverse direction also presents a problem. Pallets at 0–2 °C moved into a 25 °C</w:t>
      </w:r>
      <w:r>
        <w:t xml:space="preserve"> </w:t>
      </w:r>
      <w:r>
        <w:t xml:space="preserve">dispatch area will</w:t>
      </w:r>
      <w:r>
        <w:t xml:space="preserve"> </w:t>
      </w:r>
      <w:r>
        <w:rPr>
          <w:b/>
        </w:rPr>
        <w:t xml:space="preserve">condense moisture onto the cartons</w:t>
      </w:r>
      <w:r>
        <w:t xml:space="preserve"> </w:t>
      </w:r>
      <w:r>
        <w:t xml:space="preserve">— wet cartons, label failure,</w:t>
      </w:r>
      <w:r>
        <w:t xml:space="preserve"> </w:t>
      </w:r>
      <w:r>
        <w:t xml:space="preserve">and mould risk in transit.</w:t>
      </w:r>
    </w:p>
    <w:p>
      <w:pPr>
        <w:pStyle w:val="BodyText"/>
      </w:pPr>
      <w:r>
        <w:rPr>
          <w:b/>
        </w:rPr>
        <w:t xml:space="preserve">Three mitigations, in our order of preference:</w:t>
      </w:r>
    </w:p>
    <w:tbl>
      <w:tblPr>
        <w:tblStyle w:val="Table"/>
        <w:tblW w:type="pct" w:w="5000.0"/>
        <w:tblLook w:firstRow="1"/>
      </w:tblPr>
      <w:tblGrid>
        <w:gridCol w:w="1514"/>
        <w:gridCol w:w="1863"/>
        <w:gridCol w:w="454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Minimise time at ambient</w:t>
            </w:r>
          </w:p>
        </w:tc>
        <w:tc>
          <w:p>
            <w:pPr>
              <w:pStyle w:val="Compact"/>
              <w:jc w:val="left"/>
            </w:pPr>
            <w:r>
              <w:t xml:space="preserve">Cheapest. The automated conveying in Section 6.6 already helps materially by removing forklift waiting 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Chill the palletising hall to 8–12 °C</w:t>
            </w:r>
          </w:p>
        </w:tc>
        <w:tc>
          <w:p>
            <w:pPr>
              <w:pStyle w:val="Compact"/>
              <w:jc w:val="left"/>
            </w:pPr>
            <w:r>
              <w:t xml:space="preserve">Industry standard for produce packing. Industrial robots operate normally in this range; condensation control on equipment 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Add pre-cooling downstream of palletising</w:t>
            </w:r>
          </w:p>
        </w:tc>
        <w:tc>
          <w:p>
            <w:pPr>
              <w:pStyle w:val="Compact"/>
              <w:jc w:val="left"/>
            </w:pPr>
            <w:r>
              <w:t xml:space="preserve">Most effective for product quality, but adds plant and a process step</w:t>
            </w:r>
          </w:p>
        </w:tc>
      </w:tr>
    </w:tbl>
    <w:p>
      <w:pPr>
        <w:pStyle w:val="BodyText"/>
      </w:pPr>
      <w:r>
        <w:t xml:space="preserve">Dispatch doors require</w:t>
      </w:r>
      <w:r>
        <w:t xml:space="preserve"> </w:t>
      </w:r>
      <w:r>
        <w:rPr>
          <w:b/>
        </w:rPr>
        <w:t xml:space="preserve">dock seals</w:t>
      </w:r>
      <w:r>
        <w:t xml:space="preserve"> </w:t>
      </w:r>
      <w:r>
        <w:t xml:space="preserve">and a staging area to limit condensation.</w:t>
      </w:r>
    </w:p>
    <w:p>
      <w:pPr>
        <w:pStyle w:val="BodyText"/>
      </w:pPr>
      <w:r>
        <w:rPr>
          <w:b/>
        </w:rPr>
        <w:t xml:space="preserve">We propose including product temperature measurement at four points — leaving the grow</w:t>
      </w:r>
      <w:r>
        <w:rPr>
          <w:b/>
        </w:rPr>
        <w:t xml:space="preserve"> </w:t>
      </w:r>
      <w:r>
        <w:rPr>
          <w:b/>
        </w:rPr>
        <w:t xml:space="preserve">room, after packing, before entering the store, and after four hours in store — within</w:t>
      </w:r>
      <w:r>
        <w:rPr>
          <w:b/>
        </w:rPr>
        <w:t xml:space="preserve"> </w:t>
      </w:r>
      <w:r>
        <w:rPr>
          <w:b/>
        </w:rPr>
        <w:t xml:space="preserve">the survey scope.</w:t>
      </w:r>
      <w:r>
        <w:t xml:space="preserve"> </w:t>
      </w:r>
      <w:r>
        <w:t xml:space="preserve">This is inexpensive to measure but may materially reorder investment</w:t>
      </w:r>
      <w:r>
        <w:t xml:space="preserve"> </w:t>
      </w:r>
      <w:r>
        <w:t xml:space="preserve">priorities.</w:t>
      </w:r>
    </w:p>
    <w:p>
      <w:pPr>
        <w:pStyle w:val="Heading3"/>
      </w:pPr>
      <w:bookmarkStart w:id="55" w:name="robot-cell-safety"/>
      <w:r>
        <w:t xml:space="preserve">6.8 Robot cell safety</w:t>
      </w:r>
      <w:bookmarkEnd w:id="55"/>
    </w:p>
    <w:p>
      <w:pPr>
        <w:pStyle w:val="FirstParagraph"/>
      </w:pPr>
      <w:r>
        <w:t xml:space="preserve">A palletising robot cell is high-hazard plant and must comply with</w:t>
      </w:r>
      <w:r>
        <w:t xml:space="preserve"> </w:t>
      </w:r>
      <w:r>
        <w:rPr>
          <w:b/>
        </w:rPr>
        <w:t xml:space="preserve">AS/NZS 4024:2019</w:t>
      </w:r>
      <w:r>
        <w:t xml:space="preserve">:</w:t>
      </w:r>
    </w:p>
    <w:tbl>
      <w:tblPr>
        <w:tblStyle w:val="Table"/>
        <w:tblW w:type="pct" w:w="5000.0"/>
        <w:tblLook w:firstRow="1"/>
      </w:tblPr>
      <w:tblGrid>
        <w:gridCol w:w="2445"/>
        <w:gridCol w:w="547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Perimeter guarding</w:t>
            </w:r>
          </w:p>
        </w:tc>
        <w:tc>
          <w:p>
            <w:pPr>
              <w:pStyle w:val="Compact"/>
              <w:jc w:val="left"/>
            </w:pPr>
            <w:r>
              <w:t xml:space="preserve">Fixed guarding to standard height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Maintenance access door</w:t>
            </w:r>
          </w:p>
        </w:tc>
        <w:tc>
          <w:p>
            <w:pPr>
              <w:pStyle w:val="Compact"/>
              <w:jc w:val="left"/>
            </w:pPr>
            <w:r>
              <w:t xml:space="preserve">Monitored interlock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Conveyor entry/exit apertures</w:t>
            </w:r>
          </w:p>
        </w:tc>
        <w:tc>
          <w:p>
            <w:pPr>
              <w:pStyle w:val="Compact"/>
              <w:jc w:val="left"/>
            </w:pPr>
            <w:r>
              <w:t xml:space="preserve">Safety light curtain or guarded tunnel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Emergency stop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Category 3</w:t>
            </w:r>
            <w:r>
              <w:t xml:space="preserve"> </w:t>
            </w:r>
            <w:r>
              <w:t xml:space="preserve">circuit — dual channel with cross-monitoring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Maintenance mode</w:t>
            </w:r>
          </w:p>
        </w:tc>
        <w:tc>
          <w:p>
            <w:pPr>
              <w:pStyle w:val="Compact"/>
              <w:jc w:val="left"/>
            </w:pPr>
            <w:r>
              <w:t xml:space="preserve">Safely-limited speed plus three-position enabling device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Safety devices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Certified</w:t>
            </w:r>
            <w:r>
              <w:t xml:space="preserve"> </w:t>
            </w:r>
            <w:r>
              <w:t xml:space="preserve">commercial products (Pilz / SICK / Siemens or equivalent)</w:t>
            </w:r>
          </w:p>
        </w:tc>
      </w:tr>
    </w:tbl>
    <w:p>
      <w:pPr>
        <w:pStyle w:val="BodyText"/>
      </w:pPr>
      <w:r>
        <w:t xml:space="preserve">Performance Level (PL) calculations and validation records will be delivered with the</w:t>
      </w:r>
      <w:r>
        <w:t xml:space="preserve"> </w:t>
      </w:r>
      <w:r>
        <w:t xml:space="preserve">equipment, in accordance with the designer and supplier duties under Sections 22–25 of</w:t>
      </w:r>
      <w:r>
        <w:t xml:space="preserve"> </w:t>
      </w:r>
      <w:r>
        <w:t xml:space="preserve">the WHS Act.</w:t>
      </w:r>
    </w:p>
    <w:p>
      <w:r>
        <w:br w:type="page"/>
      </w:r>
    </w:p>
    <w:p>
      <w:pPr>
        <w:pStyle w:val="Heading2"/>
      </w:pPr>
      <w:bookmarkStart w:id="56" w:name="recommendation-three-phase-roadmap"/>
      <w:r>
        <w:t xml:space="preserve">7. RECOMMENDATION: THREE-PHASE ROADMAP</w:t>
      </w:r>
      <w:bookmarkEnd w:id="56"/>
    </w:p>
    <w:p>
      <w:pPr>
        <w:pStyle w:val="FirstParagraph"/>
      </w:pPr>
      <w:r>
        <w:rPr>
          <w:i/>
        </w:rPr>
        <w:t xml:space="preserve">Phase 1 (months 0–5): Option A → Six months of operation gathering measured data →</w:t>
      </w:r>
      <w:r>
        <w:rPr>
          <w:i/>
        </w:rPr>
        <w:t xml:space="preserve"> </w:t>
      </w:r>
      <w:r>
        <w:rPr>
          <w:i/>
        </w:rPr>
        <w:t xml:space="preserve">Decision on evidence: proceed to B, proceed to C (if clear height permits), or remain at</w:t>
      </w:r>
      <w:r>
        <w:rPr>
          <w:i/>
        </w:rPr>
        <w:t xml:space="preserve"> </w:t>
      </w:r>
      <w:r>
        <w:rPr>
          <w:i/>
        </w:rPr>
        <w:t xml:space="preserve">Phase 1 (a legitimate outcome).</w:t>
      </w:r>
    </w:p>
    <w:p>
      <w:pPr>
        <w:pStyle w:val="Heading3"/>
      </w:pPr>
      <w:bookmarkStart w:id="57" w:name="X303904719ed96a2ba5a7ed1a16ce7573deaaa09"/>
      <w:r>
        <w:t xml:space="preserve">Why we recommend this sequence rather than proposing the largest option</w:t>
      </w:r>
      <w:bookmarkEnd w:id="57"/>
    </w:p>
    <w:p>
      <w:pPr>
        <w:pStyle w:val="FirstParagraph"/>
      </w:pPr>
      <w:r>
        <w:t xml:space="preserve">After six months running Option A, Costa will hold measured answers to questions that</w:t>
      </w:r>
      <w:r>
        <w:t xml:space="preserve"> </w:t>
      </w:r>
      <w:r>
        <w:rPr>
          <w:b/>
        </w:rPr>
        <w:t xml:space="preserve">nobody can currently answer with confidence</w:t>
      </w:r>
      <w:r>
        <w:t xml:space="preserve">:</w:t>
      </w:r>
    </w:p>
    <w:tbl>
      <w:tblPr>
        <w:tblStyle w:val="Table"/>
        <w:tblW w:type="pct" w:w="5000.0"/>
        <w:tblLook w:firstRow="1"/>
      </w:tblPr>
      <w:tblGrid>
        <w:gridCol w:w="4076"/>
        <w:gridCol w:w="384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Bearing on the decision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 is the actual dwell time?</w:t>
            </w:r>
          </w:p>
        </w:tc>
        <w:tc>
          <w:p>
            <w:pPr>
              <w:pStyle w:val="Compact"/>
              <w:jc w:val="left"/>
            </w:pPr>
            <w:r>
              <w:t xml:space="preserve">Determines capacity — a fourfold range between 12 h and 48 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 is the true hourly peak rate?</w:t>
            </w:r>
          </w:p>
        </w:tc>
        <w:tc>
          <w:p>
            <w:pPr>
              <w:pStyle w:val="Compact"/>
              <w:jc w:val="left"/>
            </w:pPr>
            <w:r>
              <w:t xml:space="preserve">Determines crane count / shuttle 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How many person-hours per day are spent inside the cold store?</w:t>
            </w:r>
          </w:p>
        </w:tc>
        <w:tc>
          <w:p>
            <w:pPr>
              <w:pStyle w:val="Compact"/>
              <w:jc w:val="left"/>
            </w:pPr>
            <w:r>
              <w:t xml:space="preserve">The basis of the payback calculation for B and 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 is the current mis-pick rate?</w:t>
            </w:r>
          </w:p>
        </w:tc>
        <w:tc>
          <w:p>
            <w:pPr>
              <w:pStyle w:val="Compact"/>
              <w:jc w:val="left"/>
            </w:pPr>
            <w:r>
              <w:t xml:space="preserve">Quantifies the benefit of automation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 output trending beyond 60 tonnes/day?</w:t>
            </w:r>
          </w:p>
        </w:tc>
        <w:tc>
          <w:p>
            <w:pPr>
              <w:pStyle w:val="Compact"/>
              <w:jc w:val="left"/>
            </w:pPr>
            <w:r>
              <w:t xml:space="preserve">Determines design capacity</w:t>
            </w:r>
          </w:p>
        </w:tc>
      </w:tr>
    </w:tbl>
    <w:p>
      <w:pPr>
        <w:pStyle w:val="BodyText"/>
      </w:pPr>
      <w:r>
        <w:rPr>
          <w:b/>
        </w:rPr>
        <w:t xml:space="preserve">We do not believe it serves Costa’s interests to propose a multi-million dollar</w:t>
      </w:r>
      <w:r>
        <w:rPr>
          <w:b/>
        </w:rPr>
        <w:t xml:space="preserve"> </w:t>
      </w:r>
      <w:r>
        <w:rPr>
          <w:b/>
        </w:rPr>
        <w:t xml:space="preserve">investment while these five questions remain unanswered by data.</w:t>
      </w:r>
    </w:p>
    <w:p>
      <w:r>
        <w:br w:type="page"/>
      </w:r>
    </w:p>
    <w:p>
      <w:pPr>
        <w:pStyle w:val="Heading2"/>
      </w:pPr>
      <w:bookmarkStart w:id="58" w:name="technical-design"/>
      <w:r>
        <w:t xml:space="preserve">8. TECHNICAL DESIGN</w:t>
      </w:r>
      <w:bookmarkEnd w:id="58"/>
    </w:p>
    <w:p>
      <w:pPr>
        <w:pStyle w:val="Heading3"/>
      </w:pPr>
      <w:bookmarkStart w:id="59" w:name="mushroom-storage-conditions"/>
      <w:r>
        <w:t xml:space="preserve">8.1 Mushroom storage conditions</w:t>
      </w:r>
      <w:bookmarkEnd w:id="59"/>
    </w:p>
    <w:tbl>
      <w:tblPr>
        <w:tblStyle w:val="Table"/>
        <w:tblW w:type="pct" w:w="5000.0"/>
        <w:tblLook w:firstRow="1"/>
      </w:tblPr>
      <w:tblGrid>
        <w:gridCol w:w="1747"/>
        <w:gridCol w:w="1980"/>
        <w:gridCol w:w="419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Recommended 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Temperature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 – 2 °C</w:t>
            </w:r>
          </w:p>
        </w:tc>
        <w:tc>
          <w:p>
            <w:pPr>
              <w:pStyle w:val="Compact"/>
              <w:jc w:val="left"/>
            </w:pPr>
            <w:r>
              <w:t xml:space="preserve">Below 0 °C introduces chilling-injury risk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Relative humidity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&gt; 95%</w:t>
            </w:r>
          </w:p>
        </w:tc>
        <w:tc>
          <w:p>
            <w:pPr>
              <w:pStyle w:val="Compact"/>
              <w:jc w:val="left"/>
            </w:pPr>
            <w:r>
              <w:t xml:space="preserve">Lower causes moisture loss and loss of gloss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Shelf life at 1 °C</w:t>
            </w:r>
          </w:p>
        </w:tc>
        <w:tc>
          <w:p>
            <w:pPr>
              <w:pStyle w:val="Compact"/>
              <w:jc w:val="left"/>
            </w:pPr>
            <w:r>
              <w:t xml:space="preserve">14–20 days</w:t>
            </w:r>
          </w:p>
        </w:tc>
        <w:tc>
          <w:p>
            <w:pPr>
              <w:pStyle w:val="Compact"/>
              <w:jc w:val="left"/>
            </w:pPr>
            <w:r>
              <w:t xml:space="preserve">Against 2–3 days at 20 °C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Pre-cooling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Strongly recommended</w:t>
            </w:r>
          </w:p>
        </w:tc>
        <w:tc>
          <w:p>
            <w:pPr>
              <w:pStyle w:val="Compact"/>
              <w:jc w:val="left"/>
            </w:pPr>
            <w:r>
              <w:t xml:space="preserve">Removes field heat before storage</w:t>
            </w:r>
          </w:p>
        </w:tc>
      </w:tr>
    </w:tbl>
    <w:p>
      <w:pPr>
        <w:pStyle w:val="BodyText"/>
      </w:pPr>
      <w:r>
        <w:rPr>
          <w:i/>
        </w:rPr>
        <w:t xml:space="preserve">Note: excessive humidity causes surface condensation on the product, accelerating</w:t>
      </w:r>
      <w:r>
        <w:rPr>
          <w:i/>
        </w:rPr>
        <w:t xml:space="preserve"> </w:t>
      </w:r>
      <w:r>
        <w:rPr>
          <w:i/>
        </w:rPr>
        <w:t xml:space="preserve">microbial growth and discolouration. The optimum operating window is narrow and requires</w:t>
      </w:r>
      <w:r>
        <w:rPr>
          <w:i/>
        </w:rPr>
        <w:t xml:space="preserve"> </w:t>
      </w:r>
      <w:r>
        <w:rPr>
          <w:i/>
        </w:rPr>
        <w:t xml:space="preserve">active control, not merely a setpoint.</w:t>
      </w:r>
    </w:p>
    <w:p>
      <w:pPr>
        <w:pStyle w:val="Heading3"/>
      </w:pPr>
      <w:bookmarkStart w:id="60" w:name="refrigeration-load"/>
      <w:r>
        <w:t xml:space="preserve">8.2 Refrigeration load</w:t>
      </w:r>
      <w:bookmarkEnd w:id="60"/>
    </w:p>
    <w:p>
      <w:pPr>
        <w:pStyle w:val="FirstParagraph"/>
      </w:pPr>
      <w:r>
        <w:t xml:space="preserve">Costa has confirmed the palletising area runs at</w:t>
      </w:r>
      <w:r>
        <w:t xml:space="preserve"> </w:t>
      </w:r>
      <w:r>
        <w:rPr>
          <w:b/>
        </w:rPr>
        <w:t xml:space="preserve">20–25 °C</w:t>
      </w:r>
      <w:r>
        <w:t xml:space="preserve">, so product enters the store</w:t>
      </w:r>
      <w:r>
        <w:t xml:space="preserve"> </w:t>
      </w:r>
      <w:r>
        <w:t xml:space="preserve">warmer than a conventional assumption. Heat to be removed to reach 2 °C: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Distribution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Entering at 18 °C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Entering at 25 °C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Spread over 8 hours</w:t>
            </w:r>
          </w:p>
        </w:tc>
        <w:tc>
          <w:p>
            <w:pPr>
              <w:pStyle w:val="Compact"/>
              <w:jc w:val="left"/>
            </w:pPr>
            <w:r>
              <w:t xml:space="preserve">130 kW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187 kW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Spread over 12 hours</w:t>
            </w:r>
          </w:p>
        </w:tc>
        <w:tc>
          <w:p>
            <w:pPr>
              <w:pStyle w:val="Compact"/>
              <w:jc w:val="left"/>
            </w:pPr>
            <w:r>
              <w:t xml:space="preserve">87 kW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125 kW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Spread over 16 hours</w:t>
            </w:r>
          </w:p>
        </w:tc>
        <w:tc>
          <w:p>
            <w:pPr>
              <w:pStyle w:val="Compact"/>
              <w:jc w:val="left"/>
            </w:pPr>
            <w:r>
              <w:t xml:space="preserve">65 kW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93 kW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Spread over 24 hours</w:t>
            </w:r>
          </w:p>
        </w:tc>
        <w:tc>
          <w:p>
            <w:pPr>
              <w:pStyle w:val="Compact"/>
              <w:jc w:val="left"/>
            </w:pPr>
            <w:r>
              <w:t xml:space="preserve">43 kW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62 kW</w:t>
            </w:r>
          </w:p>
        </w:tc>
      </w:tr>
    </w:tbl>
    <w:p>
      <w:pPr>
        <w:pStyle w:val="BodyText"/>
      </w:pPr>
      <w:r>
        <w:rPr>
          <w:b/>
        </w:rPr>
        <w:t xml:space="preserve">This 44% differential may well be the true constraint on the existing cold store</w:t>
      </w:r>
      <w:r>
        <w:t xml:space="preserve"> </w:t>
      </w:r>
      <w:r>
        <w:t xml:space="preserve">—</w:t>
      </w:r>
      <w:r>
        <w:t xml:space="preserve"> </w:t>
      </w:r>
      <w:r>
        <w:t xml:space="preserve">rather than storage capacity. Full analysis and three mitigations at</w:t>
      </w:r>
      <w:r>
        <w:t xml:space="preserve"> </w:t>
      </w:r>
      <w:r>
        <w:rPr>
          <w:b/>
        </w:rPr>
        <w:t xml:space="preserve">Section 6.7</w:t>
      </w:r>
      <w:r>
        <w:t xml:space="preserve">.</w:t>
      </w:r>
    </w:p>
    <w:p>
      <w:pPr>
        <w:pStyle w:val="BodyText"/>
      </w:pPr>
      <w:r>
        <w:t xml:space="preserve">These figures exclude envelope heat gain, lighting, fan power, personnel, forklifts, door</w:t>
      </w:r>
      <w:r>
        <w:t xml:space="preserve"> </w:t>
      </w:r>
      <w:r>
        <w:t xml:space="preserve">losses and respiration heat. Actual plant load is typically</w:t>
      </w:r>
      <w:r>
        <w:t xml:space="preserve"> </w:t>
      </w:r>
      <w:r>
        <w:rPr>
          <w:b/>
        </w:rPr>
        <w:t xml:space="preserve">1.6–2.2×</w:t>
      </w:r>
      <w:r>
        <w:t xml:space="preserve"> </w:t>
      </w:r>
      <w:r>
        <w:t xml:space="preserve">the product load</w:t>
      </w:r>
      <w:r>
        <w:t xml:space="preserve"> </w:t>
      </w:r>
      <w:r>
        <w:t xml:space="preserve">alone.</w:t>
      </w:r>
    </w:p>
    <w:p>
      <w:pPr>
        <w:pStyle w:val="Heading3"/>
      </w:pPr>
      <w:bookmarkStart w:id="61" w:name="Xee8ea2db64b08ba7b1dce5920d68efb94e19b63"/>
      <w:r>
        <w:t xml:space="preserve">8.3 Pallet identification — why RFID rather than barcode</w:t>
      </w:r>
      <w:bookmarkEnd w:id="61"/>
    </w:p>
    <w:tbl>
      <w:tblPr>
        <w:tblStyle w:val="Table"/>
        <w:tblW w:type="pct" w:w="5000.0"/>
        <w:tblLook w:firstRow="1"/>
      </w:tblPr>
      <w:tblGrid>
        <w:gridCol w:w="3144"/>
        <w:gridCol w:w="2911"/>
        <w:gridCol w:w="186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Barcode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RFID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when fogged</w:t>
            </w:r>
          </w:p>
        </w:tc>
        <w:tc>
          <w:p>
            <w:pPr>
              <w:pStyle w:val="Compact"/>
              <w:jc w:val="left"/>
            </w:pPr>
            <w:r>
              <w:t xml:space="preserve">Poor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Unaffected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Line of sight required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Reads through stretch film</w:t>
            </w:r>
          </w:p>
        </w:tc>
        <w:tc>
          <w:p>
            <w:pPr>
              <w:pStyle w:val="Compact"/>
              <w:jc w:val="left"/>
            </w:pPr>
            <w:r>
              <w:t xml:space="preserve">Difficult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Multiple pallets read simultaneously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</w:t>
            </w:r>
            <w:r>
              <w:t xml:space="preserve"> </w:t>
            </w:r>
            <w:r>
              <w:t xml:space="preserve">(dispatch portal)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Tag cost</w:t>
            </w:r>
          </w:p>
        </w:tc>
        <w:tc>
          <w:p>
            <w:pPr>
              <w:pStyle w:val="Compact"/>
              <w:jc w:val="left"/>
            </w:pPr>
            <w:r>
              <w:t xml:space="preserve">Very low</w:t>
            </w:r>
          </w:p>
        </w:tc>
        <w:tc>
          <w:p>
            <w:pPr>
              <w:pStyle w:val="Compact"/>
              <w:jc w:val="left"/>
            </w:pPr>
            <w:r>
              <w:t xml:space="preserve">Higher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Durability at 95% RH</w:t>
            </w:r>
          </w:p>
        </w:tc>
        <w:tc>
          <w:p>
            <w:pPr>
              <w:pStyle w:val="Compact"/>
              <w:jc w:val="left"/>
            </w:pPr>
            <w:r>
              <w:t xml:space="preserve">Paper labels delaminate and smear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Robust polymer tag</w:t>
            </w:r>
          </w:p>
        </w:tc>
      </w:tr>
    </w:tbl>
    <w:p>
      <w:pPr>
        <w:pStyle w:val="BodyText"/>
      </w:pPr>
      <w:r>
        <w:rPr>
          <w:b/>
        </w:rPr>
        <w:t xml:space="preserve">Recommended combination:</w:t>
      </w:r>
      <w:r>
        <w:t xml:space="preserve"> </w:t>
      </w:r>
      <w:r>
        <w:t xml:space="preserve">reusable RFID tags on pallets</w:t>
      </w:r>
      <w:r>
        <w:t xml:space="preserve"> </w:t>
      </w:r>
      <w:r>
        <w:rPr>
          <w:b/>
        </w:rPr>
        <w:t xml:space="preserve">plus</w:t>
      </w:r>
      <w:r>
        <w:t xml:space="preserve"> </w:t>
      </w:r>
      <w:r>
        <w:t xml:space="preserve">printed barcode/QR</w:t>
      </w:r>
      <w:r>
        <w:t xml:space="preserve"> </w:t>
      </w:r>
      <w:r>
        <w:t xml:space="preserve">labels for carriers and customers — Australian supermarkets generally require a GS1 SSCC</w:t>
      </w:r>
      <w:r>
        <w:t xml:space="preserve"> </w:t>
      </w:r>
      <w:r>
        <w:t xml:space="preserve">label readable by conventional scanners.</w:t>
      </w:r>
    </w:p>
    <w:p>
      <w:pPr>
        <w:pStyle w:val="Heading3"/>
      </w:pPr>
      <w:bookmarkStart w:id="62" w:name="X7176e46c1a000c2541095625ef67adfd735b112"/>
      <w:r>
        <w:t xml:space="preserve">8.4 Scale station — the critical data capture point</w:t>
      </w:r>
      <w:bookmarkEnd w:id="62"/>
    </w:p>
    <w:p>
      <w:pPr>
        <w:pStyle w:val="FirstParagraph"/>
      </w:pPr>
      <w:r>
        <w:t xml:space="preserve">The scale station is the</w:t>
      </w:r>
      <w:r>
        <w:t xml:space="preserve"> </w:t>
      </w:r>
      <w:r>
        <w:rPr>
          <w:b/>
        </w:rPr>
        <w:t xml:space="preserve">one control point through which every pallet passes</w:t>
      </w:r>
      <w:r>
        <w:t xml:space="preserve">, making it</w:t>
      </w:r>
      <w:r>
        <w:t xml:space="preserve"> </w:t>
      </w:r>
      <w:r>
        <w:t xml:space="preserve">the natural location to:</w:t>
      </w:r>
    </w:p>
    <w:p>
      <w:pPr>
        <w:numPr>
          <w:ilvl w:val="0"/>
          <w:numId w:val="1015"/>
        </w:numPr>
        <w:pStyle w:val="Compact"/>
      </w:pPr>
      <w:r>
        <w:t xml:space="preserve">Record actual net weight (for reconciliation against harvested output)</w:t>
      </w:r>
    </w:p>
    <w:p>
      <w:pPr>
        <w:numPr>
          <w:ilvl w:val="0"/>
          <w:numId w:val="1015"/>
        </w:numPr>
        <w:pStyle w:val="Compact"/>
      </w:pPr>
      <w:r>
        <w:t xml:space="preserve">Apply and commission the RFID tag</w:t>
      </w:r>
    </w:p>
    <w:p>
      <w:pPr>
        <w:numPr>
          <w:ilvl w:val="0"/>
          <w:numId w:val="1015"/>
        </w:numPr>
        <w:pStyle w:val="Compact"/>
      </w:pPr>
      <w:r>
        <w:t xml:space="preserve">Print and apply the label</w:t>
      </w:r>
    </w:p>
    <w:p>
      <w:pPr>
        <w:numPr>
          <w:ilvl w:val="0"/>
          <w:numId w:val="1015"/>
        </w:numPr>
        <w:pStyle w:val="Compact"/>
      </w:pPr>
      <w:r>
        <w:t xml:space="preserve">Photograph the pallet as condition evidence at handover</w:t>
      </w:r>
    </w:p>
    <w:p>
      <w:pPr>
        <w:numPr>
          <w:ilvl w:val="0"/>
          <w:numId w:val="1015"/>
        </w:numPr>
        <w:pStyle w:val="Compact"/>
      </w:pPr>
      <w:r>
        <w:t xml:space="preserve">Automatically verify that measured weight matches the declared box count</w:t>
      </w:r>
    </w:p>
    <w:p>
      <w:pPr>
        <w:pStyle w:val="FirstParagraph"/>
      </w:pPr>
      <w:r>
        <w:t xml:space="preserve">The final check is more valuable than it appears: if a pallet declares 72 boxes × 4 kg but</w:t>
      </w:r>
      <w:r>
        <w:t xml:space="preserve"> </w:t>
      </w:r>
      <w:r>
        <w:t xml:space="preserve">weighs 268 kg, the system raises an exception</w:t>
      </w:r>
      <w:r>
        <w:t xml:space="preserve"> </w:t>
      </w:r>
      <w:r>
        <w:rPr>
          <w:b/>
        </w:rPr>
        <w:t xml:space="preserve">at the point of packing</w:t>
      </w:r>
      <w:r>
        <w:t xml:space="preserve"> </w:t>
      </w:r>
      <w:r>
        <w:t xml:space="preserve">rather than after</w:t>
      </w:r>
      <w:r>
        <w:t xml:space="preserve"> </w:t>
      </w:r>
      <w:r>
        <w:t xml:space="preserve">the consignment has crossed a state border.</w:t>
      </w:r>
    </w:p>
    <w:p>
      <w:pPr>
        <w:pStyle w:val="BodyText"/>
      </w:pPr>
      <w:r>
        <w:rPr>
          <w:b/>
        </w:rPr>
        <w:t xml:space="preserve">To be confirmed:</w:t>
      </w:r>
      <w:r>
        <w:t xml:space="preserve"> </w:t>
      </w:r>
      <w:r>
        <w:t xml:space="preserve">where boxes carry a declared retail net weight, weighing may fall</w:t>
      </w:r>
      <w:r>
        <w:t xml:space="preserve"> </w:t>
      </w:r>
      <w:r>
        <w:t xml:space="preserve">under Australian trade measurement requirements administered by the National Measurement</w:t>
      </w:r>
      <w:r>
        <w:t xml:space="preserve"> </w:t>
      </w:r>
      <w:r>
        <w:t xml:space="preserve">Institute. Scope to be clarified at survey.</w:t>
      </w:r>
    </w:p>
    <w:p>
      <w:r>
        <w:br w:type="page"/>
      </w:r>
    </w:p>
    <w:p>
      <w:pPr>
        <w:pStyle w:val="Heading2"/>
      </w:pPr>
      <w:bookmarkStart w:id="63" w:name="Xe4f6de7c755d3350976ce628fd1d75849f17d27"/>
      <w:r>
        <w:t xml:space="preserve">9. TRACEABILITY &amp; INTEGRATION — OUR DIFFERENTIATOR</w:t>
      </w:r>
      <w:bookmarkEnd w:id="63"/>
    </w:p>
    <w:p>
      <w:pPr>
        <w:pStyle w:val="Heading3"/>
      </w:pPr>
      <w:bookmarkStart w:id="64" w:name="what-already-exists-in-costas-systems"/>
      <w:r>
        <w:t xml:space="preserve">9.1 What already exists in Costa’s systems</w:t>
      </w:r>
      <w:bookmarkEnd w:id="64"/>
    </w:p>
    <w:tbl>
      <w:tblPr>
        <w:tblStyle w:val="Table"/>
        <w:tblW w:type="pct" w:w="5000.0"/>
        <w:tblLook w:firstRow="1"/>
      </w:tblPr>
      <w:tblGrid>
        <w:gridCol w:w="2445"/>
        <w:gridCol w:w="547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Existing field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Harvest plan by zone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MushroomHarvestPlans.zoneId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</w:rPr>
              <w:t xml:space="preserve">already distinguishes M1 and M2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Target output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MushroomHarvestPlans.totalTargetBoxes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</w:rPr>
              <w:t xml:space="preserve">already counted in boxes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Picking crews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MushroomPickerTeams</w:t>
            </w:r>
            <w:r>
              <w:t xml:space="preserve"> </w:t>
            </w:r>
            <w:r>
              <w:t xml:space="preserve">— colour code, team leader, member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Grade and grow room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MushroomYieldSurveys</w:t>
            </w:r>
            <w:r>
              <w:t xml:space="preserve"> </w:t>
            </w:r>
            <w:r>
              <w:t xml:space="preserve">— strain (Button/Cup/Flat), cycle, room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Personnel, shifts, attendance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Box-level barcoding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Already deployed</w:t>
            </w:r>
            <w:r>
              <w:t xml:space="preserve"> </w:t>
            </w:r>
            <w:r>
              <w:t xml:space="preserve">— carries crew, grade, grow room</w:t>
            </w:r>
          </w:p>
        </w:tc>
      </w:tr>
    </w:tbl>
    <w:p>
      <w:pPr>
        <w:pStyle w:val="BlockText"/>
      </w:pPr>
      <w:r>
        <w:t xml:space="preserve">The final row is the most significant. Because barcoding already operates at</w:t>
      </w:r>
      <w:r>
        <w:t xml:space="preserve"> </w:t>
      </w:r>
      <w:r>
        <w:rPr>
          <w:b/>
        </w:rPr>
        <w:t xml:space="preserve">box</w:t>
      </w:r>
      <w:r>
        <w:rPr>
          <w:b/>
        </w:rPr>
        <w:t xml:space="preserve"> </w:t>
      </w:r>
      <w:r>
        <w:rPr>
          <w:b/>
        </w:rPr>
        <w:t xml:space="preserve">level</w:t>
      </w:r>
      <w:r>
        <w:t xml:space="preserve">, the hardest part of traceability — capturing data at source —</w:t>
      </w:r>
      <w:r>
        <w:t xml:space="preserve"> </w:t>
      </w:r>
      <w:r>
        <w:rPr>
          <w:b/>
        </w:rPr>
        <w:t xml:space="preserve">Costa has</w:t>
      </w:r>
      <w:r>
        <w:rPr>
          <w:b/>
        </w:rPr>
        <w:t xml:space="preserve"> </w:t>
      </w:r>
      <w:r>
        <w:rPr>
          <w:b/>
        </w:rPr>
        <w:t xml:space="preserve">already completed.</w:t>
      </w:r>
    </w:p>
    <w:p>
      <w:pPr>
        <w:pStyle w:val="Heading3"/>
      </w:pPr>
      <w:bookmarkStart w:id="65" w:name="Xe75148d817c570429d676af4094c82212cb9c0a"/>
      <w:r>
        <w:t xml:space="preserve">9.2 The missing link — and the scope of this proposal</w:t>
      </w:r>
      <w:bookmarkEnd w:id="65"/>
    </w:p>
    <w:p>
      <w:pPr>
        <w:pStyle w:val="SourceCode"/>
      </w:pPr>
      <w:r>
        <w:rPr>
          <w:rStyle w:val="VerbatimChar"/>
        </w:rPr>
        <w:t xml:space="preserve">ALREADY IN PLACE (barcode per box)        PROPOSED ADDITION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       ──────────────────────────────</w:t>
      </w:r>
      <w:r>
        <w:br/>
      </w:r>
      <w:r>
        <w:rPr>
          <w:rStyle w:val="VerbatimChar"/>
        </w:rPr>
        <w:t xml:space="preserve">Grow Room -&gt; Crew -&gt; Grade                Pallet -&gt; Store Location -&gt; Container</w:t>
      </w:r>
      <w:r>
        <w:br/>
      </w:r>
      <w:r>
        <w:rPr>
          <w:rStyle w:val="VerbatimChar"/>
        </w:rPr>
        <w:t xml:space="preserve">        -&gt; BOX  [in place]   --X--                -&gt; Transport Order</w:t>
      </w:r>
      <w:r>
        <w:br/>
      </w:r>
      <w:r>
        <w:rPr>
          <w:rStyle w:val="VerbatimChar"/>
        </w:rPr>
        <w:t xml:space="preserve">                              ^</w:t>
      </w:r>
      <w:r>
        <w:br/>
      </w:r>
      <w:r>
        <w:rPr>
          <w:rStyle w:val="VerbatimChar"/>
        </w:rPr>
        <w:t xml:space="preserve">                    only the AGGREGATION step missing</w:t>
      </w:r>
    </w:p>
    <w:p>
      <w:pPr>
        <w:pStyle w:val="FirstParagraph"/>
      </w:pPr>
      <w:r>
        <w:rPr>
          <w:b/>
        </w:rPr>
        <w:t xml:space="preserve">This aggregation step is performed automatically by the palletising system</w:t>
      </w:r>
      <w:r>
        <w:t xml:space="preserve"> </w:t>
      </w:r>
      <w:r>
        <w:t xml:space="preserve">(Section 6.5): a barcode reader immediately upstream of the pick point records which box</w:t>
      </w:r>
      <w:r>
        <w:t xml:space="preserve"> </w:t>
      </w:r>
      <w:r>
        <w:t xml:space="preserve">goes onto which pallet, with no additional labour. The completed pallet receives a</w:t>
      </w:r>
      <w:r>
        <w:t xml:space="preserve"> </w:t>
      </w:r>
      <w:r>
        <w:rPr>
          <w:b/>
        </w:rPr>
        <w:t xml:space="preserve">GS1</w:t>
      </w:r>
      <w:r>
        <w:rPr>
          <w:b/>
        </w:rPr>
        <w:t xml:space="preserve"> </w:t>
      </w:r>
      <w:r>
        <w:rPr>
          <w:b/>
        </w:rPr>
        <w:t xml:space="preserve">SSCC label</w:t>
      </w:r>
      <w:r>
        <w:t xml:space="preserve"> </w:t>
      </w:r>
      <w:r>
        <w:t xml:space="preserve">carrying the manifest of its contents.</w:t>
      </w:r>
    </w:p>
    <w:p>
      <w:pPr>
        <w:pStyle w:val="BodyText"/>
      </w:pPr>
      <w:r>
        <w:t xml:space="preserve">Under Option A (before the palletiser is installed), the same aggregation is performed by</w:t>
      </w:r>
      <w:r>
        <w:t xml:space="preserve"> </w:t>
      </w:r>
      <w:r>
        <w:rPr>
          <w:b/>
        </w:rPr>
        <w:t xml:space="preserve">handheld scanning at the palletising point</w:t>
      </w:r>
      <w:r>
        <w:t xml:space="preserve"> </w:t>
      </w:r>
      <w:r>
        <w:t xml:space="preserve">— slower, but producing an identical data</w:t>
      </w:r>
      <w:r>
        <w:t xml:space="preserve"> </w:t>
      </w:r>
      <w:r>
        <w:t xml:space="preserve">structure, so nothing is rebuilt on upgrade to Option B.</w:t>
      </w:r>
    </w:p>
    <w:p>
      <w:pPr>
        <w:pStyle w:val="BodyText"/>
      </w:pPr>
      <w:r>
        <w:t xml:space="preserve">Once complete, Costa can answer in</w:t>
      </w:r>
      <w:r>
        <w:t xml:space="preserve"> </w:t>
      </w:r>
      <w:r>
        <w:rPr>
          <w:b/>
        </w:rPr>
        <w:t xml:space="preserve">seconds</w:t>
      </w:r>
      <w:r>
        <w:t xml:space="preserve"> </w:t>
      </w:r>
      <w:r>
        <w:t xml:space="preserve">rather than hours:</w:t>
      </w:r>
    </w:p>
    <w:p>
      <w:pPr>
        <w:numPr>
          <w:ilvl w:val="0"/>
          <w:numId w:val="1016"/>
        </w:numPr>
        <w:pStyle w:val="Compact"/>
      </w:pPr>
      <w:r>
        <w:t xml:space="preserve">Which pallets were loaded onto container XYZ?</w:t>
      </w:r>
    </w:p>
    <w:p>
      <w:pPr>
        <w:numPr>
          <w:ilvl w:val="0"/>
          <w:numId w:val="1016"/>
        </w:numPr>
        <w:pStyle w:val="Compact"/>
      </w:pPr>
      <w:r>
        <w:t xml:space="preserve">Which grow rooms, crews and dates contributed to that pallet?</w:t>
      </w:r>
    </w:p>
    <w:p>
      <w:pPr>
        <w:numPr>
          <w:ilvl w:val="0"/>
          <w:numId w:val="1016"/>
        </w:numPr>
        <w:pStyle w:val="Compact"/>
      </w:pPr>
      <w:r>
        <w:t xml:space="preserve">If a supermarket raises a claim on one lot, which other pallets share its origin and</w:t>
      </w:r>
      <w:r>
        <w:t xml:space="preserve"> </w:t>
      </w:r>
      <w:r>
        <w:t xml:space="preserve">must be considered for recall?</w:t>
      </w:r>
    </w:p>
    <w:p>
      <w:pPr>
        <w:numPr>
          <w:ilvl w:val="0"/>
          <w:numId w:val="1016"/>
        </w:numPr>
        <w:pStyle w:val="Compact"/>
      </w:pPr>
      <w:r>
        <w:t xml:space="preserve">Does declared harvested output reconcile against dispatched weight?</w:t>
      </w:r>
    </w:p>
    <w:p>
      <w:pPr>
        <w:pStyle w:val="BlockText"/>
      </w:pPr>
      <w:r>
        <w:rPr>
          <w:b/>
        </w:rPr>
        <w:t xml:space="preserve">A conventional WMS vendor cannot deliver this</w:t>
      </w:r>
      <w:r>
        <w:t xml:space="preserve">, because they begin from zero on the</w:t>
      </w:r>
      <w:r>
        <w:t xml:space="preserve"> </w:t>
      </w:r>
      <w:r>
        <w:t xml:space="preserve">farm side. We begin from a system that already holds the data.</w:t>
      </w:r>
    </w:p>
    <w:p>
      <w:pPr>
        <w:pStyle w:val="Heading3"/>
      </w:pPr>
      <w:bookmarkStart w:id="66" w:name="architectural-principle"/>
      <w:r>
        <w:t xml:space="preserve">9.3 Architectural principle</w:t>
      </w:r>
      <w:bookmarkEnd w:id="66"/>
    </w:p>
    <w:p>
      <w:pPr>
        <w:pStyle w:val="FirstParagraph"/>
      </w:pPr>
      <w:r>
        <w:t xml:space="preserve">The WMS/WCS software performs</w:t>
      </w:r>
      <w:r>
        <w:t xml:space="preserve"> </w:t>
      </w:r>
      <w:r>
        <w:rPr>
          <w:b/>
        </w:rPr>
        <w:t xml:space="preserve">no safety function</w:t>
      </w:r>
      <w:r>
        <w:t xml:space="preserve">. All machinery safety resides in</w:t>
      </w:r>
      <w:r>
        <w:t xml:space="preserve"> </w:t>
      </w:r>
      <w:r>
        <w:t xml:space="preserve">independent certified hardware to AS/NZS 4024. This principle is maintained without</w:t>
      </w:r>
      <w:r>
        <w:t xml:space="preserve"> </w:t>
      </w:r>
      <w:r>
        <w:t xml:space="preserve">exception across all phases — for engineering reasons, and because it keeps the boundary</w:t>
      </w:r>
      <w:r>
        <w:t xml:space="preserve"> </w:t>
      </w:r>
      <w:r>
        <w:t xml:space="preserve">of responsibility under the WHS Act unambiguous.</w:t>
      </w:r>
    </w:p>
    <w:p>
      <w:r>
        <w:br w:type="page"/>
      </w:r>
    </w:p>
    <w:p>
      <w:pPr>
        <w:pStyle w:val="Heading2"/>
      </w:pPr>
      <w:bookmarkStart w:id="67" w:name="safety-compliance"/>
      <w:r>
        <w:t xml:space="preserve">10. SAFETY &amp; COMPLIANCE</w:t>
      </w:r>
      <w:bookmarkEnd w:id="67"/>
    </w:p>
    <w:tbl>
      <w:tblPr>
        <w:tblStyle w:val="Table"/>
        <w:tblW w:type="pct" w:w="5000.0"/>
        <w:tblLook w:firstRow="1"/>
      </w:tblPr>
      <w:tblGrid>
        <w:gridCol w:w="1980"/>
        <w:gridCol w:w="2212"/>
        <w:gridCol w:w="372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Standard / regulation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Application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Machinery safety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AS/NZS 4024:2019 series</w:t>
            </w:r>
          </w:p>
        </w:tc>
        <w:tc>
          <w:p>
            <w:pPr>
              <w:pStyle w:val="Compact"/>
              <w:jc w:val="left"/>
            </w:pPr>
            <w:r>
              <w:t xml:space="preserve">All mechanical equipment, Options B and 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Electrical equipment of machines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AS/NZS 60204.1</w:t>
            </w:r>
          </w:p>
        </w:tc>
        <w:tc>
          <w:p>
            <w:pPr>
              <w:pStyle w:val="Compact"/>
              <w:jc w:val="left"/>
            </w:pPr>
            <w:r>
              <w:t xml:space="preserve">All phases involving electrical plant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Wiring rules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AS/NZS 3000</w:t>
            </w:r>
          </w:p>
        </w:tc>
        <w:tc>
          <w:p>
            <w:pPr>
              <w:pStyle w:val="Compact"/>
              <w:jc w:val="left"/>
            </w:pPr>
            <w:r>
              <w:t xml:space="preserve">Electrical installation by a licensed Australian contractor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AGV / AMR (if later added)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AS 5144.4:2021</w:t>
            </w:r>
          </w:p>
        </w:tc>
        <w:tc>
          <w:p>
            <w:pPr>
              <w:pStyle w:val="Compact"/>
              <w:jc w:val="left"/>
            </w:pPr>
            <w:r>
              <w:t xml:space="preserve">Not applicable within this scope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EMC / radio equipment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RCM</w:t>
            </w:r>
            <w:r>
              <w:t xml:space="preserve"> </w:t>
            </w:r>
            <w:r>
              <w:t xml:space="preserve">(ACMA)</w:t>
            </w:r>
          </w:p>
        </w:tc>
        <w:tc>
          <w:p>
            <w:pPr>
              <w:pStyle w:val="Compact"/>
              <w:jc w:val="left"/>
            </w:pPr>
            <w:r>
              <w:t xml:space="preserve">RFID equipment and wireless terminals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 in chilled environments</w:t>
            </w:r>
          </w:p>
        </w:tc>
        <w:tc>
          <w:p>
            <w:pPr>
              <w:pStyle w:val="Compact"/>
              <w:jc w:val="left"/>
            </w:pPr>
            <w:r>
              <w:t xml:space="preserve">State WHS Regulations</w:t>
            </w:r>
          </w:p>
        </w:tc>
        <w:tc>
          <w:p>
            <w:pPr>
              <w:pStyle w:val="Compact"/>
              <w:jc w:val="left"/>
            </w:pPr>
            <w:r>
              <w:t xml:space="preserve">Shift duration limits, protective clothing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Food safety</w:t>
            </w:r>
          </w:p>
        </w:tc>
        <w:tc>
          <w:p>
            <w:pPr>
              <w:pStyle w:val="Compact"/>
              <w:jc w:val="left"/>
            </w:pPr>
            <w:r>
              <w:t xml:space="preserve">HACCP; Costa’s certification scheme</w:t>
            </w:r>
          </w:p>
        </w:tc>
        <w:tc>
          <w:p>
            <w:pPr>
              <w:pStyle w:val="Compact"/>
              <w:jc w:val="left"/>
            </w:pPr>
            <w:r>
              <w:t xml:space="preserve">Traceability, temperature records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Trade measurement</w:t>
            </w:r>
          </w:p>
        </w:tc>
        <w:tc>
          <w:p>
            <w:pPr>
              <w:pStyle w:val="Compact"/>
              <w:jc w:val="left"/>
            </w:pPr>
            <w:r>
              <w:t xml:space="preserve">National Measurement Institute</w:t>
            </w:r>
          </w:p>
        </w:tc>
        <w:tc>
          <w:p>
            <w:pPr>
              <w:pStyle w:val="Compact"/>
              <w:jc w:val="left"/>
            </w:pPr>
            <w:r>
              <w:t xml:space="preserve">To be clarified — Section 8.4</w:t>
            </w:r>
          </w:p>
        </w:tc>
      </w:tr>
    </w:tbl>
    <w:p>
      <w:pPr>
        <w:pStyle w:val="BodyText"/>
      </w:pPr>
      <w:r>
        <w:rPr>
          <w:b/>
        </w:rPr>
        <w:t xml:space="preserve">Duties under the WHS Act:</w:t>
      </w:r>
      <w:r>
        <w:t xml:space="preserve"> </w:t>
      </w:r>
      <w:r>
        <w:t xml:space="preserve">we understand the obligations imposed on designers,</w:t>
      </w:r>
      <w:r>
        <w:t xml:space="preserve"> </w:t>
      </w:r>
      <w:r>
        <w:t xml:space="preserve">manufacturers and suppliers of plant under Sections 22–25. All safety devices within scope</w:t>
      </w:r>
      <w:r>
        <w:t xml:space="preserve"> </w:t>
      </w:r>
      <w:r>
        <w:t xml:space="preserve">will be</w:t>
      </w:r>
      <w:r>
        <w:t xml:space="preserve"> </w:t>
      </w:r>
      <w:r>
        <w:rPr>
          <w:b/>
        </w:rPr>
        <w:t xml:space="preserve">certified commercial products</w:t>
      </w:r>
      <w:r>
        <w:t xml:space="preserve"> </w:t>
      </w:r>
      <w:r>
        <w:t xml:space="preserve">(Pilz, SICK, Siemens or equivalent), supplied</w:t>
      </w:r>
      <w:r>
        <w:t xml:space="preserve"> </w:t>
      </w:r>
      <w:r>
        <w:t xml:space="preserve">with Performance Level calculations and validation records to AS/NZS 4024.</w:t>
      </w:r>
    </w:p>
    <w:p>
      <w:r>
        <w:br w:type="page"/>
      </w:r>
    </w:p>
    <w:p>
      <w:pPr>
        <w:pStyle w:val="Heading2"/>
      </w:pPr>
      <w:bookmarkStart w:id="68" w:name="implementation-plan-option-a"/>
      <w:r>
        <w:t xml:space="preserve">11. IMPLEMENTATION PLAN — OPTION A</w:t>
      </w:r>
      <w:bookmarkEnd w:id="68"/>
    </w:p>
    <w:tbl>
      <w:tblPr>
        <w:tblStyle w:val="Table"/>
        <w:tblW w:type="pct" w:w="5000.0"/>
        <w:tblLook w:firstRow="1"/>
      </w:tblPr>
      <w:tblGrid>
        <w:gridCol w:w="1514"/>
        <w:gridCol w:w="2445"/>
        <w:gridCol w:w="1514"/>
        <w:gridCol w:w="244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Site survey and requirements confirmation</w:t>
            </w:r>
          </w:p>
        </w:tc>
        <w:tc>
          <w:p>
            <w:pPr>
              <w:pStyle w:val="Compact"/>
              <w:jc w:val="left"/>
            </w:pPr>
            <w:r>
              <w:t xml:space="preserve">Weeks 1–3</w:t>
            </w:r>
          </w:p>
        </w:tc>
        <w:tc>
          <w:p>
            <w:pPr>
              <w:pStyle w:val="Compact"/>
              <w:jc w:val="left"/>
            </w:pPr>
            <w:r>
              <w:t xml:space="preserve">Survey report, confirmed design basis, firm quotation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Detailed design</w:t>
            </w:r>
          </w:p>
        </w:tc>
        <w:tc>
          <w:p>
            <w:pPr>
              <w:pStyle w:val="Compact"/>
              <w:jc w:val="left"/>
            </w:pPr>
            <w:r>
              <w:t xml:space="preserve">Weeks 4–7</w:t>
            </w:r>
          </w:p>
        </w:tc>
        <w:tc>
          <w:p>
            <w:pPr>
              <w:pStyle w:val="Compact"/>
              <w:jc w:val="left"/>
            </w:pPr>
            <w:r>
              <w:t xml:space="preserve">System design, interface specifications, test plan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Software configuration and integration</w:t>
            </w:r>
          </w:p>
        </w:tc>
        <w:tc>
          <w:p>
            <w:pPr>
              <w:pStyle w:val="Compact"/>
              <w:jc w:val="left"/>
            </w:pPr>
            <w:r>
              <w:t xml:space="preserve">Weeks 8–14</w:t>
            </w:r>
          </w:p>
        </w:tc>
        <w:tc>
          <w:p>
            <w:pPr>
              <w:pStyle w:val="Compact"/>
              <w:jc w:val="left"/>
            </w:pPr>
            <w:r>
              <w:t xml:space="preserve">WMS/WCS operating in test environment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Field hardware installation</w:t>
            </w:r>
          </w:p>
        </w:tc>
        <w:tc>
          <w:p>
            <w:pPr>
              <w:pStyle w:val="Compact"/>
              <w:jc w:val="left"/>
            </w:pPr>
            <w:r>
              <w:t xml:space="preserve">Weeks 13–16</w:t>
            </w:r>
          </w:p>
        </w:tc>
        <w:tc>
          <w:p>
            <w:pPr>
              <w:pStyle w:val="Compact"/>
              <w:jc w:val="left"/>
            </w:pPr>
            <w:r>
              <w:t xml:space="preserve">Scale station, RFID portals, terminals —</w:t>
            </w:r>
            <w:r>
              <w:t xml:space="preserve"> </w:t>
            </w:r>
            <w:r>
              <w:rPr>
                <w:b/>
              </w:rPr>
              <w:t xml:space="preserve">installed outside production hours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testing and parallel run</w:t>
            </w:r>
          </w:p>
        </w:tc>
        <w:tc>
          <w:p>
            <w:pPr>
              <w:pStyle w:val="Compact"/>
              <w:jc w:val="left"/>
            </w:pPr>
            <w:r>
              <w:t xml:space="preserve">Weeks 17–19</w:t>
            </w:r>
          </w:p>
        </w:tc>
        <w:tc>
          <w:p>
            <w:pPr>
              <w:pStyle w:val="Compact"/>
              <w:jc w:val="left"/>
            </w:pPr>
            <w:r>
              <w:t xml:space="preserve">Running alongside the existing process, at no risk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Training and cutover</w:t>
            </w:r>
          </w:p>
        </w:tc>
        <w:tc>
          <w:p>
            <w:pPr>
              <w:pStyle w:val="Compact"/>
              <w:jc w:val="left"/>
            </w:pPr>
            <w:r>
              <w:t xml:space="preserve">Weeks 20–21</w:t>
            </w:r>
          </w:p>
        </w:tc>
        <w:tc>
          <w:p>
            <w:pPr>
              <w:pStyle w:val="Compact"/>
              <w:jc w:val="left"/>
            </w:pPr>
            <w:r>
              <w:t xml:space="preserve">Operating documentation, shift-by-shift training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Acceptance and warranty commencement</w:t>
            </w:r>
          </w:p>
        </w:tc>
        <w:tc>
          <w:p>
            <w:pPr>
              <w:pStyle w:val="Compact"/>
              <w:jc w:val="left"/>
            </w:pPr>
            <w:r>
              <w:t xml:space="preserve">Week 22</w:t>
            </w:r>
          </w:p>
        </w:tc>
        <w:tc>
          <w:p>
            <w:pPr>
              <w:pStyle w:val="Compact"/>
              <w:jc w:val="left"/>
            </w:pPr>
            <w:r>
              <w:t xml:space="preserve">Acceptance certificate, 12-month warranty begins</w:t>
            </w:r>
          </w:p>
        </w:tc>
      </w:tr>
    </w:tbl>
    <w:p>
      <w:pPr>
        <w:pStyle w:val="BodyText"/>
      </w:pPr>
      <w:r>
        <w:rPr>
          <w:b/>
        </w:rPr>
        <w:t xml:space="preserve">Governing principle:</w:t>
      </w:r>
      <w:r>
        <w:t xml:space="preserve"> </w:t>
      </w:r>
      <w:r>
        <w:t xml:space="preserve">the parallel run at Stage 4 means the current process</w:t>
      </w:r>
      <w:r>
        <w:t xml:space="preserve"> </w:t>
      </w:r>
      <w:r>
        <w:rPr>
          <w:b/>
        </w:rPr>
        <w:t xml:space="preserve">continues</w:t>
      </w:r>
      <w:r>
        <w:rPr>
          <w:b/>
        </w:rPr>
        <w:t xml:space="preserve"> </w:t>
      </w:r>
      <w:r>
        <w:rPr>
          <w:b/>
        </w:rPr>
        <w:t xml:space="preserve">to operate normally</w:t>
      </w:r>
      <w:r>
        <w:t xml:space="preserve"> </w:t>
      </w:r>
      <w:r>
        <w:t xml:space="preserve">until the new system has been proven. Costa is never placed in a</w:t>
      </w:r>
      <w:r>
        <w:t xml:space="preserve"> </w:t>
      </w:r>
      <w:r>
        <w:t xml:space="preserve">position without a fallback.</w:t>
      </w:r>
    </w:p>
    <w:p>
      <w:r>
        <w:br w:type="page"/>
      </w:r>
    </w:p>
    <w:p>
      <w:pPr>
        <w:pStyle w:val="Heading2"/>
      </w:pPr>
      <w:bookmarkStart w:id="69" w:name="commercial-structure"/>
      <w:r>
        <w:t xml:space="preserve">12. COMMERCIAL STRUCTURE</w:t>
      </w:r>
      <w:bookmarkEnd w:id="69"/>
    </w:p>
    <w:p>
      <w:pPr>
        <w:pStyle w:val="Heading3"/>
      </w:pPr>
      <w:bookmarkStart w:id="70" w:name="proposed-payment-schedule-option-a"/>
      <w:r>
        <w:t xml:space="preserve">12.1 Proposed payment schedule — Option A</w:t>
      </w:r>
      <w:bookmarkEnd w:id="70"/>
    </w:p>
    <w:tbl>
      <w:tblPr>
        <w:tblStyle w:val="Table"/>
        <w:tblW w:type="pct" w:w="5000.0"/>
        <w:tblLook w:firstRow="1"/>
      </w:tblPr>
      <w:tblGrid>
        <w:gridCol w:w="3028"/>
        <w:gridCol w:w="1514"/>
        <w:gridCol w:w="337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Contract execution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Detailed design approval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p>
            <w:pPr>
              <w:pStyle w:val="Compact"/>
              <w:jc w:val="left"/>
            </w:pPr>
            <w:r>
              <w:t xml:space="preserve">Costa approves the design documentation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Equipment delivered to site</w:t>
            </w:r>
          </w:p>
        </w:tc>
        <w:tc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Parallel run completed</w:t>
            </w:r>
          </w:p>
        </w:tc>
        <w:tc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p>
            <w:pPr>
              <w:pStyle w:val="Compact"/>
              <w:jc w:val="left"/>
            </w:pPr>
            <w:r>
              <w:t xml:space="preserve">Acceptance criteria in Section 13 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 of 12-month warranty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Retention</w:t>
            </w:r>
          </w:p>
        </w:tc>
      </w:tr>
    </w:tbl>
    <w:p>
      <w:pPr>
        <w:pStyle w:val="Heading3"/>
      </w:pPr>
      <w:bookmarkStart w:id="71" w:name="recurring-charges"/>
      <w:r>
        <w:t xml:space="preserve">12.2 Recurring charges</w:t>
      </w:r>
      <w:bookmarkEnd w:id="71"/>
    </w:p>
    <w:tbl>
      <w:tblPr>
        <w:tblStyle w:val="Table"/>
        <w:tblW w:type="pct" w:w="5000.0"/>
        <w:tblLook w:firstRow="1"/>
      </w:tblPr>
      <w:tblGrid>
        <w:gridCol w:w="3028"/>
        <w:gridCol w:w="489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Software subscription and support</w:t>
            </w:r>
          </w:p>
        </w:tc>
        <w:tc>
          <w:p>
            <w:pPr>
              <w:pStyle w:val="Compact"/>
              <w:jc w:val="left"/>
            </w:pPr>
            <w:r>
              <w:t xml:space="preserve">Annual, by site and named user 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Technical support</w:t>
            </w:r>
          </w:p>
        </w:tc>
        <w:tc>
          <w:p>
            <w:pPr>
              <w:pStyle w:val="Compact"/>
              <w:jc w:val="left"/>
            </w:pPr>
            <w:r>
              <w:t xml:space="preserve">Business hours included; 24/7 available as an option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Updates and upgrades</w:t>
            </w:r>
          </w:p>
        </w:tc>
        <w:tc>
          <w:p>
            <w:pPr>
              <w:pStyle w:val="Compact"/>
              <w:jc w:val="left"/>
            </w:pPr>
            <w:r>
              <w:t xml:space="preserve">Included in subscription</w:t>
            </w:r>
          </w:p>
        </w:tc>
      </w:tr>
    </w:tbl>
    <w:p>
      <w:pPr>
        <w:pStyle w:val="BodyText"/>
      </w:pPr>
      <w:r>
        <w:rPr>
          <w:b/>
        </w:rPr>
        <w:t xml:space="preserve">Phase 2 option:</w:t>
      </w:r>
      <w:r>
        <w:t xml:space="preserve"> </w:t>
      </w:r>
      <w:r>
        <w:t xml:space="preserve">survey and design costs incurred in Phase 1 will be</w:t>
      </w:r>
      <w:r>
        <w:t xml:space="preserve"> </w:t>
      </w:r>
      <w:r>
        <w:rPr>
          <w:b/>
        </w:rPr>
        <w:t xml:space="preserve">credited against</w:t>
      </w:r>
      <w:r>
        <w:rPr>
          <w:b/>
        </w:rPr>
        <w:t xml:space="preserve"> </w:t>
      </w:r>
      <w:r>
        <w:rPr>
          <w:b/>
        </w:rPr>
        <w:t xml:space="preserve">Phase 2</w:t>
      </w:r>
      <w:r>
        <w:t xml:space="preserve"> </w:t>
      </w:r>
      <w:r>
        <w:t xml:space="preserve">should Costa elect to proceed within 12 months.</w:t>
      </w:r>
    </w:p>
    <w:p>
      <w:r>
        <w:br w:type="page"/>
      </w:r>
    </w:p>
    <w:p>
      <w:pPr>
        <w:pStyle w:val="Heading2"/>
      </w:pPr>
      <w:bookmarkStart w:id="72" w:name="performance-guarantees"/>
      <w:r>
        <w:t xml:space="preserve">13. PERFORMANCE GUARANTEES</w:t>
      </w:r>
      <w:bookmarkEnd w:id="72"/>
    </w:p>
    <w:p>
      <w:pPr>
        <w:pStyle w:val="FirstParagraph"/>
      </w:pPr>
      <w:r>
        <w:t xml:space="preserve">Guaranteed for Option A, measured over 30 consecutive days following cutover:</w:t>
      </w:r>
    </w:p>
    <w:tbl>
      <w:tblPr>
        <w:tblStyle w:val="Table"/>
        <w:tblW w:type="pct" w:w="5000.0"/>
        <w:tblLook w:firstRow="1"/>
      </w:tblPr>
      <w:tblGrid>
        <w:gridCol w:w="3144"/>
        <w:gridCol w:w="477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Guarantee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Scale station processing rate</w:t>
            </w:r>
          </w:p>
        </w:tc>
        <w:tc>
          <w:p>
            <w:pPr>
              <w:pStyle w:val="Compact"/>
              <w:jc w:val="left"/>
            </w:pPr>
            <w:r>
              <w:t xml:space="preserve">≥ 30 pallets/h (exceeds the 25 pallets/h peak requirement)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RFID first-read success rate</w:t>
            </w:r>
          </w:p>
        </w:tc>
        <w:tc>
          <w:p>
            <w:pPr>
              <w:pStyle w:val="Compact"/>
              <w:jc w:val="left"/>
            </w:pPr>
            <w:r>
              <w:t xml:space="preserve">≥ 99.5%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Inventory data accuracy</w:t>
            </w:r>
          </w:p>
        </w:tc>
        <w:tc>
          <w:p>
            <w:pPr>
              <w:pStyle w:val="Compact"/>
              <w:jc w:val="left"/>
            </w:pPr>
            <w:r>
              <w:t xml:space="preserve">≥ 99.9% on reconciliation stocktake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availability (production hours)</w:t>
            </w:r>
          </w:p>
        </w:tc>
        <w:tc>
          <w:p>
            <w:pPr>
              <w:pStyle w:val="Compact"/>
              <w:jc w:val="left"/>
            </w:pPr>
            <w:r>
              <w:t xml:space="preserve">≥ 99.5%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 to trace a single pallet</w:t>
            </w:r>
          </w:p>
        </w:tc>
        <w:tc>
          <w:p>
            <w:pPr>
              <w:pStyle w:val="Compact"/>
              <w:jc w:val="left"/>
            </w:pPr>
            <w:r>
              <w:t xml:space="preserve">≤ 10 seconds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 time, critical incident</w:t>
            </w:r>
          </w:p>
        </w:tc>
        <w:tc>
          <w:p>
            <w:pPr>
              <w:pStyle w:val="Compact"/>
              <w:jc w:val="left"/>
            </w:pPr>
            <w:r>
              <w:t xml:space="preserve">≤ 4 hours within business hours</w:t>
            </w:r>
          </w:p>
        </w:tc>
      </w:tr>
    </w:tbl>
    <w:p>
      <w:pPr>
        <w:pStyle w:val="BodyText"/>
      </w:pPr>
      <w:r>
        <w:t xml:space="preserve">Should a guarantee not be met following the agreed rectification period, we bear the cost</w:t>
      </w:r>
      <w:r>
        <w:t xml:space="preserve"> </w:t>
      </w:r>
      <w:r>
        <w:t xml:space="preserve">of remediation and Costa may withhold the corresponding payment milestone.</w:t>
      </w:r>
    </w:p>
    <w:p>
      <w:r>
        <w:br w:type="page"/>
      </w:r>
    </w:p>
    <w:p>
      <w:pPr>
        <w:pStyle w:val="Heading2"/>
      </w:pPr>
      <w:bookmarkStart w:id="73" w:name="assumptions-exclusions-and-risks"/>
      <w:r>
        <w:t xml:space="preserve">14. ASSUMPTIONS, EXCLUSIONS AND RISKS</w:t>
      </w:r>
      <w:bookmarkEnd w:id="73"/>
    </w:p>
    <w:p>
      <w:pPr>
        <w:pStyle w:val="Heading3"/>
      </w:pPr>
      <w:bookmarkStart w:id="74" w:name="Xe24d29b68ce97bac515d07a716862ee6073d7b0"/>
      <w:r>
        <w:t xml:space="preserve">14.1 Assumptions requiring Costa’s confirmation</w:t>
      </w:r>
      <w:bookmarkEnd w:id="74"/>
    </w:p>
    <w:tbl>
      <w:tblPr>
        <w:tblStyle w:val="Table"/>
        <w:tblW w:type="pct" w:w="5000.0"/>
        <w:tblLook w:firstRow="1"/>
      </w:tblPr>
      <w:tblGrid>
        <w:gridCol w:w="1514"/>
        <w:gridCol w:w="2678"/>
        <w:gridCol w:w="372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Assumption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Consequence if incorrect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Box dimensions ~400 × 300 × 130 mm for both types</w:t>
            </w:r>
          </w:p>
        </w:tc>
        <w:tc>
          <w:p>
            <w:pPr>
              <w:pStyle w:val="Compact"/>
              <w:jc w:val="left"/>
            </w:pPr>
            <w:r>
              <w:t xml:space="preserve">Governs pallet pattern, boxes/pallet and gripper design.</w:t>
            </w:r>
            <w:r>
              <w:t xml:space="preserve"> </w:t>
            </w:r>
            <w:r>
              <w:rPr>
                <w:b/>
              </w:rPr>
              <w:t xml:space="preserve">Both types must be measured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p>
            <w:pPr>
              <w:pStyle w:val="Compact"/>
              <w:jc w:val="left"/>
            </w:pPr>
            <w:r>
              <w:t xml:space="preserve">72 boxes/pallet (8 per layer × 9 layers), 288 kg</w:t>
            </w:r>
          </w:p>
        </w:tc>
        <w:tc>
          <w:p>
            <w:pPr>
              <w:pStyle w:val="Compact"/>
              <w:jc w:val="left"/>
            </w:pPr>
            <w:r>
              <w:t xml:space="preserve">Derived from (1). If incorrect, the entire scaling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1c</w:t>
            </w:r>
          </w:p>
        </w:tc>
        <w:tc>
          <w:p>
            <w:pPr>
              <w:pStyle w:val="Compact"/>
              <w:jc w:val="left"/>
            </w:pPr>
            <w:r>
              <w:t xml:space="preserve">Barcodes applied at a</w:t>
            </w:r>
            <w:r>
              <w:t xml:space="preserve"> </w:t>
            </w:r>
            <w:r>
              <w:rPr>
                <w:b/>
              </w:rPr>
              <w:t xml:space="preserve">consistent position</w:t>
            </w:r>
            <w:r>
              <w:t xml:space="preserve"> </w:t>
            </w:r>
            <w:r>
              <w:t xml:space="preserve">on the box</w:t>
            </w:r>
          </w:p>
        </w:tc>
        <w:tc>
          <w:p>
            <w:pPr>
              <w:pStyle w:val="Compact"/>
              <w:jc w:val="left"/>
            </w:pPr>
            <w:r>
              <w:t xml:space="preserve">If arbitrary, a multi-angle reader array or vision system is required — more costly and slower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Dwell time of 24 hours</w:t>
            </w:r>
          </w:p>
        </w:tc>
        <w:tc>
          <w:p>
            <w:pPr>
              <w:pStyle w:val="Compact"/>
              <w:jc w:val="left"/>
            </w:pPr>
            <w:r>
              <w:t xml:space="preserve">Fourfold capacity difference between 12 h and 48 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Australian Standard Pallet 1165 × 1165 mm</w:t>
            </w:r>
          </w:p>
        </w:tc>
        <w:tc>
          <w:p>
            <w:pPr>
              <w:pStyle w:val="Compact"/>
              <w:jc w:val="left"/>
            </w:pPr>
            <w:r>
              <w:t xml:space="preserve">Affects racking and conveyor design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12 packing hours per day</w:t>
            </w:r>
          </w:p>
        </w:tc>
        <w:tc>
          <w:p>
            <w:pPr>
              <w:pStyle w:val="Compact"/>
              <w:jc w:val="left"/>
            </w:pPr>
            <w:r>
              <w:t xml:space="preserve">Determines required throughput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Existing refrigeration capacity is adequate</w:t>
            </w:r>
          </w:p>
        </w:tc>
        <w:tc>
          <w:p>
            <w:pPr>
              <w:pStyle w:val="Compact"/>
              <w:jc w:val="left"/>
            </w:pPr>
            <w:r>
              <w:t xml:space="preserve">If not, a significant additional work package arises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70% container / 30% truck dispatch split</w:t>
            </w:r>
          </w:p>
        </w:tc>
        <w:tc>
          <w:p>
            <w:pPr>
              <w:pStyle w:val="Compact"/>
              <w:jc w:val="left"/>
            </w:pPr>
            <w:r>
              <w:t xml:space="preserve">Affects dispatch door 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Existing IT infrastructure is adequate</w:t>
            </w:r>
          </w:p>
        </w:tc>
        <w:tc>
          <w:p>
            <w:pPr>
              <w:pStyle w:val="Compact"/>
              <w:jc w:val="left"/>
            </w:pPr>
            <w:r>
              <w:t xml:space="preserve">Network upgrade may otherwise be required</w:t>
            </w:r>
          </w:p>
        </w:tc>
      </w:tr>
    </w:tbl>
    <w:p>
      <w:pPr>
        <w:pStyle w:val="Heading3"/>
      </w:pPr>
      <w:bookmarkStart w:id="75" w:name="exclusions-from-scope"/>
      <w:r>
        <w:t xml:space="preserve">14.2 Exclusions from scope</w:t>
      </w:r>
      <w:bookmarkEnd w:id="75"/>
    </w:p>
    <w:p>
      <w:pPr>
        <w:numPr>
          <w:ilvl w:val="0"/>
          <w:numId w:val="1017"/>
        </w:numPr>
        <w:pStyle w:val="Compact"/>
      </w:pPr>
      <w:r>
        <w:t xml:space="preserve">Refrigeration plant upgrade (compressors, evaporators) — quoted separately post-survey</w:t>
      </w:r>
    </w:p>
    <w:p>
      <w:pPr>
        <w:numPr>
          <w:ilvl w:val="0"/>
          <w:numId w:val="1017"/>
        </w:numPr>
        <w:pStyle w:val="Compact"/>
      </w:pPr>
      <w:r>
        <w:t xml:space="preserve">Structural works, floor strengthening, building approvals</w:t>
      </w:r>
    </w:p>
    <w:p>
      <w:pPr>
        <w:numPr>
          <w:ilvl w:val="0"/>
          <w:numId w:val="1017"/>
        </w:numPr>
        <w:pStyle w:val="Compact"/>
      </w:pPr>
      <w:r>
        <w:t xml:space="preserve">Electrical installation — to be performed by a licensed Australian contractor</w:t>
      </w:r>
    </w:p>
    <w:p>
      <w:pPr>
        <w:numPr>
          <w:ilvl w:val="0"/>
          <w:numId w:val="1017"/>
        </w:numPr>
        <w:pStyle w:val="Compact"/>
      </w:pPr>
      <w:r>
        <w:t xml:space="preserve">Supply of forklifts</w:t>
      </w:r>
    </w:p>
    <w:p>
      <w:pPr>
        <w:numPr>
          <w:ilvl w:val="0"/>
          <w:numId w:val="1017"/>
        </w:numPr>
        <w:pStyle w:val="Compact"/>
      </w:pPr>
      <w:r>
        <w:t xml:space="preserve">Permit and regulatory authority fees</w:t>
      </w:r>
    </w:p>
    <w:p>
      <w:pPr>
        <w:numPr>
          <w:ilvl w:val="0"/>
          <w:numId w:val="1017"/>
        </w:numPr>
        <w:pStyle w:val="Compact"/>
      </w:pPr>
      <w:r>
        <w:t xml:space="preserve">Modifications to Costa’s existing ERP</w:t>
      </w:r>
    </w:p>
    <w:p>
      <w:pPr>
        <w:pStyle w:val="Heading3"/>
      </w:pPr>
      <w:bookmarkStart w:id="76" w:name="principal-risks"/>
      <w:r>
        <w:t xml:space="preserve">14.3 Principal risks</w:t>
      </w:r>
      <w:bookmarkEnd w:id="76"/>
    </w:p>
    <w:tbl>
      <w:tblPr>
        <w:tblStyle w:val="Table"/>
        <w:tblW w:type="pct" w:w="5000.0"/>
        <w:tblLook w:firstRow="1"/>
      </w:tblPr>
      <w:tblGrid>
        <w:gridCol w:w="2678"/>
        <w:gridCol w:w="1514"/>
        <w:gridCol w:w="372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Clear height insufficient for Option C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Measured at Stage 0 survey before any commitment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Existing refrigeration capacity inadequate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p>
            <w:pPr>
              <w:pStyle w:val="Compact"/>
              <w:jc w:val="left"/>
            </w:pPr>
            <w:r>
              <w:t xml:space="preserve">Cooling load assessment during survey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Humidity damage to electronic equipment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p>
            <w:pPr>
              <w:pStyle w:val="Compact"/>
              <w:jc w:val="left"/>
            </w:pPr>
            <w:r>
              <w:t xml:space="preserve">IP65+ equipment with heated enclosures; separate warranty terms for chilled zone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 growth beyond 60 tonnes/day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p>
            <w:pPr>
              <w:pStyle w:val="Compact"/>
              <w:jc w:val="left"/>
            </w:pPr>
            <w:r>
              <w:t xml:space="preserve">20% design margin applied; growth plan to be confirmed with Costa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Operator resistance to change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p>
            <w:pPr>
              <w:pStyle w:val="Compact"/>
              <w:jc w:val="left"/>
            </w:pPr>
            <w:r>
              <w:t xml:space="preserve">Parallel running, shift-by-shift training, key users engaged from the outset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Floor loading inadequate for high-bay racking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p>
            <w:pPr>
              <w:pStyle w:val="Compact"/>
              <w:jc w:val="left"/>
            </w:pPr>
            <w:r>
              <w:t xml:space="preserve">Structural assessment during survey</w:t>
            </w:r>
          </w:p>
        </w:tc>
      </w:tr>
    </w:tbl>
    <w:p>
      <w:r>
        <w:br w:type="page"/>
      </w:r>
    </w:p>
    <w:p>
      <w:pPr>
        <w:pStyle w:val="Heading2"/>
      </w:pPr>
      <w:bookmarkStart w:id="77" w:name="next-steps"/>
      <w:r>
        <w:t xml:space="preserve">15. NEXT STEPS</w:t>
      </w:r>
      <w:bookmarkEnd w:id="77"/>
    </w:p>
    <w:p>
      <w:pPr>
        <w:pStyle w:val="FirstParagraph"/>
      </w:pPr>
      <w:r>
        <w:t xml:space="preserve">We propose commencing with a two to three day site survey (nominal cost, credited in full</w:t>
      </w:r>
      <w:r>
        <w:t xml:space="preserve"> </w:t>
      </w:r>
      <w:r>
        <w:t xml:space="preserve">should the engagement proceed), covering:</w:t>
      </w:r>
    </w:p>
    <w:p>
      <w:pPr>
        <w:pStyle w:val="BodyText"/>
      </w:pPr>
      <w:r>
        <w:rPr>
          <w:b/>
        </w:rPr>
        <w:t xml:space="preserve">Cold store and structure</w:t>
      </w:r>
    </w:p>
    <w:p>
      <w:pPr>
        <w:numPr>
          <w:ilvl w:val="0"/>
          <w:numId w:val="1018"/>
        </w:numPr>
        <w:pStyle w:val="Compact"/>
      </w:pPr>
      <w:r>
        <w:t xml:space="preserve">Measure available clear height, column positions and floor loading at M1 and M2</w:t>
      </w:r>
    </w:p>
    <w:p>
      <w:pPr>
        <w:numPr>
          <w:ilvl w:val="0"/>
          <w:numId w:val="1018"/>
        </w:numPr>
        <w:pStyle w:val="Compact"/>
      </w:pPr>
      <w:r>
        <w:t xml:space="preserve">Assess installed refrigeration capacity and plant condition</w:t>
      </w:r>
    </w:p>
    <w:p>
      <w:pPr>
        <w:numPr>
          <w:ilvl w:val="0"/>
          <w:numId w:val="1018"/>
        </w:numPr>
        <w:pStyle w:val="Compact"/>
      </w:pPr>
      <w:r>
        <w:t xml:space="preserve">Record actual dwell time over the preceding two weeks</w:t>
      </w:r>
    </w:p>
    <w:p>
      <w:pPr>
        <w:numPr>
          <w:ilvl w:val="0"/>
          <w:numId w:val="1018"/>
        </w:numPr>
        <w:pStyle w:val="Compact"/>
      </w:pPr>
      <w:r>
        <w:t xml:space="preserve">Measure forklift hours spent inside the cold store</w:t>
      </w:r>
    </w:p>
    <w:p>
      <w:pPr>
        <w:pStyle w:val="FirstParagraph"/>
      </w:pPr>
      <w:r>
        <w:rPr>
          <w:b/>
        </w:rPr>
        <w:t xml:space="preserve">Product and packaging</w:t>
      </w:r>
      <w:r>
        <w:t xml:space="preserve"> </w:t>
      </w:r>
      <w:r>
        <w:rPr>
          <w:i/>
        </w:rPr>
        <w:t xml:space="preserve">(governs palletising system design)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Measure actual dimensions of both box types</w:t>
      </w:r>
      <w:r>
        <w:t xml:space="preserve"> </w:t>
      </w:r>
      <w:r>
        <w:t xml:space="preserve">(L × W × H) and assess rigidity</w:t>
      </w:r>
    </w:p>
    <w:p>
      <w:pPr>
        <w:numPr>
          <w:ilvl w:val="0"/>
          <w:numId w:val="1019"/>
        </w:numPr>
        <w:pStyle w:val="Compact"/>
      </w:pPr>
      <w:r>
        <w:t xml:space="preserve">Obtain</w:t>
      </w:r>
      <w:r>
        <w:t xml:space="preserve"> </w:t>
      </w:r>
      <w:r>
        <w:rPr>
          <w:b/>
        </w:rPr>
        <w:t xml:space="preserve">10–20 sample boxes of each type</w:t>
      </w:r>
      <w:r>
        <w:t xml:space="preserve"> </w:t>
      </w:r>
      <w:r>
        <w:t xml:space="preserve">for gripper trials</w:t>
      </w:r>
    </w:p>
    <w:p>
      <w:pPr>
        <w:numPr>
          <w:ilvl w:val="0"/>
          <w:numId w:val="1019"/>
        </w:numPr>
        <w:pStyle w:val="Compact"/>
      </w:pPr>
      <w:r>
        <w:t xml:space="preserve">Confirm whether barcode placement is</w:t>
      </w:r>
      <w:r>
        <w:t xml:space="preserve"> </w:t>
      </w:r>
      <w:r>
        <w:rPr>
          <w:b/>
        </w:rPr>
        <w:t xml:space="preserve">consistent or arbitrary</w:t>
      </w:r>
    </w:p>
    <w:p>
      <w:pPr>
        <w:numPr>
          <w:ilvl w:val="0"/>
          <w:numId w:val="1019"/>
        </w:numPr>
        <w:pStyle w:val="Compact"/>
      </w:pPr>
      <w:r>
        <w:t xml:space="preserve">Confirm the existing barcode data structure (crew, grade, grow room)</w:t>
      </w:r>
    </w:p>
    <w:p>
      <w:pPr>
        <w:numPr>
          <w:ilvl w:val="0"/>
          <w:numId w:val="1019"/>
        </w:numPr>
        <w:pStyle w:val="Compact"/>
      </w:pPr>
      <w:r>
        <w:t xml:space="preserve">Record boxes per pallet currently applied to each type</w:t>
      </w:r>
    </w:p>
    <w:p>
      <w:pPr>
        <w:pStyle w:val="FirstParagraph"/>
      </w:pPr>
      <w:r>
        <w:rPr>
          <w:b/>
        </w:rPr>
        <w:t xml:space="preserve">Temperature</w:t>
      </w:r>
      <w:r>
        <w:t xml:space="preserve"> </w:t>
      </w:r>
      <w:r>
        <w:rPr>
          <w:i/>
        </w:rPr>
        <w:t xml:space="preserve">(may reorder investment priorities — Section 6.7)</w:t>
      </w:r>
    </w:p>
    <w:p>
      <w:pPr>
        <w:numPr>
          <w:ilvl w:val="0"/>
          <w:numId w:val="1020"/>
        </w:numPr>
        <w:pStyle w:val="Compact"/>
      </w:pPr>
      <w:r>
        <w:t xml:space="preserve">Measure product temperature at</w:t>
      </w:r>
      <w:r>
        <w:t xml:space="preserve"> </w:t>
      </w:r>
      <w:r>
        <w:rPr>
          <w:b/>
        </w:rPr>
        <w:t xml:space="preserve">four points</w:t>
      </w:r>
      <w:r>
        <w:t xml:space="preserve">: leaving the grow room · after packing ·</w:t>
      </w:r>
      <w:r>
        <w:t xml:space="preserve"> </w:t>
      </w:r>
      <w:r>
        <w:t xml:space="preserve">before entering the store · after four hours in store</w:t>
      </w:r>
    </w:p>
    <w:p>
      <w:pPr>
        <w:numPr>
          <w:ilvl w:val="0"/>
          <w:numId w:val="1020"/>
        </w:numPr>
        <w:pStyle w:val="Compact"/>
      </w:pPr>
      <w:r>
        <w:t xml:space="preserve">Record average elapsed time between packing and entry to the cold store</w:t>
      </w:r>
    </w:p>
    <w:p>
      <w:pPr>
        <w:numPr>
          <w:ilvl w:val="0"/>
          <w:numId w:val="1020"/>
        </w:numPr>
        <w:pStyle w:val="Compact"/>
      </w:pPr>
      <w:r>
        <w:t xml:space="preserve">Inspect for condensation at the dispatch doors</w:t>
      </w:r>
    </w:p>
    <w:p>
      <w:pPr>
        <w:pStyle w:val="FirstParagraph"/>
      </w:pPr>
      <w:r>
        <w:rPr>
          <w:b/>
        </w:rPr>
        <w:t xml:space="preserve">Operations and systems</w:t>
      </w:r>
    </w:p>
    <w:p>
      <w:pPr>
        <w:numPr>
          <w:ilvl w:val="0"/>
          <w:numId w:val="1021"/>
        </w:numPr>
        <w:pStyle w:val="Compact"/>
      </w:pPr>
      <w:r>
        <w:t xml:space="preserve">Observe hourly throughput profile across one genuine peak day</w:t>
      </w:r>
    </w:p>
    <w:p>
      <w:pPr>
        <w:numPr>
          <w:ilvl w:val="0"/>
          <w:numId w:val="1021"/>
        </w:numPr>
        <w:pStyle w:val="Compact"/>
      </w:pPr>
      <w:r>
        <w:t xml:space="preserve">Record the actual number of concurrent SKUs over one week</w:t>
      </w:r>
    </w:p>
    <w:p>
      <w:pPr>
        <w:numPr>
          <w:ilvl w:val="0"/>
          <w:numId w:val="1021"/>
        </w:numPr>
        <w:pStyle w:val="Compact"/>
      </w:pPr>
      <w:r>
        <w:t xml:space="preserve">Measure available floor area for a robot cell at both plants</w:t>
      </w:r>
    </w:p>
    <w:p>
      <w:pPr>
        <w:numPr>
          <w:ilvl w:val="0"/>
          <w:numId w:val="1021"/>
        </w:numPr>
        <w:pStyle w:val="Compact"/>
      </w:pPr>
      <w:r>
        <w:t xml:space="preserve">Review existing IT infrastructure and ERP</w:t>
      </w:r>
    </w:p>
    <w:p>
      <w:pPr>
        <w:numPr>
          <w:ilvl w:val="0"/>
          <w:numId w:val="1021"/>
        </w:numPr>
        <w:pStyle w:val="Compact"/>
      </w:pPr>
      <w:r>
        <w:t xml:space="preserve">Clarify trade measurement obligations applying to weighing</w:t>
      </w:r>
    </w:p>
    <w:p>
      <w:pPr>
        <w:pStyle w:val="FirstParagraph"/>
      </w:pPr>
      <w:r>
        <w:rPr>
          <w:b/>
        </w:rPr>
        <w:t xml:space="preserve">Deliverables following the survey:</w:t>
      </w:r>
      <w:r>
        <w:t xml:space="preserve"> </w:t>
      </w:r>
      <w:r>
        <w:t xml:space="preserve">a current-state report, a confirmed design basis,</w:t>
      </w:r>
      <w:r>
        <w:t xml:space="preserve"> </w:t>
      </w:r>
      <w:r>
        <w:t xml:space="preserve">and a</w:t>
      </w:r>
      <w:r>
        <w:t xml:space="preserve"> </w:t>
      </w:r>
      <w:r>
        <w:rPr>
          <w:b/>
        </w:rPr>
        <w:t xml:space="preserve">firm quotation</w:t>
      </w:r>
      <w:r>
        <w:t xml:space="preserve"> </w:t>
      </w:r>
      <w:r>
        <w:t xml:space="preserve">for Option A together with revised estimates for Options B and 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This proposal is based on information provided by Costa Mushroom as at 20 August 2026.</w:t>
      </w:r>
      <w:r>
        <w:rPr>
          <w:i/>
        </w:rPr>
        <w:t xml:space="preserve"> </w:t>
      </w:r>
      <w:r>
        <w:rPr>
          <w:i/>
        </w:rPr>
        <w:t xml:space="preserve">The engineering figures in Section 2 have been independently verified by calculation.</w:t>
      </w:r>
      <w:r>
        <w:rPr>
          <w:i/>
        </w:rPr>
        <w:t xml:space="preserve"> </w:t>
      </w:r>
      <w:r>
        <w:rPr>
          <w:i/>
        </w:rPr>
        <w:t xml:space="preserve">Budget ranges are indicative for planning purposes and will be replaced by firm pricing</w:t>
      </w:r>
      <w:r>
        <w:rPr>
          <w:i/>
        </w:rPr>
        <w:t xml:space="preserve"> </w:t>
      </w:r>
      <w:r>
        <w:rPr>
          <w:i/>
        </w:rPr>
        <w:t xml:space="preserve">following the site survey.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0" w:after="120"/>
    </w:pPr>
    <w:qFormat/>
    <w:rPr>
      <w:sz w:val="20"/>
      <w:szCs w:val="20"/>
    </w:rPr>
  </w:style>
  <w:style w:type="paragraph" w:customStyle="1" w:styleId="FirstParagraph">
    <w:name w:val="First Paragraph"/>
    <w:basedOn w:val="BodyText"/>
    <w:next w:val="BodyText"/>
    <w:qFormat/>
    <w:rPr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spacing w:before="360" w:after="180"/>
      <w:keepNext/>
      <w:keepLines/>
      <w:outlineLvl w:val="0"/>
    </w:pPr>
    <w:rPr>
      <w:b/>
      <w:sz w:val="30"/>
      <w:szCs w:val="30"/>
      <w:color w:val="1F3864"/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spacing w:before="260" w:after="130"/>
      <w:keepNext/>
      <w:keepLines/>
      <w:outlineLvl w:val="1"/>
    </w:pPr>
    <w:rPr>
      <w:b/>
      <w:sz w:val="24"/>
      <w:szCs w:val="24"/>
      <w:color w:val="2E74B5"/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spacing w:before="200" w:after="100"/>
      <w:keepNext/>
      <w:keepLines/>
      <w:outlineLvl w:val="2"/>
    </w:pPr>
    <w:rPr>
      <w:b/>
      <w:sz w:val="21"/>
      <w:szCs w:val="21"/>
      <w:color w:val="333333"/>
      <w:rFonts w:asciiTheme="majorHAnsi" w:eastAsiaTheme="majorEastAsia" w:hAnsiTheme="majorHAnsi" w:cstheme="majorBidi"/>
      <w:b/>
      <w:bCs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sz w:val="19"/>
      <w:szCs w:val="19"/>
      <w:color w:val="1F3864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Pr>
      <w:sz w:val="17"/>
      <w:szCs w:val="17"/>
      <w:color w:val="5B6B7C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9" Target="media/rId39.png" /><Relationship Type="http://schemas.openxmlformats.org/officeDocument/2006/relationships/image" Id="rId41" Target="media/rId41.png" /><Relationship Type="http://schemas.openxmlformats.org/officeDocument/2006/relationships/image" Id="rId43" Target="media/rId43.png" /><Relationship Type="http://schemas.openxmlformats.org/officeDocument/2006/relationships/image" Id="rId45" Target="media/rId45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PROPOSAL</dc:title>
  <dc:creator/>
  <dc:language>en-AU</dc:language>
  <cp:keywords/>
  <dcterms:created xsi:type="dcterms:W3CDTF">2026-08-20T06:42:35Z</dcterms:created>
  <dcterms:modified xsi:type="dcterms:W3CDTF">2026-08-20T06:42:35Z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Finished Goods Cold Store — Management &amp; Automation System | Costa Mushroom, Plant M1 &amp; M2</vt:lpwstr>
  </property>
</Properties>
</file>