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Heading1"/>
      </w:pPr>
      <w:r>
        <w:t xml:space="preserve">TimeFlow实验思路与超参数范围整理</w:t>
      </w:r>
    </w:p>
    <w:p>
      <w:pPr>
        <w:pStyle w:val="Heading2"/>
      </w:pPr>
      <w:r>
        <w:t xml:space="preserve">第一节 采样超参数范围</w:t>
      </w:r>
    </w:p>
    <w:p>
      <w:r>
        <w:t xml:space="preserve">本节根据 scripts/draw_hyperparameters_LHS.py 当前版本整理。该脚本采用 Latin Hypercube Sampling（LHS）生成群体超参数样本，但当前真正参与变化的参数只有部分维度，其余参数被固定。</w:t>
      </w:r>
    </w:p>
    <w:p>
      <w:r>
        <w:t xml:space="preserve">1. 固定参数：</w:t>
      </w:r>
    </w:p>
    <w:p>
      <w:r>
        <w:t xml:space="preserve">   zp = 1.9</w:t>
      </w:r>
    </w:p>
    <w:p>
      <w:r>
        <w:t xml:space="preserve">   alpha_z = 2.7</w:t>
      </w:r>
    </w:p>
    <w:p>
      <w:r>
        <w:t xml:space="preserve">   beta_z = 2.9</w:t>
      </w:r>
    </w:p>
    <w:p>
      <w:r>
        <w:t xml:space="preserve">   m_max = 100.0</w:t>
      </w:r>
    </w:p>
    <w:p>
      <w:r>
        <w:t xml:space="preserve">   m_min = 2.0</w:t>
      </w:r>
    </w:p>
    <w:p>
      <w:r>
        <w:t xml:space="preserve">   lambda_peak = 0.04</w:t>
      </w:r>
    </w:p>
    <w:p>
      <w:r>
        <w:t xml:space="preserve">   beta_q = 1.08</w:t>
      </w:r>
    </w:p>
    <w:p>
      <w:r>
        <w:t xml:space="preserve">2. 当前采用LHS采样的参数范围：</w:t>
      </w:r>
    </w:p>
    <w:p>
      <w:r>
        <w:t xml:space="preserve">   alpha_m ∈ [-3.0, 7.0]</w:t>
      </w:r>
    </w:p>
    <w:p>
      <w:r>
        <w:t xml:space="preserve">   delta_m ∈ [0.0, 10.0]</w:t>
      </w:r>
    </w:p>
    <w:p>
      <w:r>
        <w:t xml:space="preserve">   mu_m ∈ [25.0, 100.0]</w:t>
      </w:r>
    </w:p>
    <w:p>
      <w:r>
        <w:t xml:space="preserve">   sigma_m ∈ [0.1, 5.0]</w:t>
      </w:r>
    </w:p>
    <w:p>
      <w:r>
        <w:t xml:space="preserve">3. 采样方式说明：</w:t>
      </w:r>
    </w:p>
    <w:p>
      <w:r>
        <w:t xml:space="preserve">脚本先在单位超立方体内做LHS采样，再把各维样本线性映射到目标物理范围。与普通独立均匀采样相比，LHS在每一维上的覆盖更均匀，更适合在有限样本数下探索参数空间。</w:t>
      </w:r>
    </w:p>
    <w:p>
      <w:pPr>
        <w:pStyle w:val="Heading2"/>
      </w:pPr>
      <w:r>
        <w:t xml:space="preserve">第二节 实验思路</w:t>
      </w:r>
    </w:p>
    <w:p>
      <w:r>
        <w:t xml:space="preserve">当前TimeFlow实验主线可以概括为以下步骤。</w:t>
      </w:r>
    </w:p>
    <w:p>
      <w:r>
        <w:t xml:space="preserve">1. 先采样群体超参数。每一组超参数定义一个双黑洞群体模型，决定红移分布、主质量分布、峰值成分以及质量比等总体性质。</w:t>
      </w:r>
    </w:p>
    <w:p>
      <w:r>
        <w:t xml:space="preserve">2. 由群体超参数继续采样具体CBC事件参数，例如并合时间、主次质量、红移、距离和天空位置等，从而得到该组超参数下的一批离散事件。</w:t>
      </w:r>
    </w:p>
    <w:p>
      <w:r>
        <w:t xml:space="preserve">3. 生成双探测器信号并与噪声叠加。首先按固定采样率和固定frame长度构造长时序数据，再把落入当前时间窗的CBC事件逐个注入到H1和L1探测器响应中，必要时对过强事件进行筛除。</w:t>
      </w:r>
    </w:p>
    <w:p>
      <w:r>
        <w:t xml:space="preserve">4. 将长时序frame切分为训练样本。每个切片保存为一个npy文件，内部包含双探测器输入数据以及对应的群体超参数标签。</w:t>
      </w:r>
    </w:p>
    <w:p>
      <w:r>
        <w:t xml:space="preserve">5. 构造模型输入表示。当前主要有两类输入：一类是原始时域双通道序列，另一类是从双探测器时域数据中提取的频域统计特征，例如PSD、CPSD和coherence。</w:t>
      </w:r>
    </w:p>
    <w:p>
      <w:r>
        <w:t xml:space="preserve">6. 使用条件归一化流学习后验分布。编码器先从输入x中提取条件特征，再由normalizing flow学习 p(theta | x)，其中theta表示待恢复的群体超参数。</w:t>
      </w:r>
    </w:p>
    <w:p>
      <w:r>
        <w:t xml:space="preserve">7. 在测试集上评估模型后验质量。常用指标包括NLL、cov68/cov95以及ci68/r、ci95/r，并结合一维边缘后验、二维联合后验和多维整体NLL来综合判断模型表现。</w:t>
      </w:r>
    </w:p>
    <w:p>
      <w:r>
        <w:t xml:space="preserve">整体上，这条实验线关注的问题是：在给定双探测器输入的情况下，模型能否稳定恢复出对应的群体超参数分布，并且在不同输入表示、不同参数维数和不同数据构造方式下保持合理的校准和收窄能力。</w:t>
      </w:r>
    </w:p>
    <w:p>
      <w:r>
        <w:t>第三节 后验评估指标计算方式</w:t>
      </w:r>
    </w:p>
    <w:p>
      <w:r>
        <w:t>本节说明测试脚本中常用的三个指标：cov68、ci68 和 ci68/r。它们都按参数维度分别统计，并在整个测试集上取平均。</w:t>
      </w:r>
    </w:p>
    <w:p>
      <w:r>
        <w:t>1. cov68 的定义</w:t>
      </w:r>
    </w:p>
    <w:p>
      <w:r>
        <w:t>对测试集中的每个样本 i 和某个参数维度 j，先从模型给出的后验样本中计算第 16 百分位 q16(i,j) 与第 84 百分位 q84(i,j)。于是该参数的一维 68% 后验区间定义为：</w:t>
      </w:r>
    </w:p>
    <w:p>
      <w:r>
        <w:t>[q16(i,j), q84(i,j)]</w:t>
      </w:r>
    </w:p>
    <w:p>
      <w:r>
        <w:t>再判断真实标签 theta_true(i,j) 是否落在该区间内。若落在区间内记为 1，否则记为 0。于是 cov68 在参数维度 j 上的定义为：</w:t>
      </w:r>
    </w:p>
    <w:p>
      <w:r>
        <w:t>cov68_j = mean_i 1[q16(i,j) &lt;= theta_true(i,j) &lt;= q84(i,j)]</w:t>
      </w:r>
    </w:p>
    <w:p>
      <w:r>
        <w:t>因此，cov68 表示：模型给出的 68% 后验区间，在整个测试集中有多少比例真的包含了真值。理想情况下 cov68 应接近 0.68。</w:t>
      </w:r>
    </w:p>
    <w:p>
      <w:r>
        <w:t>2. ci68 的定义</w:t>
      </w:r>
    </w:p>
    <w:p>
      <w:r>
        <w:t>对每个样本 i、每个参数维度 j，68% 后验区间宽度定义为：</w:t>
      </w:r>
    </w:p>
    <w:p>
      <w:r>
        <w:t>ci68(i,j) = q84(i,j) - q16(i,j)</w:t>
      </w:r>
    </w:p>
    <w:p>
      <w:r>
        <w:t>然后在整个测试集上取平均，得到该参数维度上的平均区间宽度：</w:t>
      </w:r>
    </w:p>
    <w:p>
      <w:r>
        <w:t>ci68_j = mean_i [q84(i,j) - q16(i,j)]</w:t>
      </w:r>
    </w:p>
    <w:p>
      <w:r>
        <w:t>因此，ci68 反映的是：模型对某个参数给出的 68% 后验区间平均有多宽。</w:t>
      </w:r>
    </w:p>
    <w:p>
      <w:r>
        <w:t>3. ci68/r 的定义</w:t>
      </w:r>
    </w:p>
    <w:p>
      <w:r>
        <w:t>由于不同参数的物理量纲和取值范围不同，直接比较 ci68 不够公平，因此进一步用该参数的原始取值范围宽度 r_j 做归一化，其中：</w:t>
      </w:r>
    </w:p>
    <w:p>
      <w:r>
        <w:t>r_j = theta_max(j) - theta_min(j)</w:t>
      </w:r>
    </w:p>
    <w:p>
      <w:r>
        <w:t>于是：</w:t>
      </w:r>
    </w:p>
    <w:p>
      <w:r>
        <w:t>ci68/r_j = mean_i [(q84(i,j) - q16(i,j)) / r_j]</w:t>
      </w:r>
    </w:p>
    <w:p>
      <w:r>
        <w:t>因为 r_j 对于固定参数维度是常数，上式在数值上等价于：</w:t>
      </w:r>
    </w:p>
    <w:p>
      <w:r>
        <w:t>ci68/r_j = ci68_j / r_j</w:t>
      </w:r>
    </w:p>
    <w:p>
      <w:r>
        <w:t>因此，ci68/r 表示：模型给出的 68% 后验区间，平均占整个参数原始范围的多少比例。若该值较大，说明后验较宽；若该值较小，说明模型对该参数约束更强。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</file>