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PRIVACY IMPACT ASSESSMENT</w:t>
      </w:r>
    </w:p>
    <w:tbl>
      <w:tblPr>
        <w:tblStyle w:val="LightGrid-Accent1"/>
        <w:tblW w:type="auto" w:w="0"/>
        <w:tblLayout w:type="autofit"/>
        <w:tblLook w:firstColumn="1" w:firstRow="1" w:lastColumn="0" w:lastRow="0" w:noHBand="0" w:noVBand="1" w:val="04A0"/>
      </w:tblPr>
      <w:tblGrid>
        <w:gridCol w:w="4824"/>
        <w:gridCol w:w="4824"/>
      </w:tblGrid>
      <w:tr>
        <w:tc>
          <w:tcPr>
            <w:tcW w:type="dxa" w:w="4824"/>
            <w:vAlign w:val="top"/>
            <w:shd w:val="clear" w:color="auto" w:fill="1F3864"/>
          </w:tcPr>
          <w:p>
            <w:r>
              <w:rPr>
                <w:b/>
                <w:color w:val="FFFFFF"/>
                <w:sz w:val="18"/>
              </w:rPr>
            </w:r>
            <w:r>
              <w:rPr>
                <w:b/>
                <w:color w:val="FFFFFF"/>
                <w:sz w:val="18"/>
              </w:rPr>
              <w:t>Field</w:t>
            </w:r>
          </w:p>
        </w:tc>
        <w:tc>
          <w:tcPr>
            <w:tcW w:type="dxa" w:w="4824"/>
            <w:vAlign w:val="top"/>
            <w:shd w:val="clear" w:color="auto" w:fill="1F3864"/>
          </w:tcPr>
          <w:p>
            <w:r>
              <w:rPr>
                <w:b/>
                <w:color w:val="FFFFFF"/>
                <w:sz w:val="18"/>
              </w:rPr>
            </w:r>
            <w:r>
              <w:rPr>
                <w:b/>
                <w:color w:val="FFFFFF"/>
                <w:sz w:val="18"/>
              </w:rPr>
              <w:t>Value</w:t>
            </w:r>
          </w:p>
        </w:tc>
      </w:tr>
      <w:tr>
        <w:tc>
          <w:tcPr>
            <w:tcW w:type="dxa" w:w="4824"/>
            <w:vAlign w:val="top"/>
          </w:tcPr>
          <w:p>
            <w:r>
              <w:rPr>
                <w:sz w:val="18"/>
              </w:rPr>
            </w:r>
            <w:r>
              <w:rPr>
                <w:b/>
                <w:sz w:val="18"/>
              </w:rPr>
              <w:t>Initiative Name</w:t>
            </w:r>
          </w:p>
        </w:tc>
        <w:tc>
          <w:tcPr>
            <w:tcW w:type="dxa" w:w="4824"/>
            <w:vAlign w:val="top"/>
          </w:tcPr>
          <w:p>
            <w:r>
              <w:rPr>
                <w:sz w:val="18"/>
              </w:rPr>
            </w:r>
            <w:r>
              <w:rPr>
                <w:sz w:val="18"/>
              </w:rPr>
              <w:t>In-Cab Biometric Impairment Detection System</w:t>
            </w:r>
          </w:p>
        </w:tc>
      </w:tr>
      <w:tr>
        <w:tc>
          <w:tcPr>
            <w:tcW w:type="dxa" w:w="4824"/>
            <w:vAlign w:val="top"/>
          </w:tcPr>
          <w:p>
            <w:r>
              <w:rPr>
                <w:sz w:val="18"/>
              </w:rPr>
            </w:r>
            <w:r>
              <w:rPr>
                <w:b/>
                <w:sz w:val="18"/>
              </w:rPr>
              <w:t>PIA Reference Number</w:t>
            </w:r>
          </w:p>
        </w:tc>
        <w:tc>
          <w:tcPr>
            <w:tcW w:type="dxa" w:w="4824"/>
            <w:vAlign w:val="top"/>
          </w:tcPr>
          <w:p>
            <w:r>
              <w:rPr>
                <w:sz w:val="18"/>
              </w:rPr>
            </w:r>
            <w:r>
              <w:rPr>
                <w:sz w:val="18"/>
              </w:rPr>
              <w:t>PIA-2026-001</w:t>
            </w:r>
          </w:p>
        </w:tc>
      </w:tr>
      <w:tr>
        <w:tc>
          <w:tcPr>
            <w:tcW w:type="dxa" w:w="4824"/>
            <w:vAlign w:val="top"/>
          </w:tcPr>
          <w:p>
            <w:r>
              <w:rPr>
                <w:sz w:val="18"/>
              </w:rPr>
            </w:r>
            <w:r>
              <w:rPr>
                <w:b/>
                <w:sz w:val="18"/>
              </w:rPr>
              <w:t>Date Prepared</w:t>
            </w:r>
          </w:p>
        </w:tc>
        <w:tc>
          <w:tcPr>
            <w:tcW w:type="dxa" w:w="4824"/>
            <w:vAlign w:val="top"/>
          </w:tcPr>
          <w:p>
            <w:r>
              <w:rPr>
                <w:sz w:val="18"/>
              </w:rPr>
            </w:r>
            <w:r>
              <w:rPr>
                <w:sz w:val="18"/>
              </w:rPr>
              <w:t>2026-05-09</w:t>
            </w:r>
          </w:p>
        </w:tc>
      </w:tr>
      <w:tr>
        <w:tc>
          <w:tcPr>
            <w:tcW w:type="dxa" w:w="4824"/>
            <w:vAlign w:val="top"/>
          </w:tcPr>
          <w:p>
            <w:r>
              <w:rPr>
                <w:sz w:val="18"/>
              </w:rPr>
            </w:r>
            <w:r>
              <w:rPr>
                <w:b/>
                <w:sz w:val="18"/>
              </w:rPr>
              <w:t>Prepared By</w:t>
            </w:r>
          </w:p>
        </w:tc>
        <w:tc>
          <w:tcPr>
            <w:tcW w:type="dxa" w:w="4824"/>
            <w:vAlign w:val="top"/>
          </w:tcPr>
          <w:p>
            <w:r>
              <w:rPr>
                <w:sz w:val="18"/>
              </w:rPr>
            </w:r>
            <w:r>
              <w:rPr>
                <w:sz w:val="18"/>
              </w:rPr>
              <w:t>Privacy Impact Assessment Agent (intake supported by Project Manager)</w:t>
            </w:r>
          </w:p>
        </w:tc>
      </w:tr>
      <w:tr>
        <w:tc>
          <w:tcPr>
            <w:tcW w:type="dxa" w:w="4824"/>
            <w:vAlign w:val="top"/>
          </w:tcPr>
          <w:p>
            <w:r>
              <w:rPr>
                <w:sz w:val="18"/>
              </w:rPr>
            </w:r>
            <w:r>
              <w:rPr>
                <w:b/>
                <w:sz w:val="18"/>
              </w:rPr>
              <w:t>Privacy Officer Reviewed</w:t>
            </w:r>
          </w:p>
        </w:tc>
        <w:tc>
          <w:tcPr>
            <w:tcW w:type="dxa" w:w="4824"/>
            <w:vAlign w:val="top"/>
          </w:tcPr>
          <w:p>
            <w:r>
              <w:rPr>
                <w:sz w:val="18"/>
              </w:rPr>
            </w:r>
            <w:r>
              <w:rPr>
                <w:sz w:val="18"/>
              </w:rPr>
              <w:t>Pending — General Counsel (acting Privacy Officer)</w:t>
            </w:r>
          </w:p>
        </w:tc>
      </w:tr>
      <w:tr>
        <w:tc>
          <w:tcPr>
            <w:tcW w:type="dxa" w:w="4824"/>
            <w:vAlign w:val="top"/>
          </w:tcPr>
          <w:p>
            <w:r>
              <w:rPr>
                <w:sz w:val="18"/>
              </w:rPr>
            </w:r>
            <w:r>
              <w:rPr>
                <w:b/>
                <w:sz w:val="18"/>
              </w:rPr>
              <w:t>Version</w:t>
            </w:r>
          </w:p>
        </w:tc>
        <w:tc>
          <w:tcPr>
            <w:tcW w:type="dxa" w:w="4824"/>
            <w:vAlign w:val="top"/>
          </w:tcPr>
          <w:p>
            <w:r>
              <w:rPr>
                <w:sz w:val="18"/>
              </w:rPr>
            </w:r>
            <w:r>
              <w:rPr>
                <w:sz w:val="18"/>
              </w:rPr>
              <w:t>1.0 Draft</w:t>
            </w:r>
          </w:p>
        </w:tc>
      </w:tr>
      <w:tr>
        <w:tc>
          <w:tcPr>
            <w:tcW w:type="dxa" w:w="4824"/>
            <w:vAlign w:val="top"/>
          </w:tcPr>
          <w:p>
            <w:r>
              <w:rPr>
                <w:sz w:val="18"/>
              </w:rPr>
            </w:r>
            <w:r>
              <w:rPr>
                <w:b/>
                <w:sz w:val="18"/>
              </w:rPr>
              <w:t>Classification</w:t>
            </w:r>
          </w:p>
        </w:tc>
        <w:tc>
          <w:tcPr>
            <w:tcW w:type="dxa" w:w="4824"/>
            <w:vAlign w:val="top"/>
          </w:tcPr>
          <w:p>
            <w:r>
              <w:rPr>
                <w:sz w:val="18"/>
              </w:rPr>
            </w:r>
            <w:r>
              <w:rPr>
                <w:sz w:val="18"/>
              </w:rPr>
              <w:t>Confidential — Internal Only</w:t>
            </w:r>
          </w:p>
        </w:tc>
      </w:tr>
    </w:tbl>
    <w:p>
      <w:pPr>
        <w:pStyle w:val="Heading1"/>
      </w:pPr>
      <w:r>
        <w:t>Executive Summary</w:t>
      </w:r>
    </w:p>
    <w:p>
      <w:r>
        <w:t xml:space="preserve">The organization, an Ontario-headquartered interprovincial and international trucking company operating a fleet of approximately 200 trucks across Canada and the United States, proposes to deploy an </w:t>
      </w:r>
      <w:r>
        <w:rPr>
          <w:b/>
        </w:rPr>
        <w:t>In-Cab Biometric Impairment Detection System</w:t>
      </w:r>
      <w:r>
        <w:t xml:space="preserve"> in all fleet vehicles. The system uses continuous skin-chemistry and breath-chemistry sensors to detect alcohol impairment while a vehicle is in operation. On a positive reading, the system either (a) issues a warning followed by an automated controlled slowdown to a safe stop, or (b) locks the driver out of the vehicle. Biometric data is streamed to a U.S.-headquartered umbrella vendor for cloud processing and analytics, retained for the duration of employment or contract plus a defined period (and longer where a disciplinary or contractual matter is open), and is intended to be used as evidence in employment-discipline proceedings and in contract disputes with rental contractors. Approximately 400 drivers are affected — a mix of employees, independent contractors, and contractor sub-employees.</w:t>
      </w:r>
    </w:p>
    <w:p>
      <w:r>
        <w:t xml:space="preserve">The initiative pursues legitimate, weighty objectives — reducing road-safety incidents, protecting drivers and the public, and limiting organizational liability. However, this PIA identifies that the program, </w:t>
      </w:r>
      <w:r>
        <w:rPr>
          <w:b/>
        </w:rPr>
        <w:t>as currently designed and on its current pilot timeline</w:t>
      </w:r>
      <w:r>
        <w:t xml:space="preserve">, presents </w:t>
      </w:r>
      <w:r>
        <w:rPr>
          <w:b/>
        </w:rPr>
        <w:t>eleven High-rated and four Medium-rated privacy risks</w:t>
      </w:r>
      <w:r>
        <w:t>, several of which require structural design changes before deployment may lawfully proceed.</w:t>
      </w:r>
    </w:p>
    <w:p>
      <w:r>
        <w:t>The most material findings are:</w:t>
      </w:r>
    </w:p>
    <w:p>
      <w:pPr>
        <w:pStyle w:val="ListNumber"/>
      </w:pPr>
      <w:r>
        <w:rPr>
          <w:b/>
        </w:rPr>
        <w:t>Quebec Law 25 obligations are imminent and unmet.</w:t>
      </w:r>
      <w:r>
        <w:t xml:space="preserve"> A biometric database must be declared to the Commission d'accès à l'information (CAI) at least 60 days before being put into service (</w:t>
      </w:r>
      <w:r>
        <w:rPr>
          <w:i/>
        </w:rPr>
        <w:t>Act to establish a legal framework for information technology</w:t>
      </w:r>
      <w:r>
        <w:t xml:space="preserve">, CQLR c. C-1.1, s. 45). A pilot is already imminent and Quebec drivers are within scope. A mandatory PIA under Quebec Law 25 s. 3.3 and a transfer-specific PIA under s. 17 are also required and not yet completed. </w:t>
      </w:r>
      <w:r>
        <w:rPr>
          <w:b/>
        </w:rPr>
        <w:t>The CAI declaration is the single highest-priority pre-launch action.</w:t>
      </w:r>
    </w:p>
    <w:p>
      <w:pPr>
        <w:pStyle w:val="ListNumber"/>
      </w:pPr>
      <w:r>
        <w:rPr>
          <w:b/>
        </w:rPr>
        <w:t>Automated decision-making without a human-in-the-loop review path</w:t>
      </w:r>
      <w:r>
        <w:t xml:space="preserve"> is inconsistent with Quebec Law 25 s. 12.1 and is below industry best practice for decisions with significant employment effects.</w:t>
      </w:r>
    </w:p>
    <w:p>
      <w:pPr>
        <w:pStyle w:val="ListNumber"/>
      </w:pPr>
      <w:r>
        <w:rPr>
          <w:b/>
        </w:rPr>
        <w:t>The current notice and consent plan — sticker plus a 1–2 week advance notice — is below the legal threshold</w:t>
      </w:r>
      <w:r>
        <w:t xml:space="preserve"> for meaningful consent to continuous biometric workplace surveillance under PIPEDA, Sch. 1 Principle 4.3 and s. 6.1, and below the "reasonable notice" standard required for employee monitoring under provincial private-sector statutes. Contractors are not covered by employee-monitoring statutory shortcuts and require express consent.</w:t>
      </w:r>
    </w:p>
    <w:p>
      <w:pPr>
        <w:pStyle w:val="ListNumber"/>
      </w:pPr>
      <w:r>
        <w:rPr>
          <w:b/>
        </w:rPr>
        <w:t>The vendor contract is not yet executed</w:t>
      </w:r>
      <w:r>
        <w:t xml:space="preserve"> and key data-protection terms (cross-border, breach notification, sub-processor controls, audit, return/destruction, cooperation with rights requests) are unconfirmed. PIPEDA Sch. 1 Principle 4.1.3 requires comparable protection by contract or other means.</w:t>
      </w:r>
    </w:p>
    <w:p>
      <w:pPr>
        <w:pStyle w:val="ListNumber"/>
      </w:pPr>
      <w:r>
        <w:rPr>
          <w:b/>
        </w:rPr>
        <w:t>Cross-border transfer to a U.S.-headquartered vendor with data stored largely in the U.S.</w:t>
      </w:r>
      <w:r>
        <w:t xml:space="preserve"> raises U.S. </w:t>
      </w:r>
      <w:r>
        <w:rPr>
          <w:i/>
        </w:rPr>
        <w:t>CLOUD Act</w:t>
      </w:r>
      <w:r>
        <w:t xml:space="preserve"> exposure and U.S. state-law biometric-statute exposure (Illinois BIPA and analogues). U.S. legal advice has not been obtained.</w:t>
      </w:r>
    </w:p>
    <w:p>
      <w:r>
        <w:rPr>
          <w:b/>
        </w:rPr>
        <w:t>Overall Risk Level: HIGH.</w:t>
      </w:r>
    </w:p>
    <w:p>
      <w:r>
        <w:rPr>
          <w:b/>
        </w:rPr>
        <w:t>Recommended Decision: Proceed with Conditions.</w:t>
      </w:r>
      <w:r>
        <w:t xml:space="preserve"> The initiative may proceed only after the conditions in Section 9 are met. Several conditions — most significantly the CAI declaration, vendor contract terms, the human-in-the-loop review path, and revised notice and consent — should be in place </w:t>
      </w:r>
      <w:r>
        <w:rPr>
          <w:b/>
        </w:rPr>
        <w:t>before</w:t>
      </w:r>
      <w:r>
        <w:t xml:space="preserve"> the pilot expands beyond the current ~10-truck pilot footprint and </w:t>
      </w:r>
      <w:r>
        <w:rPr>
          <w:b/>
        </w:rPr>
        <w:t>before</w:t>
      </w:r>
      <w:r>
        <w:t xml:space="preserve"> any data is collected from drivers actively operating in Quebec.</w:t>
      </w:r>
    </w:p>
    <w:p>
      <w:r>
        <w:t>This Privacy Impact Assessment was prepared as a structured analysis tool using artificial intelligence. It does not constitute legal advice. The organization should obtain advice from qualified Canadian privacy counsel, U.S. counsel for state biometric-statute exposure, and should engage with the CAI as required, before proceeding with high-risk processing activities.</w:t>
      </w:r>
    </w:p>
    <w:p>
      <w:pPr>
        <w:pStyle w:val="Heading1"/>
      </w:pPr>
      <w:r>
        <w:t>Section 1 — Initiative Description</w:t>
      </w:r>
    </w:p>
    <w:p>
      <w:pPr>
        <w:pStyle w:val="Heading2"/>
      </w:pPr>
      <w:r>
        <w:t>1.1 Overview</w:t>
      </w:r>
    </w:p>
    <w:p>
      <w:r>
        <w:t>The In-Cab Biometric Impairment Detection System is a continuous, non-disableable monitoring program deployed in fleet trucks. Skin-chemistry sensors (transdermal alcohol sensing) operate as the primary modality, with breath-chemistry sensors as a secondary modality. The system computes an impairment score in real time. On a positive reading exceeding a configured threshold, the system issues a warning to the driver, then either initiates a controlled, automated slowdown to a safe stop, or locks the driver out of the vehicle.</w:t>
      </w:r>
    </w:p>
    <w:p>
      <w:r>
        <w:t>The stated business objectives are (a) reducing road-safety incidents arising from impaired driving, (b) improving the organization's safety performance, and (c) reducing the organization's exposure to liability.</w:t>
      </w:r>
    </w:p>
    <w:p>
      <w:pPr>
        <w:pStyle w:val="Heading2"/>
      </w:pPr>
      <w:r>
        <w:t>1.2 Status and Timeline</w:t>
      </w:r>
    </w:p>
    <w:p>
      <w:pPr>
        <w:pStyle w:val="ListBullet"/>
      </w:pPr>
      <w:r>
        <w:t>Current status: design and build, with a pilot launch planned approximately six months from the date of this PIA (target: November 2026).</w:t>
      </w:r>
    </w:p>
    <w:p>
      <w:pPr>
        <w:pStyle w:val="ListBullet"/>
      </w:pPr>
      <w:r>
        <w:t>Pilot scope (estimated): ~10 trucks.</w:t>
      </w:r>
    </w:p>
    <w:p>
      <w:pPr>
        <w:pStyle w:val="ListBullet"/>
      </w:pPr>
      <w:r>
        <w:t>Full-fleet rollout (planned): approximately 12 months from the date of this PIA (target: May 2027), covering all ~200 trucks.</w:t>
      </w:r>
    </w:p>
    <w:p>
      <w:pPr>
        <w:pStyle w:val="ListBullet"/>
      </w:pPr>
      <w:r>
        <w:t>The pilot will retain biometric data (not detection-only) so the data is available for downstream disciplinary and contractual use.</w:t>
      </w:r>
    </w:p>
    <w:p>
      <w:pPr>
        <w:pStyle w:val="Heading2"/>
      </w:pPr>
      <w:r>
        <w:t>1.3 Scope of this PIA</w:t>
      </w:r>
    </w:p>
    <w:p>
      <w:r>
        <w:rPr>
          <w:b/>
        </w:rPr>
        <w:t>In scope:</w:t>
      </w:r>
      <w:r>
        <w:t xml:space="preserve"> the in-cab sensor hardware, in-cab device firmware, vehicle-control intervention logic (warning, slowdown, lockout), data transmission from the vehicle to the umbrella vendor's cloud, vendor analytics and storage, downstream company access for HR/Legal use, retention and destruction, vendor and sub-vendor relationships, data flows across the Canada–U.S. border, individual rights handling, and notice/consent design. Drivers in scope: employees, contractors, and contractor sub-employees driving company-owned trucks across Canada and the United States.</w:t>
      </w:r>
    </w:p>
    <w:p>
      <w:r>
        <w:rPr>
          <w:b/>
        </w:rPr>
        <w:t>Out of scope:</w:t>
      </w:r>
      <w:r>
        <w:t xml:space="preserve"> other forms of fleet monitoring (dashcams, ELD/Hours-of-Service, GPS, fatigue detection) except where they are integrated with or share data with this system. The status of those other systems is itself a gap (see Section 4).</w:t>
      </w:r>
    </w:p>
    <w:p>
      <w:pPr>
        <w:pStyle w:val="Heading2"/>
      </w:pPr>
      <w:r>
        <w:t>1.4 Prior Reviews</w:t>
      </w:r>
    </w:p>
    <w:p>
      <w:r>
        <w:t>None identified. This is the first formal privacy review of the initiative.</w:t>
      </w:r>
    </w:p>
    <w:p>
      <w:pPr>
        <w:pStyle w:val="Heading2"/>
      </w:pPr>
      <w:r>
        <w:t>1.5 Regulatory and Contractual Drivers</w:t>
      </w:r>
    </w:p>
    <w:p>
      <w:pPr>
        <w:pStyle w:val="ListBullet"/>
      </w:pPr>
      <w:r>
        <w:t>Internal safety and liability policy is the confirmed driver.</w:t>
      </w:r>
    </w:p>
    <w:p>
      <w:pPr>
        <w:pStyle w:val="ListBullet"/>
      </w:pPr>
      <w:r>
        <w:t xml:space="preserve">An insurance-related driver may exist (e.g., insurer mandate or premium-reduction program) — </w:t>
      </w:r>
      <w:r>
        <w:rPr>
          <w:b/>
        </w:rPr>
        <w:t>gap, to be confirmed</w:t>
      </w:r>
      <w:r>
        <w:t>.</w:t>
      </w:r>
    </w:p>
    <w:p>
      <w:pPr>
        <w:pStyle w:val="ListBullet"/>
      </w:pPr>
      <w:r>
        <w:t xml:space="preserve">Transport Canada / FMCSA (U.S.) status as a driver — </w:t>
      </w:r>
      <w:r>
        <w:rPr>
          <w:b/>
        </w:rPr>
        <w:t>gap, to be confirmed</w:t>
      </w:r>
      <w:r>
        <w:t>.</w:t>
      </w:r>
    </w:p>
    <w:p>
      <w:pPr>
        <w:pStyle w:val="ListBullet"/>
      </w:pPr>
      <w:r>
        <w:t>No collective agreement or contractor master services agreement currently authorizes biometric monitoring.</w:t>
      </w:r>
    </w:p>
    <w:p>
      <w:pPr>
        <w:pStyle w:val="Heading1"/>
      </w:pPr>
      <w:r>
        <w:t>Section 2 — Stakeholders and Accountability</w:t>
      </w:r>
    </w:p>
    <w:tbl>
      <w:tblPr>
        <w:tblStyle w:val="LightGrid-Accent1"/>
        <w:tblW w:type="auto" w:w="0"/>
        <w:tblLayout w:type="autofit"/>
        <w:tblLook w:firstColumn="1" w:firstRow="1" w:lastColumn="0" w:lastRow="0" w:noHBand="0" w:noVBand="1" w:val="04A0"/>
      </w:tblPr>
      <w:tblGrid>
        <w:gridCol w:w="3216"/>
        <w:gridCol w:w="3216"/>
        <w:gridCol w:w="3216"/>
      </w:tblGrid>
      <w:tr>
        <w:tc>
          <w:tcPr>
            <w:tcW w:type="dxa" w:w="3216"/>
            <w:vAlign w:val="top"/>
            <w:shd w:val="clear" w:color="auto" w:fill="1F3864"/>
          </w:tcPr>
          <w:p>
            <w:r>
              <w:rPr>
                <w:b/>
                <w:color w:val="FFFFFF"/>
                <w:sz w:val="18"/>
              </w:rPr>
            </w:r>
            <w:r>
              <w:rPr>
                <w:b/>
                <w:color w:val="FFFFFF"/>
                <w:sz w:val="18"/>
              </w:rPr>
              <w:t>Role</w:t>
            </w:r>
          </w:p>
        </w:tc>
        <w:tc>
          <w:tcPr>
            <w:tcW w:type="dxa" w:w="3216"/>
            <w:vAlign w:val="top"/>
            <w:shd w:val="clear" w:color="auto" w:fill="1F3864"/>
          </w:tcPr>
          <w:p>
            <w:r>
              <w:rPr>
                <w:b/>
                <w:color w:val="FFFFFF"/>
                <w:sz w:val="18"/>
              </w:rPr>
            </w:r>
            <w:r>
              <w:rPr>
                <w:b/>
                <w:color w:val="FFFFFF"/>
                <w:sz w:val="18"/>
              </w:rPr>
              <w:t>Name / Team</w:t>
            </w:r>
          </w:p>
        </w:tc>
        <w:tc>
          <w:tcPr>
            <w:tcW w:type="dxa" w:w="3216"/>
            <w:vAlign w:val="top"/>
            <w:shd w:val="clear" w:color="auto" w:fill="1F3864"/>
          </w:tcPr>
          <w:p>
            <w:r>
              <w:rPr>
                <w:b/>
                <w:color w:val="FFFFFF"/>
                <w:sz w:val="18"/>
              </w:rPr>
            </w:r>
            <w:r>
              <w:rPr>
                <w:b/>
                <w:color w:val="FFFFFF"/>
                <w:sz w:val="18"/>
              </w:rPr>
              <w:t>Status</w:t>
            </w:r>
          </w:p>
        </w:tc>
      </w:tr>
      <w:tr>
        <w:tc>
          <w:tcPr>
            <w:tcW w:type="dxa" w:w="3216"/>
            <w:vAlign w:val="top"/>
          </w:tcPr>
          <w:p>
            <w:r>
              <w:rPr>
                <w:sz w:val="18"/>
              </w:rPr>
            </w:r>
            <w:r>
              <w:rPr>
                <w:sz w:val="18"/>
              </w:rPr>
              <w:t>Business Sponsor</w:t>
            </w:r>
          </w:p>
        </w:tc>
        <w:tc>
          <w:tcPr>
            <w:tcW w:type="dxa" w:w="3216"/>
            <w:vAlign w:val="top"/>
          </w:tcPr>
          <w:p>
            <w:r>
              <w:rPr>
                <w:sz w:val="18"/>
              </w:rPr>
            </w:r>
            <w:r>
              <w:rPr>
                <w:sz w:val="18"/>
              </w:rPr>
              <w:t>Project Manager (specific individual TBD)</w:t>
            </w:r>
          </w:p>
        </w:tc>
        <w:tc>
          <w:tcPr>
            <w:tcW w:type="dxa" w:w="3216"/>
            <w:vAlign w:val="top"/>
          </w:tcPr>
          <w:p>
            <w:r>
              <w:rPr>
                <w:sz w:val="18"/>
              </w:rPr>
            </w:r>
            <w:r>
              <w:rPr>
                <w:sz w:val="18"/>
              </w:rPr>
              <w:t>Assigned in role; individual TBD</w:t>
            </w:r>
          </w:p>
        </w:tc>
      </w:tr>
      <w:tr>
        <w:tc>
          <w:tcPr>
            <w:tcW w:type="dxa" w:w="3216"/>
            <w:vAlign w:val="top"/>
          </w:tcPr>
          <w:p>
            <w:r>
              <w:rPr>
                <w:sz w:val="18"/>
              </w:rPr>
            </w:r>
            <w:r>
              <w:rPr>
                <w:sz w:val="18"/>
              </w:rPr>
              <w:t>Initiative Owner</w:t>
            </w:r>
          </w:p>
        </w:tc>
        <w:tc>
          <w:tcPr>
            <w:tcW w:type="dxa" w:w="3216"/>
            <w:vAlign w:val="top"/>
          </w:tcPr>
          <w:p>
            <w:r>
              <w:rPr>
                <w:sz w:val="18"/>
              </w:rPr>
            </w:r>
            <w:r>
              <w:rPr>
                <w:sz w:val="18"/>
              </w:rPr>
              <w:t>Project Manager</w:t>
            </w:r>
          </w:p>
        </w:tc>
        <w:tc>
          <w:tcPr>
            <w:tcW w:type="dxa" w:w="3216"/>
            <w:vAlign w:val="top"/>
          </w:tcPr>
          <w:p>
            <w:r>
              <w:rPr>
                <w:sz w:val="18"/>
              </w:rPr>
            </w:r>
            <w:r>
              <w:rPr>
                <w:sz w:val="18"/>
              </w:rPr>
              <w:t>As above</w:t>
            </w:r>
          </w:p>
        </w:tc>
      </w:tr>
      <w:tr>
        <w:tc>
          <w:tcPr>
            <w:tcW w:type="dxa" w:w="3216"/>
            <w:vAlign w:val="top"/>
          </w:tcPr>
          <w:p>
            <w:r>
              <w:rPr>
                <w:sz w:val="18"/>
              </w:rPr>
            </w:r>
            <w:r>
              <w:rPr>
                <w:sz w:val="18"/>
              </w:rPr>
              <w:t>Privacy Officer (Accountable Individual)</w:t>
            </w:r>
          </w:p>
        </w:tc>
        <w:tc>
          <w:tcPr>
            <w:tcW w:type="dxa" w:w="3216"/>
            <w:vAlign w:val="top"/>
          </w:tcPr>
          <w:p>
            <w:r>
              <w:rPr>
                <w:sz w:val="18"/>
              </w:rPr>
            </w:r>
            <w:r>
              <w:rPr>
                <w:sz w:val="18"/>
              </w:rPr>
              <w:t>General Counsel (acting)</w:t>
            </w:r>
          </w:p>
        </w:tc>
        <w:tc>
          <w:tcPr>
            <w:tcW w:type="dxa" w:w="3216"/>
            <w:vAlign w:val="top"/>
          </w:tcPr>
          <w:p>
            <w:r>
              <w:rPr>
                <w:sz w:val="18"/>
              </w:rPr>
            </w:r>
            <w:r>
              <w:rPr>
                <w:sz w:val="18"/>
              </w:rPr>
              <w:t xml:space="preserve">Assigned; </w:t>
            </w:r>
            <w:r>
              <w:rPr>
                <w:b/>
                <w:sz w:val="18"/>
              </w:rPr>
              <w:t>publication of name and contact on the company website is required</w:t>
            </w:r>
            <w:r>
              <w:rPr>
                <w:sz w:val="18"/>
              </w:rPr>
              <w:t xml:space="preserve"> under Quebec Law 25 s. 3.1 — gap</w:t>
            </w:r>
          </w:p>
        </w:tc>
      </w:tr>
      <w:tr>
        <w:tc>
          <w:tcPr>
            <w:tcW w:type="dxa" w:w="3216"/>
            <w:vAlign w:val="top"/>
          </w:tcPr>
          <w:p>
            <w:r>
              <w:rPr>
                <w:sz w:val="18"/>
              </w:rPr>
            </w:r>
            <w:r>
              <w:rPr>
                <w:sz w:val="18"/>
              </w:rPr>
              <w:t>Legal / Compliance Lead</w:t>
            </w:r>
          </w:p>
        </w:tc>
        <w:tc>
          <w:tcPr>
            <w:tcW w:type="dxa" w:w="3216"/>
            <w:vAlign w:val="top"/>
          </w:tcPr>
          <w:p>
            <w:r>
              <w:rPr>
                <w:sz w:val="18"/>
              </w:rPr>
            </w:r>
            <w:r>
              <w:rPr>
                <w:sz w:val="18"/>
              </w:rPr>
              <w:t>General Counsel</w:t>
            </w:r>
          </w:p>
        </w:tc>
        <w:tc>
          <w:tcPr>
            <w:tcW w:type="dxa" w:w="3216"/>
            <w:vAlign w:val="top"/>
          </w:tcPr>
          <w:p>
            <w:r>
              <w:rPr>
                <w:sz w:val="18"/>
              </w:rPr>
            </w:r>
            <w:r>
              <w:rPr>
                <w:sz w:val="18"/>
              </w:rPr>
              <w:t>Assigned</w:t>
            </w:r>
          </w:p>
        </w:tc>
      </w:tr>
      <w:tr>
        <w:tc>
          <w:tcPr>
            <w:tcW w:type="dxa" w:w="3216"/>
            <w:vAlign w:val="top"/>
          </w:tcPr>
          <w:p>
            <w:r>
              <w:rPr>
                <w:sz w:val="18"/>
              </w:rPr>
            </w:r>
            <w:r>
              <w:rPr>
                <w:sz w:val="18"/>
              </w:rPr>
              <w:t>Security / IT Lead</w:t>
            </w:r>
          </w:p>
        </w:tc>
        <w:tc>
          <w:tcPr>
            <w:tcW w:type="dxa" w:w="3216"/>
            <w:vAlign w:val="top"/>
          </w:tcPr>
          <w:p>
            <w:r>
              <w:rPr>
                <w:sz w:val="18"/>
              </w:rPr>
            </w:r>
            <w:r>
              <w:rPr>
                <w:sz w:val="18"/>
              </w:rPr>
              <w:t>Not yet appointed</w:t>
            </w:r>
          </w:p>
        </w:tc>
        <w:tc>
          <w:tcPr>
            <w:tcW w:type="dxa" w:w="3216"/>
            <w:vAlign w:val="top"/>
          </w:tcPr>
          <w:p>
            <w:r>
              <w:rPr>
                <w:sz w:val="18"/>
              </w:rPr>
            </w:r>
            <w:r>
              <w:rPr>
                <w:b/>
                <w:sz w:val="18"/>
              </w:rPr>
              <w:t>Material gap — must appoint before pilot</w:t>
            </w:r>
          </w:p>
        </w:tc>
      </w:tr>
      <w:tr>
        <w:tc>
          <w:tcPr>
            <w:tcW w:type="dxa" w:w="3216"/>
            <w:vAlign w:val="top"/>
          </w:tcPr>
          <w:p>
            <w:r>
              <w:rPr>
                <w:sz w:val="18"/>
              </w:rPr>
            </w:r>
            <w:r>
              <w:rPr>
                <w:sz w:val="18"/>
              </w:rPr>
              <w:t>HR / Labour Lead</w:t>
            </w:r>
          </w:p>
        </w:tc>
        <w:tc>
          <w:tcPr>
            <w:tcW w:type="dxa" w:w="3216"/>
            <w:vAlign w:val="top"/>
          </w:tcPr>
          <w:p>
            <w:r>
              <w:rPr>
                <w:sz w:val="18"/>
              </w:rPr>
            </w:r>
            <w:r>
              <w:rPr>
                <w:sz w:val="18"/>
              </w:rPr>
              <w:t>Not yet engaged</w:t>
            </w:r>
          </w:p>
        </w:tc>
        <w:tc>
          <w:tcPr>
            <w:tcW w:type="dxa" w:w="3216"/>
            <w:vAlign w:val="top"/>
          </w:tcPr>
          <w:p>
            <w:r>
              <w:rPr>
                <w:sz w:val="18"/>
              </w:rPr>
            </w:r>
            <w:r>
              <w:rPr>
                <w:b/>
                <w:sz w:val="18"/>
              </w:rPr>
              <w:t>Material gap — must engage before notice issuance</w:t>
            </w:r>
          </w:p>
        </w:tc>
      </w:tr>
      <w:tr>
        <w:tc>
          <w:tcPr>
            <w:tcW w:type="dxa" w:w="3216"/>
            <w:vAlign w:val="top"/>
          </w:tcPr>
          <w:p>
            <w:r>
              <w:rPr>
                <w:sz w:val="18"/>
              </w:rPr>
            </w:r>
            <w:r>
              <w:rPr>
                <w:sz w:val="18"/>
              </w:rPr>
              <w:t>Union Representation</w:t>
            </w:r>
          </w:p>
        </w:tc>
        <w:tc>
          <w:tcPr>
            <w:tcW w:type="dxa" w:w="3216"/>
            <w:vAlign w:val="top"/>
          </w:tcPr>
          <w:p>
            <w:r>
              <w:rPr>
                <w:sz w:val="18"/>
              </w:rPr>
            </w:r>
            <w:r>
              <w:rPr>
                <w:sz w:val="18"/>
              </w:rPr>
              <w:t>Mostly non-unionized; not consulted</w:t>
            </w:r>
          </w:p>
        </w:tc>
        <w:tc>
          <w:tcPr>
            <w:tcW w:type="dxa" w:w="3216"/>
            <w:vAlign w:val="top"/>
          </w:tcPr>
          <w:p>
            <w:r>
              <w:rPr>
                <w:sz w:val="18"/>
              </w:rPr>
            </w:r>
            <w:r>
              <w:rPr>
                <w:sz w:val="18"/>
              </w:rPr>
              <w:t>Engagement still recommended where applicable</w:t>
            </w:r>
          </w:p>
        </w:tc>
      </w:tr>
      <w:tr>
        <w:tc>
          <w:tcPr>
            <w:tcW w:type="dxa" w:w="3216"/>
            <w:vAlign w:val="top"/>
          </w:tcPr>
          <w:p>
            <w:r>
              <w:rPr>
                <w:sz w:val="18"/>
              </w:rPr>
            </w:r>
            <w:r>
              <w:rPr>
                <w:sz w:val="18"/>
              </w:rPr>
              <w:t>Contractor Relationship Manager</w:t>
            </w:r>
          </w:p>
        </w:tc>
        <w:tc>
          <w:tcPr>
            <w:tcW w:type="dxa" w:w="3216"/>
            <w:vAlign w:val="top"/>
          </w:tcPr>
          <w:p>
            <w:r>
              <w:rPr>
                <w:sz w:val="18"/>
              </w:rPr>
            </w:r>
            <w:r>
              <w:rPr>
                <w:sz w:val="18"/>
              </w:rPr>
              <w:t>Not yet identified</w:t>
            </w:r>
          </w:p>
        </w:tc>
        <w:tc>
          <w:tcPr>
            <w:tcW w:type="dxa" w:w="3216"/>
            <w:vAlign w:val="top"/>
          </w:tcPr>
          <w:p>
            <w:r>
              <w:rPr>
                <w:sz w:val="18"/>
              </w:rPr>
            </w:r>
            <w:r>
              <w:rPr>
                <w:b/>
                <w:sz w:val="18"/>
              </w:rPr>
              <w:t>Material gap — required for contractor consent process</w:t>
            </w:r>
          </w:p>
        </w:tc>
      </w:tr>
      <w:tr>
        <w:tc>
          <w:tcPr>
            <w:tcW w:type="dxa" w:w="3216"/>
            <w:vAlign w:val="top"/>
          </w:tcPr>
          <w:p>
            <w:r>
              <w:rPr>
                <w:sz w:val="18"/>
              </w:rPr>
            </w:r>
            <w:r>
              <w:rPr>
                <w:sz w:val="18"/>
              </w:rPr>
              <w:t>Vendor Relationship Owner</w:t>
            </w:r>
          </w:p>
        </w:tc>
        <w:tc>
          <w:tcPr>
            <w:tcW w:type="dxa" w:w="3216"/>
            <w:vAlign w:val="top"/>
          </w:tcPr>
          <w:p>
            <w:r>
              <w:rPr>
                <w:sz w:val="18"/>
              </w:rPr>
            </w:r>
            <w:r>
              <w:rPr>
                <w:sz w:val="18"/>
              </w:rPr>
              <w:t>Likely Logistics team (TBD)</w:t>
            </w:r>
          </w:p>
        </w:tc>
        <w:tc>
          <w:tcPr>
            <w:tcW w:type="dxa" w:w="3216"/>
            <w:vAlign w:val="top"/>
          </w:tcPr>
          <w:p>
            <w:r>
              <w:rPr>
                <w:sz w:val="18"/>
              </w:rPr>
            </w:r>
            <w:r>
              <w:rPr>
                <w:b/>
                <w:sz w:val="18"/>
              </w:rPr>
              <w:t>Gap — assignment required</w:t>
            </w:r>
          </w:p>
        </w:tc>
      </w:tr>
      <w:tr>
        <w:tc>
          <w:tcPr>
            <w:tcW w:type="dxa" w:w="3216"/>
            <w:vAlign w:val="top"/>
          </w:tcPr>
          <w:p>
            <w:r>
              <w:rPr>
                <w:sz w:val="18"/>
              </w:rPr>
            </w:r>
            <w:r>
              <w:rPr>
                <w:sz w:val="18"/>
              </w:rPr>
              <w:t>Data Protection Officer (GDPR Art. 37)</w:t>
            </w:r>
          </w:p>
        </w:tc>
        <w:tc>
          <w:tcPr>
            <w:tcW w:type="dxa" w:w="3216"/>
            <w:vAlign w:val="top"/>
          </w:tcPr>
          <w:p>
            <w:r>
              <w:rPr>
                <w:sz w:val="18"/>
              </w:rPr>
            </w:r>
            <w:r>
              <w:rPr>
                <w:sz w:val="18"/>
              </w:rPr>
              <w:t>Not appointed</w:t>
            </w:r>
          </w:p>
        </w:tc>
        <w:tc>
          <w:tcPr>
            <w:tcW w:type="dxa" w:w="3216"/>
            <w:vAlign w:val="top"/>
          </w:tcPr>
          <w:p>
            <w:r>
              <w:rPr>
                <w:sz w:val="18"/>
              </w:rPr>
            </w:r>
            <w:r>
              <w:rPr>
                <w:sz w:val="18"/>
              </w:rPr>
              <w:t>Not required (no GDPR trigger identified)</w:t>
            </w:r>
          </w:p>
        </w:tc>
      </w:tr>
    </w:tbl>
    <w:p>
      <w:r>
        <w:rPr>
          <w:b/>
        </w:rPr>
        <w:t>Statutory accountability obligations engaged:</w:t>
      </w:r>
    </w:p>
    <w:p>
      <w:pPr>
        <w:pStyle w:val="ListBullet"/>
      </w:pPr>
      <w:r>
        <w:t>PIPEDA, Schedule 1, Principle 4.1 / s. 5(1) — designated individual accountable for compliance.</w:t>
      </w:r>
    </w:p>
    <w:p>
      <w:pPr>
        <w:pStyle w:val="ListBullet"/>
      </w:pPr>
      <w:r>
        <w:t xml:space="preserve">Quebec Law 25, s. 3.1 — Person in Charge of the Protection of Personal Information designated; </w:t>
      </w:r>
      <w:r>
        <w:rPr>
          <w:b/>
        </w:rPr>
        <w:t>title and contact information must be published on the website</w:t>
      </w:r>
      <w:r>
        <w:t>.</w:t>
      </w:r>
    </w:p>
    <w:p>
      <w:pPr>
        <w:pStyle w:val="ListBullet"/>
      </w:pPr>
      <w:r>
        <w:t>Alberta PIPA, s. 5(3) — designated individual.</w:t>
      </w:r>
    </w:p>
    <w:p>
      <w:pPr>
        <w:pStyle w:val="ListBullet"/>
      </w:pPr>
      <w:r>
        <w:t>BC PIPA, s. 4 — designated individual with publicly available contact information.</w:t>
      </w:r>
    </w:p>
    <w:p>
      <w:pPr>
        <w:pStyle w:val="Heading1"/>
      </w:pPr>
      <w:r>
        <w:t>Section 3 — Personal Information Inventory</w:t>
      </w:r>
    </w:p>
    <w:p>
      <w:pPr>
        <w:pStyle w:val="Heading2"/>
      </w:pPr>
      <w:r>
        <w:t>3.1 Data Elements Collected or Used</w:t>
      </w:r>
    </w:p>
    <w:tbl>
      <w:tblPr>
        <w:tblStyle w:val="LightGrid-Accent1"/>
        <w:tblW w:type="auto" w:w="0"/>
        <w:tblLayout w:type="autofit"/>
        <w:tblLook w:firstColumn="1" w:firstRow="1" w:lastColumn="0" w:lastRow="0" w:noHBand="0" w:noVBand="1" w:val="04A0"/>
      </w:tblPr>
      <w:tblGrid>
        <w:gridCol w:w="2412"/>
        <w:gridCol w:w="2412"/>
        <w:gridCol w:w="2412"/>
        <w:gridCol w:w="2412"/>
      </w:tblGrid>
      <w:tr>
        <w:tc>
          <w:tcPr>
            <w:tcW w:type="dxa" w:w="2412"/>
            <w:vAlign w:val="top"/>
            <w:shd w:val="clear" w:color="auto" w:fill="1F3864"/>
          </w:tcPr>
          <w:p>
            <w:r>
              <w:rPr>
                <w:b/>
                <w:color w:val="FFFFFF"/>
                <w:sz w:val="18"/>
              </w:rPr>
            </w:r>
            <w:r>
              <w:rPr>
                <w:b/>
                <w:color w:val="FFFFFF"/>
                <w:sz w:val="18"/>
              </w:rPr>
              <w:t>Category</w:t>
            </w:r>
          </w:p>
        </w:tc>
        <w:tc>
          <w:tcPr>
            <w:tcW w:type="dxa" w:w="2412"/>
            <w:vAlign w:val="top"/>
            <w:shd w:val="clear" w:color="auto" w:fill="1F3864"/>
          </w:tcPr>
          <w:p>
            <w:r>
              <w:rPr>
                <w:b/>
                <w:color w:val="FFFFFF"/>
                <w:sz w:val="18"/>
              </w:rPr>
            </w:r>
            <w:r>
              <w:rPr>
                <w:b/>
                <w:color w:val="FFFFFF"/>
                <w:sz w:val="18"/>
              </w:rPr>
              <w:t>Specific Elements</w:t>
            </w:r>
          </w:p>
        </w:tc>
        <w:tc>
          <w:tcPr>
            <w:tcW w:type="dxa" w:w="2412"/>
            <w:vAlign w:val="top"/>
            <w:shd w:val="clear" w:color="auto" w:fill="1F3864"/>
          </w:tcPr>
          <w:p>
            <w:r>
              <w:rPr>
                <w:b/>
                <w:color w:val="FFFFFF"/>
                <w:sz w:val="18"/>
              </w:rPr>
            </w:r>
            <w:r>
              <w:rPr>
                <w:b/>
                <w:color w:val="FFFFFF"/>
                <w:sz w:val="18"/>
              </w:rPr>
              <w:t>Necessary?</w:t>
            </w:r>
          </w:p>
        </w:tc>
        <w:tc>
          <w:tcPr>
            <w:tcW w:type="dxa" w:w="2412"/>
            <w:vAlign w:val="top"/>
            <w:shd w:val="clear" w:color="auto" w:fill="1F3864"/>
          </w:tcPr>
          <w:p>
            <w:r>
              <w:rPr>
                <w:b/>
                <w:color w:val="FFFFFF"/>
                <w:sz w:val="18"/>
              </w:rPr>
            </w:r>
            <w:r>
              <w:rPr>
                <w:b/>
                <w:color w:val="FFFFFF"/>
                <w:sz w:val="18"/>
              </w:rPr>
              <w:t>Sensitive?</w:t>
            </w:r>
          </w:p>
        </w:tc>
      </w:tr>
      <w:tr>
        <w:tc>
          <w:tcPr>
            <w:tcW w:type="dxa" w:w="2412"/>
            <w:vAlign w:val="top"/>
          </w:tcPr>
          <w:p>
            <w:r>
              <w:rPr>
                <w:sz w:val="18"/>
              </w:rPr>
            </w:r>
            <w:r>
              <w:rPr>
                <w:sz w:val="18"/>
              </w:rPr>
              <w:t>Biometric — chemistry</w:t>
            </w:r>
          </w:p>
        </w:tc>
        <w:tc>
          <w:tcPr>
            <w:tcW w:type="dxa" w:w="2412"/>
            <w:vAlign w:val="top"/>
          </w:tcPr>
          <w:p>
            <w:r>
              <w:rPr>
                <w:sz w:val="18"/>
              </w:rPr>
            </w:r>
            <w:r>
              <w:rPr>
                <w:sz w:val="18"/>
              </w:rPr>
              <w:t>Transdermal alcohol (skin chemistry) signal; breath-alcohol signal</w:t>
            </w:r>
          </w:p>
        </w:tc>
        <w:tc>
          <w:tcPr>
            <w:tcW w:type="dxa" w:w="2412"/>
            <w:vAlign w:val="top"/>
          </w:tcPr>
          <w:p>
            <w:r>
              <w:rPr>
                <w:sz w:val="18"/>
              </w:rPr>
            </w:r>
            <w:r>
              <w:rPr>
                <w:sz w:val="18"/>
              </w:rPr>
              <w:t>Yes (primary purpose)</w:t>
            </w:r>
          </w:p>
        </w:tc>
        <w:tc>
          <w:tcPr>
            <w:tcW w:type="dxa" w:w="2412"/>
            <w:vAlign w:val="top"/>
          </w:tcPr>
          <w:p>
            <w:r>
              <w:rPr>
                <w:sz w:val="18"/>
              </w:rPr>
            </w:r>
            <w:r>
              <w:rPr>
                <w:b/>
                <w:sz w:val="18"/>
              </w:rPr>
              <w:t>Yes — biometric &amp; health-adjacent</w:t>
            </w:r>
          </w:p>
        </w:tc>
      </w:tr>
      <w:tr>
        <w:tc>
          <w:tcPr>
            <w:tcW w:type="dxa" w:w="2412"/>
            <w:vAlign w:val="top"/>
          </w:tcPr>
          <w:p>
            <w:r>
              <w:rPr>
                <w:sz w:val="18"/>
              </w:rPr>
            </w:r>
            <w:r>
              <w:rPr>
                <w:sz w:val="18"/>
              </w:rPr>
              <w:t>Biometric — derived</w:t>
            </w:r>
          </w:p>
        </w:tc>
        <w:tc>
          <w:tcPr>
            <w:tcW w:type="dxa" w:w="2412"/>
            <w:vAlign w:val="top"/>
          </w:tcPr>
          <w:p>
            <w:r>
              <w:rPr>
                <w:sz w:val="18"/>
              </w:rPr>
            </w:r>
            <w:r>
              <w:rPr>
                <w:sz w:val="18"/>
              </w:rPr>
              <w:t>Computed impairment score</w:t>
            </w:r>
          </w:p>
        </w:tc>
        <w:tc>
          <w:tcPr>
            <w:tcW w:type="dxa" w:w="2412"/>
            <w:vAlign w:val="top"/>
          </w:tcPr>
          <w:p>
            <w:r>
              <w:rPr>
                <w:sz w:val="18"/>
              </w:rPr>
            </w:r>
            <w:r>
              <w:rPr>
                <w:sz w:val="18"/>
              </w:rPr>
              <w:t>Yes</w:t>
            </w:r>
          </w:p>
        </w:tc>
        <w:tc>
          <w:tcPr>
            <w:tcW w:type="dxa" w:w="2412"/>
            <w:vAlign w:val="top"/>
          </w:tcPr>
          <w:p>
            <w:r>
              <w:rPr>
                <w:sz w:val="18"/>
              </w:rPr>
            </w:r>
            <w:r>
              <w:rPr>
                <w:b/>
                <w:sz w:val="18"/>
              </w:rPr>
              <w:t>Yes</w:t>
            </w:r>
          </w:p>
        </w:tc>
      </w:tr>
      <w:tr>
        <w:tc>
          <w:tcPr>
            <w:tcW w:type="dxa" w:w="2412"/>
            <w:vAlign w:val="top"/>
          </w:tcPr>
          <w:p>
            <w:r>
              <w:rPr>
                <w:sz w:val="18"/>
              </w:rPr>
            </w:r>
            <w:r>
              <w:rPr>
                <w:sz w:val="18"/>
              </w:rPr>
              <w:t>Biometric — derived</w:t>
            </w:r>
          </w:p>
        </w:tc>
        <w:tc>
          <w:tcPr>
            <w:tcW w:type="dxa" w:w="2412"/>
            <w:vAlign w:val="top"/>
          </w:tcPr>
          <w:p>
            <w:r>
              <w:rPr>
                <w:sz w:val="18"/>
              </w:rPr>
            </w:r>
            <w:r>
              <w:rPr>
                <w:sz w:val="18"/>
              </w:rPr>
              <w:t>Pass/fail threshold flag</w:t>
            </w:r>
          </w:p>
        </w:tc>
        <w:tc>
          <w:tcPr>
            <w:tcW w:type="dxa" w:w="2412"/>
            <w:vAlign w:val="top"/>
          </w:tcPr>
          <w:p>
            <w:r>
              <w:rPr>
                <w:sz w:val="18"/>
              </w:rPr>
            </w:r>
            <w:r>
              <w:rPr>
                <w:sz w:val="18"/>
              </w:rPr>
              <w:t>Yes</w:t>
            </w:r>
          </w:p>
        </w:tc>
        <w:tc>
          <w:tcPr>
            <w:tcW w:type="dxa" w:w="2412"/>
            <w:vAlign w:val="top"/>
          </w:tcPr>
          <w:p>
            <w:r>
              <w:rPr>
                <w:sz w:val="18"/>
              </w:rPr>
            </w:r>
            <w:r>
              <w:rPr>
                <w:sz w:val="18"/>
              </w:rPr>
              <w:t>Yes</w:t>
            </w:r>
          </w:p>
        </w:tc>
      </w:tr>
      <w:tr>
        <w:tc>
          <w:tcPr>
            <w:tcW w:type="dxa" w:w="2412"/>
            <w:vAlign w:val="top"/>
          </w:tcPr>
          <w:p>
            <w:r>
              <w:rPr>
                <w:sz w:val="18"/>
              </w:rPr>
            </w:r>
            <w:r>
              <w:rPr>
                <w:sz w:val="18"/>
              </w:rPr>
              <w:t>Identifiers</w:t>
            </w:r>
          </w:p>
        </w:tc>
        <w:tc>
          <w:tcPr>
            <w:tcW w:type="dxa" w:w="2412"/>
            <w:vAlign w:val="top"/>
          </w:tcPr>
          <w:p>
            <w:r>
              <w:rPr>
                <w:sz w:val="18"/>
              </w:rPr>
            </w:r>
            <w:r>
              <w:rPr>
                <w:sz w:val="18"/>
              </w:rPr>
              <w:t>Vehicle ID, Driver ID</w:t>
            </w:r>
          </w:p>
        </w:tc>
        <w:tc>
          <w:tcPr>
            <w:tcW w:type="dxa" w:w="2412"/>
            <w:vAlign w:val="top"/>
          </w:tcPr>
          <w:p>
            <w:r>
              <w:rPr>
                <w:sz w:val="18"/>
              </w:rPr>
            </w:r>
            <w:r>
              <w:rPr>
                <w:sz w:val="18"/>
              </w:rPr>
              <w:t>Yes</w:t>
            </w:r>
          </w:p>
        </w:tc>
        <w:tc>
          <w:tcPr>
            <w:tcW w:type="dxa" w:w="2412"/>
            <w:vAlign w:val="top"/>
          </w:tcPr>
          <w:p>
            <w:r>
              <w:rPr>
                <w:sz w:val="18"/>
              </w:rPr>
            </w:r>
            <w:r>
              <w:rPr>
                <w:sz w:val="18"/>
              </w:rPr>
              <w:t>No</w:t>
            </w:r>
          </w:p>
        </w:tc>
      </w:tr>
      <w:tr>
        <w:tc>
          <w:tcPr>
            <w:tcW w:type="dxa" w:w="2412"/>
            <w:vAlign w:val="top"/>
          </w:tcPr>
          <w:p>
            <w:r>
              <w:rPr>
                <w:sz w:val="18"/>
              </w:rPr>
            </w:r>
            <w:r>
              <w:rPr>
                <w:sz w:val="18"/>
              </w:rPr>
              <w:t>Identifiers (linked)</w:t>
            </w:r>
          </w:p>
        </w:tc>
        <w:tc>
          <w:tcPr>
            <w:tcW w:type="dxa" w:w="2412"/>
            <w:vAlign w:val="top"/>
          </w:tcPr>
          <w:p>
            <w:r>
              <w:rPr>
                <w:sz w:val="18"/>
              </w:rPr>
            </w:r>
            <w:r>
              <w:rPr>
                <w:sz w:val="18"/>
              </w:rPr>
              <w:t>Driver name, employee/contractor identifier</w:t>
            </w:r>
          </w:p>
        </w:tc>
        <w:tc>
          <w:tcPr>
            <w:tcW w:type="dxa" w:w="2412"/>
            <w:vAlign w:val="top"/>
          </w:tcPr>
          <w:p>
            <w:r>
              <w:rPr>
                <w:sz w:val="18"/>
              </w:rPr>
            </w:r>
            <w:r>
              <w:rPr>
                <w:sz w:val="18"/>
              </w:rPr>
              <w:t>Likely yes for accountability use</w:t>
            </w:r>
          </w:p>
        </w:tc>
        <w:tc>
          <w:tcPr>
            <w:tcW w:type="dxa" w:w="2412"/>
            <w:vAlign w:val="top"/>
          </w:tcPr>
          <w:p>
            <w:r>
              <w:rPr>
                <w:sz w:val="18"/>
              </w:rPr>
            </w:r>
            <w:r>
              <w:rPr>
                <w:sz w:val="18"/>
              </w:rPr>
              <w:t>Indirectly sensitive when linked to biometric</w:t>
            </w:r>
          </w:p>
        </w:tc>
      </w:tr>
      <w:tr>
        <w:tc>
          <w:tcPr>
            <w:tcW w:type="dxa" w:w="2412"/>
            <w:vAlign w:val="top"/>
          </w:tcPr>
          <w:p>
            <w:r>
              <w:rPr>
                <w:sz w:val="18"/>
              </w:rPr>
            </w:r>
            <w:r>
              <w:rPr>
                <w:sz w:val="18"/>
              </w:rPr>
              <w:t>Location</w:t>
            </w:r>
          </w:p>
        </w:tc>
        <w:tc>
          <w:tcPr>
            <w:tcW w:type="dxa" w:w="2412"/>
            <w:vAlign w:val="top"/>
          </w:tcPr>
          <w:p>
            <w:r>
              <w:rPr>
                <w:sz w:val="18"/>
              </w:rPr>
            </w:r>
            <w:r>
              <w:rPr>
                <w:sz w:val="18"/>
              </w:rPr>
              <w:t>GPS coordinates at sensor events (assumed)</w:t>
            </w:r>
          </w:p>
        </w:tc>
        <w:tc>
          <w:tcPr>
            <w:tcW w:type="dxa" w:w="2412"/>
            <w:vAlign w:val="top"/>
          </w:tcPr>
          <w:p>
            <w:r>
              <w:rPr>
                <w:sz w:val="18"/>
              </w:rPr>
            </w:r>
            <w:r>
              <w:rPr>
                <w:sz w:val="18"/>
              </w:rPr>
              <w:t>To be confirmed with vendor</w:t>
            </w:r>
          </w:p>
        </w:tc>
        <w:tc>
          <w:tcPr>
            <w:tcW w:type="dxa" w:w="2412"/>
            <w:vAlign w:val="top"/>
          </w:tcPr>
          <w:p>
            <w:r>
              <w:rPr>
                <w:sz w:val="18"/>
              </w:rPr>
            </w:r>
            <w:r>
              <w:rPr>
                <w:sz w:val="18"/>
              </w:rPr>
              <w:t>Yes when combined with identity</w:t>
            </w:r>
          </w:p>
        </w:tc>
      </w:tr>
      <w:tr>
        <w:tc>
          <w:tcPr>
            <w:tcW w:type="dxa" w:w="2412"/>
            <w:vAlign w:val="top"/>
          </w:tcPr>
          <w:p>
            <w:r>
              <w:rPr>
                <w:sz w:val="18"/>
              </w:rPr>
            </w:r>
            <w:r>
              <w:rPr>
                <w:sz w:val="18"/>
              </w:rPr>
              <w:t>Telematics</w:t>
            </w:r>
          </w:p>
        </w:tc>
        <w:tc>
          <w:tcPr>
            <w:tcW w:type="dxa" w:w="2412"/>
            <w:vAlign w:val="top"/>
          </w:tcPr>
          <w:p>
            <w:r>
              <w:rPr>
                <w:sz w:val="18"/>
              </w:rPr>
            </w:r>
            <w:r>
              <w:rPr>
                <w:sz w:val="18"/>
              </w:rPr>
              <w:t>Speed, braking, vehicle state at event (assumed)</w:t>
            </w:r>
          </w:p>
        </w:tc>
        <w:tc>
          <w:tcPr>
            <w:tcW w:type="dxa" w:w="2412"/>
            <w:vAlign w:val="top"/>
          </w:tcPr>
          <w:p>
            <w:r>
              <w:rPr>
                <w:sz w:val="18"/>
              </w:rPr>
            </w:r>
            <w:r>
              <w:rPr>
                <w:sz w:val="18"/>
              </w:rPr>
              <w:t>To be confirmed</w:t>
            </w:r>
          </w:p>
        </w:tc>
        <w:tc>
          <w:tcPr>
            <w:tcW w:type="dxa" w:w="2412"/>
            <w:vAlign w:val="top"/>
          </w:tcPr>
          <w:p>
            <w:r>
              <w:rPr>
                <w:sz w:val="18"/>
              </w:rPr>
            </w:r>
            <w:r>
              <w:rPr>
                <w:sz w:val="18"/>
              </w:rPr>
              <w:t>Sensitive when combined with identity</w:t>
            </w:r>
          </w:p>
        </w:tc>
      </w:tr>
      <w:tr>
        <w:tc>
          <w:tcPr>
            <w:tcW w:type="dxa" w:w="2412"/>
            <w:vAlign w:val="top"/>
          </w:tcPr>
          <w:p>
            <w:r>
              <w:rPr>
                <w:sz w:val="18"/>
              </w:rPr>
            </w:r>
            <w:r>
              <w:rPr>
                <w:sz w:val="18"/>
              </w:rPr>
              <w:t>Schedule / dispatch</w:t>
            </w:r>
          </w:p>
        </w:tc>
        <w:tc>
          <w:tcPr>
            <w:tcW w:type="dxa" w:w="2412"/>
            <w:vAlign w:val="top"/>
          </w:tcPr>
          <w:p>
            <w:r>
              <w:rPr>
                <w:sz w:val="18"/>
              </w:rPr>
            </w:r>
            <w:r>
              <w:rPr>
                <w:sz w:val="18"/>
              </w:rPr>
              <w:t>Route, dispatch, schedule data</w:t>
            </w:r>
          </w:p>
        </w:tc>
        <w:tc>
          <w:tcPr>
            <w:tcW w:type="dxa" w:w="2412"/>
            <w:vAlign w:val="top"/>
          </w:tcPr>
          <w:p>
            <w:r>
              <w:rPr>
                <w:sz w:val="18"/>
              </w:rPr>
            </w:r>
            <w:r>
              <w:rPr>
                <w:sz w:val="18"/>
              </w:rPr>
              <w:t>Possibly synced with system</w:t>
            </w:r>
          </w:p>
        </w:tc>
        <w:tc>
          <w:tcPr>
            <w:tcW w:type="dxa" w:w="2412"/>
            <w:vAlign w:val="top"/>
          </w:tcPr>
          <w:p>
            <w:r>
              <w:rPr>
                <w:sz w:val="18"/>
              </w:rPr>
            </w:r>
            <w:r>
              <w:rPr>
                <w:sz w:val="18"/>
              </w:rPr>
              <w:t>Indirectly sensitive</w:t>
            </w:r>
          </w:p>
        </w:tc>
      </w:tr>
      <w:tr>
        <w:tc>
          <w:tcPr>
            <w:tcW w:type="dxa" w:w="2412"/>
            <w:vAlign w:val="top"/>
          </w:tcPr>
          <w:p>
            <w:r>
              <w:rPr>
                <w:sz w:val="18"/>
              </w:rPr>
            </w:r>
            <w:r>
              <w:rPr>
                <w:sz w:val="18"/>
              </w:rPr>
              <w:t>HR / discipline / medical</w:t>
            </w:r>
          </w:p>
        </w:tc>
        <w:tc>
          <w:tcPr>
            <w:tcW w:type="dxa" w:w="2412"/>
            <w:vAlign w:val="top"/>
          </w:tcPr>
          <w:p>
            <w:r>
              <w:rPr>
                <w:sz w:val="18"/>
              </w:rPr>
            </w:r>
            <w:r>
              <w:rPr>
                <w:sz w:val="18"/>
              </w:rPr>
              <w:t>Held separately by HR; integration TBD</w:t>
            </w:r>
          </w:p>
        </w:tc>
        <w:tc>
          <w:tcPr>
            <w:tcW w:type="dxa" w:w="2412"/>
            <w:vAlign w:val="top"/>
          </w:tcPr>
          <w:p>
            <w:r>
              <w:rPr>
                <w:sz w:val="18"/>
              </w:rPr>
            </w:r>
            <w:r>
              <w:rPr>
                <w:sz w:val="18"/>
              </w:rPr>
              <w:t>Should remain separate</w:t>
            </w:r>
          </w:p>
        </w:tc>
        <w:tc>
          <w:tcPr>
            <w:tcW w:type="dxa" w:w="2412"/>
            <w:vAlign w:val="top"/>
          </w:tcPr>
          <w:p>
            <w:r>
              <w:rPr>
                <w:sz w:val="18"/>
              </w:rPr>
            </w:r>
            <w:r>
              <w:rPr>
                <w:b/>
                <w:sz w:val="18"/>
              </w:rPr>
              <w:t>Yes</w:t>
            </w:r>
          </w:p>
        </w:tc>
      </w:tr>
    </w:tbl>
    <w:p>
      <w:r>
        <w:rPr>
          <w:b/>
        </w:rPr>
        <w:t>Health-data inference risk:</w:t>
      </w:r>
      <w:r>
        <w:t xml:space="preserve"> Skin-chemistry sensors detect transdermal alcohol but the signal can be influenced by medications, illness (e.g., diabetic ketoacidosis), hand sanitizer, and environmental factors. The signal is therefore </w:t>
      </w:r>
      <w:r>
        <w:rPr>
          <w:b/>
        </w:rPr>
        <w:t>health-adjacent</w:t>
      </w:r>
      <w:r>
        <w:t>, and false positives carry direct individual-harm consequences (lockout, discipline). Treated as sensitive personal information for the purposes of this PIA.</w:t>
      </w:r>
    </w:p>
    <w:p>
      <w:pPr>
        <w:pStyle w:val="Heading2"/>
      </w:pPr>
      <w:r>
        <w:t>3.2 Data Subjects</w:t>
      </w:r>
    </w:p>
    <w:tbl>
      <w:tblPr>
        <w:tblStyle w:val="LightGrid-Accent1"/>
        <w:tblW w:type="auto" w:w="0"/>
        <w:tblLayout w:type="autofit"/>
        <w:tblLook w:firstColumn="1" w:firstRow="1" w:lastColumn="0" w:lastRow="0" w:noHBand="0" w:noVBand="1" w:val="04A0"/>
      </w:tblPr>
      <w:tblGrid>
        <w:gridCol w:w="3216"/>
        <w:gridCol w:w="3216"/>
        <w:gridCol w:w="3216"/>
      </w:tblGrid>
      <w:tr>
        <w:tc>
          <w:tcPr>
            <w:tcW w:type="dxa" w:w="3216"/>
            <w:vAlign w:val="top"/>
            <w:shd w:val="clear" w:color="auto" w:fill="1F3864"/>
          </w:tcPr>
          <w:p>
            <w:r>
              <w:rPr>
                <w:b/>
                <w:color w:val="FFFFFF"/>
                <w:sz w:val="18"/>
              </w:rPr>
            </w:r>
            <w:r>
              <w:rPr>
                <w:b/>
                <w:color w:val="FFFFFF"/>
                <w:sz w:val="18"/>
              </w:rPr>
              <w:t>Population</w:t>
            </w:r>
          </w:p>
        </w:tc>
        <w:tc>
          <w:tcPr>
            <w:tcW w:type="dxa" w:w="3216"/>
            <w:vAlign w:val="top"/>
            <w:shd w:val="clear" w:color="auto" w:fill="1F3864"/>
          </w:tcPr>
          <w:p>
            <w:r>
              <w:rPr>
                <w:b/>
                <w:color w:val="FFFFFF"/>
                <w:sz w:val="18"/>
              </w:rPr>
            </w:r>
            <w:r>
              <w:rPr>
                <w:b/>
                <w:color w:val="FFFFFF"/>
                <w:sz w:val="18"/>
              </w:rPr>
              <w:t>Approximate Volume</w:t>
            </w:r>
          </w:p>
        </w:tc>
        <w:tc>
          <w:tcPr>
            <w:tcW w:type="dxa" w:w="3216"/>
            <w:vAlign w:val="top"/>
            <w:shd w:val="clear" w:color="auto" w:fill="1F3864"/>
          </w:tcPr>
          <w:p>
            <w:r>
              <w:rPr>
                <w:b/>
                <w:color w:val="FFFFFF"/>
                <w:sz w:val="18"/>
              </w:rPr>
            </w:r>
            <w:r>
              <w:rPr>
                <w:b/>
                <w:color w:val="FFFFFF"/>
                <w:sz w:val="18"/>
              </w:rPr>
              <w:t>Vulnerable?</w:t>
            </w:r>
          </w:p>
        </w:tc>
      </w:tr>
      <w:tr>
        <w:tc>
          <w:tcPr>
            <w:tcW w:type="dxa" w:w="3216"/>
            <w:vAlign w:val="top"/>
          </w:tcPr>
          <w:p>
            <w:r>
              <w:rPr>
                <w:sz w:val="18"/>
              </w:rPr>
            </w:r>
            <w:r>
              <w:rPr>
                <w:sz w:val="18"/>
              </w:rPr>
              <w:t>Employee drivers</w:t>
            </w:r>
          </w:p>
        </w:tc>
        <w:tc>
          <w:tcPr>
            <w:tcW w:type="dxa" w:w="3216"/>
            <w:vAlign w:val="top"/>
          </w:tcPr>
          <w:p>
            <w:r>
              <w:rPr>
                <w:sz w:val="18"/>
              </w:rPr>
            </w:r>
            <w:r>
              <w:rPr>
                <w:sz w:val="18"/>
              </w:rPr>
              <w:t>Majority of ~400 drivers</w:t>
            </w:r>
          </w:p>
        </w:tc>
        <w:tc>
          <w:tcPr>
            <w:tcW w:type="dxa" w:w="3216"/>
            <w:vAlign w:val="top"/>
          </w:tcPr>
          <w:p>
            <w:r>
              <w:rPr>
                <w:sz w:val="18"/>
              </w:rPr>
            </w:r>
            <w:r>
              <w:rPr>
                <w:sz w:val="18"/>
              </w:rPr>
              <w:t>Yes — power imbalance with employer; cannot meaningfully refuse without losing employment</w:t>
            </w:r>
          </w:p>
        </w:tc>
      </w:tr>
      <w:tr>
        <w:tc>
          <w:tcPr>
            <w:tcW w:type="dxa" w:w="3216"/>
            <w:vAlign w:val="top"/>
          </w:tcPr>
          <w:p>
            <w:r>
              <w:rPr>
                <w:sz w:val="18"/>
              </w:rPr>
            </w:r>
            <w:r>
              <w:rPr>
                <w:sz w:val="18"/>
              </w:rPr>
              <w:t>Independent contractor drivers</w:t>
            </w:r>
          </w:p>
        </w:tc>
        <w:tc>
          <w:tcPr>
            <w:tcW w:type="dxa" w:w="3216"/>
            <w:vAlign w:val="top"/>
          </w:tcPr>
          <w:p>
            <w:r>
              <w:rPr>
                <w:sz w:val="18"/>
              </w:rPr>
            </w:r>
            <w:r>
              <w:rPr>
                <w:sz w:val="18"/>
              </w:rPr>
              <w:t>Minority of ~400</w:t>
            </w:r>
          </w:p>
        </w:tc>
        <w:tc>
          <w:tcPr>
            <w:tcW w:type="dxa" w:w="3216"/>
            <w:vAlign w:val="top"/>
          </w:tcPr>
          <w:p>
            <w:r>
              <w:rPr>
                <w:sz w:val="18"/>
              </w:rPr>
            </w:r>
            <w:r>
              <w:rPr>
                <w:sz w:val="18"/>
              </w:rPr>
              <w:t>Power imbalance; consent must be express and separately structured</w:t>
            </w:r>
          </w:p>
        </w:tc>
      </w:tr>
      <w:tr>
        <w:tc>
          <w:tcPr>
            <w:tcW w:type="dxa" w:w="3216"/>
            <w:vAlign w:val="top"/>
          </w:tcPr>
          <w:p>
            <w:r>
              <w:rPr>
                <w:sz w:val="18"/>
              </w:rPr>
            </w:r>
            <w:r>
              <w:rPr>
                <w:sz w:val="18"/>
              </w:rPr>
              <w:t>Contractor sub-employees</w:t>
            </w:r>
          </w:p>
        </w:tc>
        <w:tc>
          <w:tcPr>
            <w:tcW w:type="dxa" w:w="3216"/>
            <w:vAlign w:val="top"/>
          </w:tcPr>
          <w:p>
            <w:r>
              <w:rPr>
                <w:sz w:val="18"/>
              </w:rPr>
            </w:r>
            <w:r>
              <w:rPr>
                <w:sz w:val="18"/>
              </w:rPr>
              <w:t>Subset of contractor cohort</w:t>
            </w:r>
          </w:p>
        </w:tc>
        <w:tc>
          <w:tcPr>
            <w:tcW w:type="dxa" w:w="3216"/>
            <w:vAlign w:val="top"/>
          </w:tcPr>
          <w:p>
            <w:r>
              <w:rPr>
                <w:sz w:val="18"/>
              </w:rPr>
            </w:r>
            <w:r>
              <w:rPr>
                <w:b/>
                <w:sz w:val="18"/>
              </w:rPr>
              <w:t>Most acute power-imbalance risk</w:t>
            </w:r>
            <w:r>
              <w:rPr>
                <w:sz w:val="18"/>
              </w:rPr>
              <w:t>: not in privity with the company, but subject to its monitoring</w:t>
            </w:r>
          </w:p>
        </w:tc>
      </w:tr>
      <w:tr>
        <w:tc>
          <w:tcPr>
            <w:tcW w:type="dxa" w:w="3216"/>
            <w:vAlign w:val="top"/>
          </w:tcPr>
          <w:p>
            <w:r>
              <w:rPr>
                <w:sz w:val="18"/>
              </w:rPr>
            </w:r>
            <w:r>
              <w:rPr>
                <w:sz w:val="18"/>
              </w:rPr>
              <w:t>Minors</w:t>
            </w:r>
          </w:p>
        </w:tc>
        <w:tc>
          <w:tcPr>
            <w:tcW w:type="dxa" w:w="3216"/>
            <w:vAlign w:val="top"/>
          </w:tcPr>
          <w:p>
            <w:r>
              <w:rPr>
                <w:sz w:val="18"/>
              </w:rPr>
            </w:r>
            <w:r>
              <w:rPr>
                <w:sz w:val="18"/>
              </w:rPr>
              <w:t>None identified</w:t>
            </w:r>
          </w:p>
        </w:tc>
        <w:tc>
          <w:tcPr>
            <w:tcW w:type="dxa" w:w="3216"/>
            <w:vAlign w:val="top"/>
          </w:tcPr>
          <w:p>
            <w:r>
              <w:rPr>
                <w:sz w:val="18"/>
              </w:rPr>
            </w:r>
            <w:r>
              <w:rPr>
                <w:sz w:val="18"/>
              </w:rPr>
              <w:t>N/A</w:t>
            </w:r>
          </w:p>
        </w:tc>
      </w:tr>
    </w:tbl>
    <w:p>
      <w:r>
        <w:rPr>
          <w:b/>
        </w:rPr>
        <w:t>Total data subjects: approximately 400.</w:t>
      </w:r>
    </w:p>
    <w:p>
      <w:pPr>
        <w:pStyle w:val="Heading2"/>
      </w:pPr>
      <w:r>
        <w:t>3.3 Data Minimization Assessment</w:t>
      </w:r>
    </w:p>
    <w:p>
      <w:r>
        <w:t xml:space="preserve">The collection plan is </w:t>
      </w:r>
      <w:r>
        <w:rPr>
          <w:b/>
        </w:rPr>
        <w:t>maximalist</w:t>
      </w:r>
      <w:r>
        <w:t>, not minimalist:</w:t>
      </w:r>
    </w:p>
    <w:p>
      <w:pPr>
        <w:pStyle w:val="ListBullet"/>
      </w:pPr>
      <w:r>
        <w:t>Continuous biometric streaming throughout engine-on time (rather than at engine-start, on threshold, or on demand).</w:t>
      </w:r>
    </w:p>
    <w:p>
      <w:pPr>
        <w:pStyle w:val="ListBullet"/>
      </w:pPr>
      <w:r>
        <w:t>Both skin and breath chemistry simultaneously (rather than the minimum modality required for the safety purpose).</w:t>
      </w:r>
    </w:p>
    <w:p>
      <w:pPr>
        <w:pStyle w:val="ListBullet"/>
      </w:pPr>
      <w:r>
        <w:t>Cloud retention of biometric records (rather than detect-and-discard with only flagged-event storage).</w:t>
      </w:r>
    </w:p>
    <w:p>
      <w:pPr>
        <w:pStyle w:val="ListBullet"/>
      </w:pPr>
      <w:r>
        <w:t>Identifying linkage at vendor side (likely; to be confirmed).</w:t>
      </w:r>
    </w:p>
    <w:p>
      <w:pPr>
        <w:pStyle w:val="ListBullet"/>
      </w:pPr>
      <w:r>
        <w:t>Open-ended downstream uses (discipline, contractor disputes, fleet analytics, insurance, vendor model training, possible law-enforcement disclosure).</w:t>
      </w:r>
    </w:p>
    <w:p>
      <w:r>
        <w:t xml:space="preserve">The proportionality test under PIPEDA workplace-surveillance jurisprudence (see </w:t>
      </w:r>
      <w:r>
        <w:rPr>
          <w:i/>
        </w:rPr>
        <w:t>Eastmond v. Canadian Pacific Railway</w:t>
      </w:r>
      <w:r>
        <w:t xml:space="preserve">, 2004 FC 852, and OPC findings on workplace monitoring) requires assessment of </w:t>
      </w:r>
      <w:r>
        <w:rPr>
          <w:b/>
        </w:rPr>
        <w:t>necessity, effectiveness, proportionality, and the existence of less-privacy-intrusive alternatives</w:t>
      </w:r>
      <w:r>
        <w:t>. A minimization analysis (Section 8 mitigations) recommends that less-intrusive configurations be sought from the vendor before any contract is signed.</w:t>
      </w:r>
    </w:p>
    <w:p>
      <w:pPr>
        <w:pStyle w:val="Heading1"/>
      </w:pPr>
      <w:r>
        <w:t>Section 4 — Data Flows</w:t>
      </w:r>
    </w:p>
    <w:p>
      <w:pPr>
        <w:pStyle w:val="Heading2"/>
      </w:pPr>
      <w:r>
        <w:t>4.1 Collection</w:t>
      </w:r>
    </w:p>
    <w:p>
      <w:r>
        <w:t>Personal information is collected directly from the driver through in-cab sensors while the engine is on. Both local on-device processing and cloud streaming occur (assumed; to be confirmed with vendor). Notice at the point of collection is currently planned to consist of an in-cab sticker and possibly a screen prompt at engine-start. A consent or acknowledgement form is contemplated but not yet drafted.</w:t>
      </w:r>
    </w:p>
    <w:p>
      <w:r>
        <w:rPr>
          <w:b/>
        </w:rPr>
        <w:t>Statutory citations engaged:</w:t>
      </w:r>
    </w:p>
    <w:p>
      <w:pPr>
        <w:pStyle w:val="ListBullet"/>
      </w:pPr>
      <w:r>
        <w:t>PIPEDA, Sch. 1, Principle 4.2 — purposes identified at or before collection.</w:t>
      </w:r>
    </w:p>
    <w:p>
      <w:pPr>
        <w:pStyle w:val="ListBullet"/>
      </w:pPr>
      <w:r>
        <w:t>PIPEDA, Sch. 1, Principle 4.3 / s. 6.1 — meaningful consent (understanding of nature, purpose, consequences); appropriate to sensitivity.</w:t>
      </w:r>
    </w:p>
    <w:p>
      <w:pPr>
        <w:pStyle w:val="ListBullet"/>
      </w:pPr>
      <w:r>
        <w:t>Quebec Law 25, s. 8 — pre-collection information must include purposes, means, rights, third parties, cross-border transfer.</w:t>
      </w:r>
    </w:p>
    <w:p>
      <w:pPr>
        <w:pStyle w:val="ListBullet"/>
      </w:pPr>
      <w:r>
        <w:t>Quebec Law 25, s. 12 / s. 14 — manifest, free, informed consent given for specific purposes; for sensitive PI, expressly given.</w:t>
      </w:r>
    </w:p>
    <w:p>
      <w:pPr>
        <w:pStyle w:val="ListBullet"/>
      </w:pPr>
      <w:r>
        <w:t>BC PIPA, s. 10(1); Alberta PIPA, s. 13 — notice of purposes and contact at or before collection.</w:t>
      </w:r>
    </w:p>
    <w:p>
      <w:pPr>
        <w:pStyle w:val="ListBullet"/>
      </w:pPr>
      <w:r>
        <w:t>Alberta PIPA, s. 15(1); BC PIPA, s. 13(2) — reasonable notice required before collecting employee personal information for an employment-related purpose.</w:t>
      </w:r>
    </w:p>
    <w:p>
      <w:pPr>
        <w:pStyle w:val="Heading2"/>
      </w:pPr>
      <w:r>
        <w:t>4.2 Use and Purpose</w:t>
      </w:r>
    </w:p>
    <w:p>
      <w:r>
        <w:rPr>
          <w:b/>
        </w:rPr>
        <w:t>Primary use:</w:t>
      </w:r>
      <w:r>
        <w:t xml:space="preserve"> real-time impairment detection and automated vehicle intervention (warning, controlled slowdown, lockout).</w:t>
      </w:r>
    </w:p>
    <w:p>
      <w:r>
        <w:rPr>
          <w:b/>
        </w:rPr>
        <w:t>Secondary uses contemplated (each "potentially yes" per intake):</w:t>
      </w:r>
    </w:p>
    <w:p>
      <w:pPr>
        <w:pStyle w:val="ListBullet"/>
      </w:pPr>
      <w:r>
        <w:t>Disciplinary evidence in employment proceedings;</w:t>
      </w:r>
    </w:p>
    <w:p>
      <w:pPr>
        <w:pStyle w:val="ListBullet"/>
      </w:pPr>
      <w:r>
        <w:t>Evidence in contract disputes with rental contractors;</w:t>
      </w:r>
    </w:p>
    <w:p>
      <w:pPr>
        <w:pStyle w:val="ListBullet"/>
      </w:pPr>
      <w:r>
        <w:t>Aggregate fleet analytics and safety reporting;</w:t>
      </w:r>
    </w:p>
    <w:p>
      <w:pPr>
        <w:pStyle w:val="ListBullet"/>
      </w:pPr>
      <w:r>
        <w:t>Insurance claims defence;</w:t>
      </w:r>
    </w:p>
    <w:p>
      <w:pPr>
        <w:pStyle w:val="ListBullet"/>
      </w:pPr>
      <w:r>
        <w:t>Vendor product improvement and model training;</w:t>
      </w:r>
    </w:p>
    <w:p>
      <w:pPr>
        <w:pStyle w:val="ListBullet"/>
      </w:pPr>
      <w:r>
        <w:t>Sale or sharing of de-identified data;</w:t>
      </w:r>
    </w:p>
    <w:p>
      <w:pPr>
        <w:pStyle w:val="ListBullet"/>
      </w:pPr>
      <w:r>
        <w:t>Voluntary or compelled disclosure to law enforcement.</w:t>
      </w:r>
    </w:p>
    <w:p>
      <w:r>
        <w:rPr>
          <w:b/>
        </w:rPr>
        <w:t>Automated decision-making.</w:t>
      </w:r>
      <w:r>
        <w:t xml:space="preserve"> The slowdown/lockout decision is made fully automatically with no human in the loop in the current design. Disciplinary use is downstream of an automated event flag and currently has no defined contestation channel. </w:t>
      </w:r>
      <w:r>
        <w:rPr>
          <w:b/>
        </w:rPr>
        <w:t>This is inconsistent with Quebec Law 25, s. 12.1</w:t>
      </w:r>
      <w:r>
        <w:t>, which requires that an individual subject to an automated decision be informed and, on request, given the principal factors used in making the decision and the opportunity to submit observations to a person who can review the decision. It also creates risk under PIPEDA Sch. 1 Principle 4.3 (meaningful consent) and Principle 4.6 (accuracy).</w:t>
      </w:r>
    </w:p>
    <w:p>
      <w:pPr>
        <w:pStyle w:val="Heading2"/>
      </w:pPr>
      <w:r>
        <w:t>4.3 Disclosure and Third-Party Sharing</w:t>
      </w:r>
    </w:p>
    <w:tbl>
      <w:tblPr>
        <w:tblStyle w:val="LightGrid-Accent1"/>
        <w:tblW w:type="auto" w:w="0"/>
        <w:tblLayout w:type="autofit"/>
        <w:tblLook w:firstColumn="1" w:firstRow="1" w:lastColumn="0" w:lastRow="0" w:noHBand="0" w:noVBand="1" w:val="04A0"/>
      </w:tblPr>
      <w:tblGrid>
        <w:gridCol w:w="1930"/>
        <w:gridCol w:w="1930"/>
        <w:gridCol w:w="1930"/>
        <w:gridCol w:w="1930"/>
        <w:gridCol w:w="1930"/>
      </w:tblGrid>
      <w:tr>
        <w:tc>
          <w:tcPr>
            <w:tcW w:type="dxa" w:w="1930"/>
            <w:vAlign w:val="top"/>
            <w:shd w:val="clear" w:color="auto" w:fill="1F3864"/>
          </w:tcPr>
          <w:p>
            <w:r>
              <w:rPr>
                <w:b/>
                <w:color w:val="FFFFFF"/>
                <w:sz w:val="18"/>
              </w:rPr>
            </w:r>
            <w:r>
              <w:rPr>
                <w:b/>
                <w:color w:val="FFFFFF"/>
                <w:sz w:val="18"/>
              </w:rPr>
              <w:t>Recipient</w:t>
            </w:r>
          </w:p>
        </w:tc>
        <w:tc>
          <w:tcPr>
            <w:tcW w:type="dxa" w:w="1930"/>
            <w:vAlign w:val="top"/>
            <w:shd w:val="clear" w:color="auto" w:fill="1F3864"/>
          </w:tcPr>
          <w:p>
            <w:r>
              <w:rPr>
                <w:b/>
                <w:color w:val="FFFFFF"/>
                <w:sz w:val="18"/>
              </w:rPr>
            </w:r>
            <w:r>
              <w:rPr>
                <w:b/>
                <w:color w:val="FFFFFF"/>
                <w:sz w:val="18"/>
              </w:rPr>
              <w:t>Data Shared</w:t>
            </w:r>
          </w:p>
        </w:tc>
        <w:tc>
          <w:tcPr>
            <w:tcW w:type="dxa" w:w="1930"/>
            <w:vAlign w:val="top"/>
            <w:shd w:val="clear" w:color="auto" w:fill="1F3864"/>
          </w:tcPr>
          <w:p>
            <w:r>
              <w:rPr>
                <w:b/>
                <w:color w:val="FFFFFF"/>
                <w:sz w:val="18"/>
              </w:rPr>
            </w:r>
            <w:r>
              <w:rPr>
                <w:b/>
                <w:color w:val="FFFFFF"/>
                <w:sz w:val="18"/>
              </w:rPr>
              <w:t>Purpose</w:t>
            </w:r>
          </w:p>
        </w:tc>
        <w:tc>
          <w:tcPr>
            <w:tcW w:type="dxa" w:w="1930"/>
            <w:vAlign w:val="top"/>
            <w:shd w:val="clear" w:color="auto" w:fill="1F3864"/>
          </w:tcPr>
          <w:p>
            <w:r>
              <w:rPr>
                <w:b/>
                <w:color w:val="FFFFFF"/>
                <w:sz w:val="18"/>
              </w:rPr>
            </w:r>
            <w:r>
              <w:rPr>
                <w:b/>
                <w:color w:val="FFFFFF"/>
                <w:sz w:val="18"/>
              </w:rPr>
              <w:t>Agreement in Place?</w:t>
            </w:r>
          </w:p>
        </w:tc>
        <w:tc>
          <w:tcPr>
            <w:tcW w:type="dxa" w:w="1930"/>
            <w:vAlign w:val="top"/>
            <w:shd w:val="clear" w:color="auto" w:fill="1F3864"/>
          </w:tcPr>
          <w:p>
            <w:r>
              <w:rPr>
                <w:b/>
                <w:color w:val="FFFFFF"/>
                <w:sz w:val="18"/>
              </w:rPr>
            </w:r>
            <w:r>
              <w:rPr>
                <w:b/>
                <w:color w:val="FFFFFF"/>
                <w:sz w:val="18"/>
              </w:rPr>
              <w:t>Cross-Border?</w:t>
            </w:r>
          </w:p>
        </w:tc>
      </w:tr>
      <w:tr>
        <w:tc>
          <w:tcPr>
            <w:tcW w:type="dxa" w:w="1930"/>
            <w:vAlign w:val="top"/>
          </w:tcPr>
          <w:p>
            <w:r>
              <w:rPr>
                <w:sz w:val="18"/>
              </w:rPr>
            </w:r>
            <w:r>
              <w:rPr>
                <w:sz w:val="18"/>
              </w:rPr>
              <w:t>Umbrella vendor (US-HQ)</w:t>
            </w:r>
          </w:p>
        </w:tc>
        <w:tc>
          <w:tcPr>
            <w:tcW w:type="dxa" w:w="1930"/>
            <w:vAlign w:val="top"/>
          </w:tcPr>
          <w:p>
            <w:r>
              <w:rPr>
                <w:sz w:val="18"/>
              </w:rPr>
            </w:r>
            <w:r>
              <w:rPr>
                <w:sz w:val="18"/>
              </w:rPr>
              <w:t>Full biometric stream + identifiers + telematics</w:t>
            </w:r>
          </w:p>
        </w:tc>
        <w:tc>
          <w:tcPr>
            <w:tcW w:type="dxa" w:w="1930"/>
            <w:vAlign w:val="top"/>
          </w:tcPr>
          <w:p>
            <w:r>
              <w:rPr>
                <w:sz w:val="18"/>
              </w:rPr>
            </w:r>
            <w:r>
              <w:rPr>
                <w:sz w:val="18"/>
              </w:rPr>
              <w:t>Cloud processing, analytics, storage</w:t>
            </w:r>
          </w:p>
        </w:tc>
        <w:tc>
          <w:tcPr>
            <w:tcW w:type="dxa" w:w="1930"/>
            <w:vAlign w:val="top"/>
          </w:tcPr>
          <w:p>
            <w:r>
              <w:rPr>
                <w:sz w:val="18"/>
              </w:rPr>
            </w:r>
            <w:r>
              <w:rPr>
                <w:b/>
                <w:sz w:val="18"/>
              </w:rPr>
              <w:t>No — in negotiation</w:t>
            </w:r>
          </w:p>
        </w:tc>
        <w:tc>
          <w:tcPr>
            <w:tcW w:type="dxa" w:w="1930"/>
            <w:vAlign w:val="top"/>
          </w:tcPr>
          <w:p>
            <w:r>
              <w:rPr>
                <w:sz w:val="18"/>
              </w:rPr>
            </w:r>
            <w:r>
              <w:rPr>
                <w:b/>
                <w:sz w:val="18"/>
              </w:rPr>
              <w:t>Yes — U.S.</w:t>
            </w:r>
          </w:p>
        </w:tc>
      </w:tr>
      <w:tr>
        <w:tc>
          <w:tcPr>
            <w:tcW w:type="dxa" w:w="1930"/>
            <w:vAlign w:val="top"/>
          </w:tcPr>
          <w:p>
            <w:r>
              <w:rPr>
                <w:sz w:val="18"/>
              </w:rPr>
            </w:r>
            <w:r>
              <w:rPr>
                <w:sz w:val="18"/>
              </w:rPr>
              <w:t>Vendor sub-processors</w:t>
            </w:r>
          </w:p>
        </w:tc>
        <w:tc>
          <w:tcPr>
            <w:tcW w:type="dxa" w:w="1930"/>
            <w:vAlign w:val="top"/>
          </w:tcPr>
          <w:p>
            <w:r>
              <w:rPr>
                <w:sz w:val="18"/>
              </w:rPr>
            </w:r>
            <w:r>
              <w:rPr>
                <w:sz w:val="18"/>
              </w:rPr>
              <w:t>Subset (TBD)</w:t>
            </w:r>
          </w:p>
        </w:tc>
        <w:tc>
          <w:tcPr>
            <w:tcW w:type="dxa" w:w="1930"/>
            <w:vAlign w:val="top"/>
          </w:tcPr>
          <w:p>
            <w:r>
              <w:rPr>
                <w:sz w:val="18"/>
              </w:rPr>
            </w:r>
            <w:r>
              <w:rPr>
                <w:sz w:val="18"/>
              </w:rPr>
              <w:t>TBD</w:t>
            </w:r>
          </w:p>
        </w:tc>
        <w:tc>
          <w:tcPr>
            <w:tcW w:type="dxa" w:w="1930"/>
            <w:vAlign w:val="top"/>
          </w:tcPr>
          <w:p>
            <w:r>
              <w:rPr>
                <w:sz w:val="18"/>
              </w:rPr>
            </w:r>
            <w:r>
              <w:rPr>
                <w:sz w:val="18"/>
              </w:rPr>
              <w:t>Unknown</w:t>
            </w:r>
          </w:p>
        </w:tc>
        <w:tc>
          <w:tcPr>
            <w:tcW w:type="dxa" w:w="1930"/>
            <w:vAlign w:val="top"/>
          </w:tcPr>
          <w:p>
            <w:r>
              <w:rPr>
                <w:sz w:val="18"/>
              </w:rPr>
            </w:r>
            <w:r>
              <w:rPr>
                <w:sz w:val="18"/>
              </w:rPr>
              <w:t>TBD</w:t>
            </w:r>
          </w:p>
        </w:tc>
      </w:tr>
      <w:tr>
        <w:tc>
          <w:tcPr>
            <w:tcW w:type="dxa" w:w="1930"/>
            <w:vAlign w:val="top"/>
          </w:tcPr>
          <w:p>
            <w:r>
              <w:rPr>
                <w:sz w:val="18"/>
              </w:rPr>
            </w:r>
            <w:r>
              <w:rPr>
                <w:sz w:val="18"/>
              </w:rPr>
              <w:t>Insurance carrier</w:t>
            </w:r>
          </w:p>
        </w:tc>
        <w:tc>
          <w:tcPr>
            <w:tcW w:type="dxa" w:w="1930"/>
            <w:vAlign w:val="top"/>
          </w:tcPr>
          <w:p>
            <w:r>
              <w:rPr>
                <w:sz w:val="18"/>
              </w:rPr>
            </w:r>
            <w:r>
              <w:rPr>
                <w:sz w:val="18"/>
              </w:rPr>
              <w:t>Possibly — circumstance-driven</w:t>
            </w:r>
          </w:p>
        </w:tc>
        <w:tc>
          <w:tcPr>
            <w:tcW w:type="dxa" w:w="1930"/>
            <w:vAlign w:val="top"/>
          </w:tcPr>
          <w:p>
            <w:r>
              <w:rPr>
                <w:sz w:val="18"/>
              </w:rPr>
            </w:r>
            <w:r>
              <w:rPr>
                <w:sz w:val="18"/>
              </w:rPr>
              <w:t>Claims defence</w:t>
            </w:r>
          </w:p>
        </w:tc>
        <w:tc>
          <w:tcPr>
            <w:tcW w:type="dxa" w:w="1930"/>
            <w:vAlign w:val="top"/>
          </w:tcPr>
          <w:p>
            <w:r>
              <w:rPr>
                <w:sz w:val="18"/>
              </w:rPr>
            </w:r>
            <w:r>
              <w:rPr>
                <w:sz w:val="18"/>
              </w:rPr>
              <w:t>None confirmed</w:t>
            </w:r>
          </w:p>
        </w:tc>
        <w:tc>
          <w:tcPr>
            <w:tcW w:type="dxa" w:w="1930"/>
            <w:vAlign w:val="top"/>
          </w:tcPr>
          <w:p>
            <w:r>
              <w:rPr>
                <w:sz w:val="18"/>
              </w:rPr>
            </w:r>
            <w:r>
              <w:rPr>
                <w:sz w:val="18"/>
              </w:rPr>
              <w:t>Possibly</w:t>
            </w:r>
          </w:p>
        </w:tc>
      </w:tr>
      <w:tr>
        <w:tc>
          <w:tcPr>
            <w:tcW w:type="dxa" w:w="1930"/>
            <w:vAlign w:val="top"/>
          </w:tcPr>
          <w:p>
            <w:r>
              <w:rPr>
                <w:sz w:val="18"/>
              </w:rPr>
            </w:r>
            <w:r>
              <w:rPr>
                <w:sz w:val="18"/>
              </w:rPr>
              <w:t>Customers / shippers</w:t>
            </w:r>
          </w:p>
        </w:tc>
        <w:tc>
          <w:tcPr>
            <w:tcW w:type="dxa" w:w="1930"/>
            <w:vAlign w:val="top"/>
          </w:tcPr>
          <w:p>
            <w:r>
              <w:rPr>
                <w:sz w:val="18"/>
              </w:rPr>
            </w:r>
            <w:r>
              <w:rPr>
                <w:sz w:val="18"/>
              </w:rPr>
              <w:t>Possibly — circumstance-driven</w:t>
            </w:r>
          </w:p>
        </w:tc>
        <w:tc>
          <w:tcPr>
            <w:tcW w:type="dxa" w:w="1930"/>
            <w:vAlign w:val="top"/>
          </w:tcPr>
          <w:p>
            <w:r>
              <w:rPr>
                <w:sz w:val="18"/>
              </w:rPr>
            </w:r>
            <w:r>
              <w:rPr>
                <w:sz w:val="18"/>
              </w:rPr>
              <w:t>TBD</w:t>
            </w:r>
          </w:p>
        </w:tc>
        <w:tc>
          <w:tcPr>
            <w:tcW w:type="dxa" w:w="1930"/>
            <w:vAlign w:val="top"/>
          </w:tcPr>
          <w:p>
            <w:r>
              <w:rPr>
                <w:sz w:val="18"/>
              </w:rPr>
            </w:r>
            <w:r>
              <w:rPr>
                <w:sz w:val="18"/>
              </w:rPr>
              <w:t>None confirmed</w:t>
            </w:r>
          </w:p>
        </w:tc>
        <w:tc>
          <w:tcPr>
            <w:tcW w:type="dxa" w:w="1930"/>
            <w:vAlign w:val="top"/>
          </w:tcPr>
          <w:p>
            <w:r>
              <w:rPr>
                <w:sz w:val="18"/>
              </w:rPr>
            </w:r>
            <w:r>
              <w:rPr>
                <w:sz w:val="18"/>
              </w:rPr>
              <w:t>Possibly</w:t>
            </w:r>
          </w:p>
        </w:tc>
      </w:tr>
      <w:tr>
        <w:tc>
          <w:tcPr>
            <w:tcW w:type="dxa" w:w="1930"/>
            <w:vAlign w:val="top"/>
          </w:tcPr>
          <w:p>
            <w:r>
              <w:rPr>
                <w:sz w:val="18"/>
              </w:rPr>
            </w:r>
            <w:r>
              <w:rPr>
                <w:sz w:val="18"/>
              </w:rPr>
              <w:t>Police / Transport Canada / FMCSA / provincial regulators</w:t>
            </w:r>
          </w:p>
        </w:tc>
        <w:tc>
          <w:tcPr>
            <w:tcW w:type="dxa" w:w="1930"/>
            <w:vAlign w:val="top"/>
          </w:tcPr>
          <w:p>
            <w:r>
              <w:rPr>
                <w:sz w:val="18"/>
              </w:rPr>
            </w:r>
            <w:r>
              <w:rPr>
                <w:sz w:val="18"/>
              </w:rPr>
              <w:t>Possibly — circumstance-driven</w:t>
            </w:r>
          </w:p>
        </w:tc>
        <w:tc>
          <w:tcPr>
            <w:tcW w:type="dxa" w:w="1930"/>
            <w:vAlign w:val="top"/>
          </w:tcPr>
          <w:p>
            <w:r>
              <w:rPr>
                <w:sz w:val="18"/>
              </w:rPr>
            </w:r>
            <w:r>
              <w:rPr>
                <w:sz w:val="18"/>
              </w:rPr>
              <w:t>Compliance / law-enforcement response</w:t>
            </w:r>
          </w:p>
        </w:tc>
        <w:tc>
          <w:tcPr>
            <w:tcW w:type="dxa" w:w="1930"/>
            <w:vAlign w:val="top"/>
          </w:tcPr>
          <w:p>
            <w:r>
              <w:rPr>
                <w:sz w:val="18"/>
              </w:rPr>
            </w:r>
            <w:r>
              <w:rPr>
                <w:sz w:val="18"/>
              </w:rPr>
              <w:t>None confirmed</w:t>
            </w:r>
          </w:p>
        </w:tc>
        <w:tc>
          <w:tcPr>
            <w:tcW w:type="dxa" w:w="1930"/>
            <w:vAlign w:val="top"/>
          </w:tcPr>
          <w:p>
            <w:r>
              <w:rPr>
                <w:sz w:val="18"/>
              </w:rPr>
            </w:r>
            <w:r>
              <w:rPr>
                <w:sz w:val="18"/>
              </w:rPr>
              <w:t>Possibly</w:t>
            </w:r>
          </w:p>
        </w:tc>
      </w:tr>
      <w:tr>
        <w:tc>
          <w:tcPr>
            <w:tcW w:type="dxa" w:w="1930"/>
            <w:vAlign w:val="top"/>
          </w:tcPr>
          <w:p>
            <w:r>
              <w:rPr>
                <w:sz w:val="18"/>
              </w:rPr>
            </w:r>
            <w:r>
              <w:rPr>
                <w:sz w:val="18"/>
              </w:rPr>
              <w:t>Contractor management entities</w:t>
            </w:r>
          </w:p>
        </w:tc>
        <w:tc>
          <w:tcPr>
            <w:tcW w:type="dxa" w:w="1930"/>
            <w:vAlign w:val="top"/>
          </w:tcPr>
          <w:p>
            <w:r>
              <w:rPr>
                <w:sz w:val="18"/>
              </w:rPr>
            </w:r>
            <w:r>
              <w:rPr>
                <w:sz w:val="18"/>
              </w:rPr>
              <w:t>Possibly — when their employee triggers event</w:t>
            </w:r>
          </w:p>
        </w:tc>
        <w:tc>
          <w:tcPr>
            <w:tcW w:type="dxa" w:w="1930"/>
            <w:vAlign w:val="top"/>
          </w:tcPr>
          <w:p>
            <w:r>
              <w:rPr>
                <w:sz w:val="18"/>
              </w:rPr>
            </w:r>
            <w:r>
              <w:rPr>
                <w:sz w:val="18"/>
              </w:rPr>
              <w:t>Contractual dispute resolution</w:t>
            </w:r>
          </w:p>
        </w:tc>
        <w:tc>
          <w:tcPr>
            <w:tcW w:type="dxa" w:w="1930"/>
            <w:vAlign w:val="top"/>
          </w:tcPr>
          <w:p>
            <w:r>
              <w:rPr>
                <w:sz w:val="18"/>
              </w:rPr>
            </w:r>
            <w:r>
              <w:rPr>
                <w:sz w:val="18"/>
              </w:rPr>
              <w:t>None confirmed</w:t>
            </w:r>
          </w:p>
        </w:tc>
        <w:tc>
          <w:tcPr>
            <w:tcW w:type="dxa" w:w="1930"/>
            <w:vAlign w:val="top"/>
          </w:tcPr>
          <w:p>
            <w:r>
              <w:rPr>
                <w:sz w:val="18"/>
              </w:rPr>
            </w:r>
            <w:r>
              <w:rPr>
                <w:sz w:val="18"/>
              </w:rPr>
              <w:t>Possibly</w:t>
            </w:r>
          </w:p>
        </w:tc>
      </w:tr>
    </w:tbl>
    <w:p>
      <w:r>
        <w:rPr>
          <w:b/>
        </w:rPr>
        <w:t>Internal access:</w:t>
      </w:r>
      <w:r>
        <w:t xml:space="preserve"> HR and Legal are designated recipients today. Onward internal disclosure to be at Legal's direction. </w:t>
      </w:r>
      <w:r>
        <w:rPr>
          <w:b/>
        </w:rPr>
        <w:t>Role-based access controls and audit logs are unconfirmed (gap).</w:t>
      </w:r>
    </w:p>
    <w:p>
      <w:pPr>
        <w:pStyle w:val="Heading2"/>
      </w:pPr>
      <w:r>
        <w:t>4.4 Cross-Border Transfers</w:t>
      </w:r>
    </w:p>
    <w:p>
      <w:r>
        <w:t xml:space="preserve">Cloud processing occurs primarily in the </w:t>
      </w:r>
      <w:r>
        <w:rPr>
          <w:b/>
        </w:rPr>
        <w:t>United States</w:t>
      </w:r>
      <w:r>
        <w:t>, with possibly some Canadian processing. The umbrella vendor is U.S.-headquartered. The data crossing the border includes biometric chemistry signals, computed impairment scores, identifiers, location, and telematics — a rich profile of an identifiable individual.</w:t>
      </w:r>
    </w:p>
    <w:p>
      <w:r>
        <w:rPr>
          <w:b/>
        </w:rPr>
        <w:t>Transfer-specific risk areas:</w:t>
      </w:r>
    </w:p>
    <w:p>
      <w:pPr>
        <w:pStyle w:val="ListBullet"/>
      </w:pPr>
      <w:r>
        <w:rPr>
          <w:b/>
        </w:rPr>
        <w:t>U.S. CLOUD Act</w:t>
      </w:r>
      <w:r>
        <w:t xml:space="preserve"> — U.S. authorities may compel a U.S.-based provider to disclose data regardless of where stored, including data of Canadian and Quebec drivers.</w:t>
      </w:r>
    </w:p>
    <w:p>
      <w:pPr>
        <w:pStyle w:val="ListBullet"/>
      </w:pPr>
      <w:r>
        <w:rPr>
          <w:b/>
        </w:rPr>
        <w:t>Quebec Law 25, s. 17</w:t>
      </w:r>
      <w:r>
        <w:t xml:space="preserve"> — communication of PI outside Quebec requires a transfer-specific PIA assessing the legal framework in the receiving jurisdiction and a written agreement. </w:t>
      </w:r>
      <w:r>
        <w:rPr>
          <w:b/>
        </w:rPr>
        <w:t>Not yet completed — gap.</w:t>
      </w:r>
    </w:p>
    <w:p>
      <w:pPr>
        <w:pStyle w:val="ListBullet"/>
      </w:pPr>
      <w:r>
        <w:rPr>
          <w:b/>
        </w:rPr>
        <w:t>PIPEDA Sch. 1 Principle 4.1.3</w:t>
      </w:r>
      <w:r>
        <w:t xml:space="preserve"> and *</w:t>
      </w:r>
      <w:r>
        <w:rPr>
          <w:i/>
        </w:rPr>
        <w:t xml:space="preserve">OPC </w:t>
      </w:r>
      <w:r>
        <w:t>Guidelines for Processing Personal Data Across Borders*** — accountability remains with the company; comparable protection must be ensured by contractual or other means.</w:t>
      </w:r>
    </w:p>
    <w:p>
      <w:pPr>
        <w:pStyle w:val="ListBullet"/>
      </w:pPr>
      <w:r>
        <w:rPr>
          <w:b/>
        </w:rPr>
        <w:t>Alberta PIPA, s. 13.1</w:t>
      </w:r>
      <w:r>
        <w:t xml:space="preserve"> — written notice to individuals describing how PI will be handled and the foreign country to which it may be transferred, where the organization uses a foreign service provider.</w:t>
      </w:r>
    </w:p>
    <w:p>
      <w:pPr>
        <w:pStyle w:val="ListBullet"/>
      </w:pPr>
      <w:r>
        <w:rPr>
          <w:b/>
        </w:rPr>
        <w:t>U.S. state biometric statutes</w:t>
      </w:r>
      <w:r>
        <w:t xml:space="preserve"> — Illinois Biometric Information Privacy Act, Texas Capture or Use of Biometric Identifier Act, Washington's My Health My Data Act, and California CCPA/CPRA may engage where drivers transit those jurisdictions. </w:t>
      </w:r>
      <w:r>
        <w:rPr>
          <w:b/>
        </w:rPr>
        <w:t>U.S. counsel has not been consulted — gap.</w:t>
      </w:r>
    </w:p>
    <w:p>
      <w:pPr>
        <w:pStyle w:val="Heading2"/>
      </w:pPr>
      <w:r>
        <w:t>4.5 Retention</w:t>
      </w:r>
    </w:p>
    <w:tbl>
      <w:tblPr>
        <w:tblStyle w:val="LightGrid-Accent1"/>
        <w:tblW w:type="auto" w:w="0"/>
        <w:tblLayout w:type="autofit"/>
        <w:tblLook w:firstColumn="1" w:firstRow="1" w:lastColumn="0" w:lastRow="0" w:noHBand="0" w:noVBand="1" w:val="04A0"/>
      </w:tblPr>
      <w:tblGrid>
        <w:gridCol w:w="2412"/>
        <w:gridCol w:w="2412"/>
        <w:gridCol w:w="2412"/>
        <w:gridCol w:w="2412"/>
      </w:tblGrid>
      <w:tr>
        <w:tc>
          <w:tcPr>
            <w:tcW w:type="dxa" w:w="2412"/>
            <w:vAlign w:val="top"/>
            <w:shd w:val="clear" w:color="auto" w:fill="1F3864"/>
          </w:tcPr>
          <w:p>
            <w:r>
              <w:rPr>
                <w:b/>
                <w:color w:val="FFFFFF"/>
                <w:sz w:val="18"/>
              </w:rPr>
            </w:r>
            <w:r>
              <w:rPr>
                <w:b/>
                <w:color w:val="FFFFFF"/>
                <w:sz w:val="18"/>
              </w:rPr>
              <w:t>Data Category</w:t>
            </w:r>
          </w:p>
        </w:tc>
        <w:tc>
          <w:tcPr>
            <w:tcW w:type="dxa" w:w="2412"/>
            <w:vAlign w:val="top"/>
            <w:shd w:val="clear" w:color="auto" w:fill="1F3864"/>
          </w:tcPr>
          <w:p>
            <w:r>
              <w:rPr>
                <w:b/>
                <w:color w:val="FFFFFF"/>
                <w:sz w:val="18"/>
              </w:rPr>
            </w:r>
            <w:r>
              <w:rPr>
                <w:b/>
                <w:color w:val="FFFFFF"/>
                <w:sz w:val="18"/>
              </w:rPr>
              <w:t>Retention Period</w:t>
            </w:r>
          </w:p>
        </w:tc>
        <w:tc>
          <w:tcPr>
            <w:tcW w:type="dxa" w:w="2412"/>
            <w:vAlign w:val="top"/>
            <w:shd w:val="clear" w:color="auto" w:fill="1F3864"/>
          </w:tcPr>
          <w:p>
            <w:r>
              <w:rPr>
                <w:b/>
                <w:color w:val="FFFFFF"/>
                <w:sz w:val="18"/>
              </w:rPr>
            </w:r>
            <w:r>
              <w:rPr>
                <w:b/>
                <w:color w:val="FFFFFF"/>
                <w:sz w:val="18"/>
              </w:rPr>
              <w:t>Legal Basis</w:t>
            </w:r>
          </w:p>
        </w:tc>
        <w:tc>
          <w:tcPr>
            <w:tcW w:type="dxa" w:w="2412"/>
            <w:vAlign w:val="top"/>
            <w:shd w:val="clear" w:color="auto" w:fill="1F3864"/>
          </w:tcPr>
          <w:p>
            <w:r>
              <w:rPr>
                <w:b/>
                <w:color w:val="FFFFFF"/>
                <w:sz w:val="18"/>
              </w:rPr>
            </w:r>
            <w:r>
              <w:rPr>
                <w:b/>
                <w:color w:val="FFFFFF"/>
                <w:sz w:val="18"/>
              </w:rPr>
              <w:t>Disposal Method</w:t>
            </w:r>
          </w:p>
        </w:tc>
      </w:tr>
      <w:tr>
        <w:tc>
          <w:tcPr>
            <w:tcW w:type="dxa" w:w="2412"/>
            <w:vAlign w:val="top"/>
          </w:tcPr>
          <w:p>
            <w:r>
              <w:rPr>
                <w:sz w:val="18"/>
              </w:rPr>
            </w:r>
            <w:r>
              <w:rPr>
                <w:sz w:val="18"/>
              </w:rPr>
              <w:t>Raw biometric sensor signal</w:t>
            </w:r>
          </w:p>
        </w:tc>
        <w:tc>
          <w:tcPr>
            <w:tcW w:type="dxa" w:w="2412"/>
            <w:vAlign w:val="top"/>
          </w:tcPr>
          <w:p>
            <w:r>
              <w:rPr>
                <w:sz w:val="18"/>
              </w:rPr>
            </w:r>
            <w:r>
              <w:rPr>
                <w:b/>
                <w:sz w:val="18"/>
              </w:rPr>
              <w:t>Not yet defined</w:t>
            </w:r>
            <w:r>
              <w:rPr>
                <w:sz w:val="18"/>
              </w:rPr>
              <w:t xml:space="preserve"> — gap</w:t>
            </w:r>
          </w:p>
        </w:tc>
        <w:tc>
          <w:tcPr>
            <w:tcW w:type="dxa" w:w="2412"/>
            <w:vAlign w:val="top"/>
          </w:tcPr>
          <w:p>
            <w:r>
              <w:rPr>
                <w:sz w:val="18"/>
              </w:rPr>
            </w:r>
            <w:r>
              <w:rPr>
                <w:sz w:val="18"/>
              </w:rPr>
              <w:t>TBD</w:t>
            </w:r>
          </w:p>
        </w:tc>
        <w:tc>
          <w:tcPr>
            <w:tcW w:type="dxa" w:w="2412"/>
            <w:vAlign w:val="top"/>
          </w:tcPr>
          <w:p>
            <w:r>
              <w:rPr>
                <w:sz w:val="18"/>
              </w:rPr>
            </w:r>
            <w:r>
              <w:rPr>
                <w:sz w:val="18"/>
              </w:rPr>
              <w:t>Vendor-controlled destruction with certification (planned)</w:t>
            </w:r>
          </w:p>
        </w:tc>
      </w:tr>
      <w:tr>
        <w:tc>
          <w:tcPr>
            <w:tcW w:type="dxa" w:w="2412"/>
            <w:vAlign w:val="top"/>
          </w:tcPr>
          <w:p>
            <w:r>
              <w:rPr>
                <w:sz w:val="18"/>
              </w:rPr>
            </w:r>
            <w:r>
              <w:rPr>
                <w:sz w:val="18"/>
              </w:rPr>
              <w:t>Computed impairment score</w:t>
            </w:r>
          </w:p>
        </w:tc>
        <w:tc>
          <w:tcPr>
            <w:tcW w:type="dxa" w:w="2412"/>
            <w:vAlign w:val="top"/>
          </w:tcPr>
          <w:p>
            <w:r>
              <w:rPr>
                <w:sz w:val="18"/>
              </w:rPr>
            </w:r>
            <w:r>
              <w:rPr>
                <w:b/>
                <w:sz w:val="18"/>
              </w:rPr>
              <w:t>Not yet defined</w:t>
            </w:r>
            <w:r>
              <w:rPr>
                <w:sz w:val="18"/>
              </w:rPr>
              <w:t xml:space="preserve"> — gap</w:t>
            </w:r>
          </w:p>
        </w:tc>
        <w:tc>
          <w:tcPr>
            <w:tcW w:type="dxa" w:w="2412"/>
            <w:vAlign w:val="top"/>
          </w:tcPr>
          <w:p>
            <w:r>
              <w:rPr>
                <w:sz w:val="18"/>
              </w:rPr>
            </w:r>
            <w:r>
              <w:rPr>
                <w:sz w:val="18"/>
              </w:rPr>
              <w:t>TBD</w:t>
            </w:r>
          </w:p>
        </w:tc>
        <w:tc>
          <w:tcPr>
            <w:tcW w:type="dxa" w:w="2412"/>
            <w:vAlign w:val="top"/>
          </w:tcPr>
          <w:p>
            <w:r>
              <w:rPr>
                <w:sz w:val="18"/>
              </w:rPr>
            </w:r>
            <w:r>
              <w:rPr>
                <w:sz w:val="18"/>
              </w:rPr>
              <w:t>Vendor-controlled destruction with certification (planned)</w:t>
            </w:r>
          </w:p>
        </w:tc>
      </w:tr>
      <w:tr>
        <w:tc>
          <w:tcPr>
            <w:tcW w:type="dxa" w:w="2412"/>
            <w:vAlign w:val="top"/>
          </w:tcPr>
          <w:p>
            <w:r>
              <w:rPr>
                <w:sz w:val="18"/>
              </w:rPr>
            </w:r>
            <w:r>
              <w:rPr>
                <w:sz w:val="18"/>
              </w:rPr>
              <w:t>Flagged-event records (positive readings)</w:t>
            </w:r>
          </w:p>
        </w:tc>
        <w:tc>
          <w:tcPr>
            <w:tcW w:type="dxa" w:w="2412"/>
            <w:vAlign w:val="top"/>
          </w:tcPr>
          <w:p>
            <w:r>
              <w:rPr>
                <w:sz w:val="18"/>
              </w:rPr>
            </w:r>
            <w:r>
              <w:rPr>
                <w:sz w:val="18"/>
              </w:rPr>
              <w:t>Duration of employment / contract + a defined period; longer if disciplinary or legal matter open</w:t>
            </w:r>
          </w:p>
        </w:tc>
        <w:tc>
          <w:tcPr>
            <w:tcW w:type="dxa" w:w="2412"/>
            <w:vAlign w:val="top"/>
          </w:tcPr>
          <w:p>
            <w:r>
              <w:rPr>
                <w:sz w:val="18"/>
              </w:rPr>
            </w:r>
            <w:r>
              <w:rPr>
                <w:sz w:val="18"/>
              </w:rPr>
              <w:t>Documented business need + legal-hold</w:t>
            </w:r>
          </w:p>
        </w:tc>
        <w:tc>
          <w:tcPr>
            <w:tcW w:type="dxa" w:w="2412"/>
            <w:vAlign w:val="top"/>
          </w:tcPr>
          <w:p>
            <w:r>
              <w:rPr>
                <w:sz w:val="18"/>
              </w:rPr>
            </w:r>
            <w:r>
              <w:rPr>
                <w:sz w:val="18"/>
              </w:rPr>
              <w:t>Vendor-controlled destruction with certification (planned)</w:t>
            </w:r>
          </w:p>
        </w:tc>
      </w:tr>
      <w:tr>
        <w:tc>
          <w:tcPr>
            <w:tcW w:type="dxa" w:w="2412"/>
            <w:vAlign w:val="top"/>
          </w:tcPr>
          <w:p>
            <w:r>
              <w:rPr>
                <w:sz w:val="18"/>
              </w:rPr>
            </w:r>
            <w:r>
              <w:rPr>
                <w:sz w:val="18"/>
              </w:rPr>
              <w:t>Identity and linkage records</w:t>
            </w:r>
          </w:p>
        </w:tc>
        <w:tc>
          <w:tcPr>
            <w:tcW w:type="dxa" w:w="2412"/>
            <w:vAlign w:val="top"/>
          </w:tcPr>
          <w:p>
            <w:r>
              <w:rPr>
                <w:sz w:val="18"/>
              </w:rPr>
            </w:r>
            <w:r>
              <w:rPr>
                <w:sz w:val="18"/>
              </w:rPr>
              <w:t>TBD — gap</w:t>
            </w:r>
          </w:p>
        </w:tc>
        <w:tc>
          <w:tcPr>
            <w:tcW w:type="dxa" w:w="2412"/>
            <w:vAlign w:val="top"/>
          </w:tcPr>
          <w:p>
            <w:r>
              <w:rPr>
                <w:sz w:val="18"/>
              </w:rPr>
            </w:r>
            <w:r>
              <w:rPr>
                <w:sz w:val="18"/>
              </w:rPr>
              <w:t>TBD</w:t>
            </w:r>
          </w:p>
        </w:tc>
        <w:tc>
          <w:tcPr>
            <w:tcW w:type="dxa" w:w="2412"/>
            <w:vAlign w:val="top"/>
          </w:tcPr>
          <w:p>
            <w:r>
              <w:rPr>
                <w:sz w:val="18"/>
              </w:rPr>
            </w:r>
            <w:r>
              <w:rPr>
                <w:sz w:val="18"/>
              </w:rPr>
              <w:t>TBD</w:t>
            </w:r>
          </w:p>
        </w:tc>
      </w:tr>
    </w:tbl>
    <w:p>
      <w:r>
        <w:rPr>
          <w:b/>
        </w:rPr>
        <w:t>Statutory anchors:</w:t>
      </w:r>
    </w:p>
    <w:p>
      <w:pPr>
        <w:pStyle w:val="ListBullet"/>
      </w:pPr>
      <w:r>
        <w:t>PIPEDA Sch. 1 Principle 4.5.3 — PI used to make a decision about an individual must be retained long enough to allow access by the individual.</w:t>
      </w:r>
    </w:p>
    <w:p>
      <w:pPr>
        <w:pStyle w:val="ListBullet"/>
      </w:pPr>
      <w:r>
        <w:t>Quebec Law 25, s. 23 — PI must be destroyed or anonymized once the purposes have been achieved, applying generally accepted best practices.</w:t>
      </w:r>
    </w:p>
    <w:p>
      <w:pPr>
        <w:pStyle w:val="ListBullet"/>
      </w:pPr>
      <w:r>
        <w:t>BC PIPA, s. 35 / Alberta PIPA, s. 35 — retention only as long as reasonably necessary; where used to make a decision, retain at least one year.</w:t>
      </w:r>
    </w:p>
    <w:p>
      <w:r>
        <w:t xml:space="preserve">A </w:t>
      </w:r>
      <w:r>
        <w:rPr>
          <w:b/>
        </w:rPr>
        <w:t>documented retention schedule with separate rules for raw, derived, and flagged records is required</w:t>
      </w:r>
      <w:r>
        <w:t xml:space="preserve"> before pilot data collection begins.</w:t>
      </w:r>
    </w:p>
    <w:p>
      <w:pPr>
        <w:pStyle w:val="Heading2"/>
      </w:pPr>
      <w:r>
        <w:t>4.6 Storage and Security</w:t>
      </w:r>
    </w:p>
    <w:p>
      <w:pPr>
        <w:pStyle w:val="ListBullet"/>
      </w:pPr>
      <w:r>
        <w:t>Storage location: primarily United States, possibly some Canadian region.</w:t>
      </w:r>
    </w:p>
    <w:p>
      <w:pPr>
        <w:pStyle w:val="ListBullet"/>
      </w:pPr>
      <w:r>
        <w:t xml:space="preserve">Vendor security posture: described as "industry-standard" — </w:t>
      </w:r>
      <w:r>
        <w:rPr>
          <w:b/>
        </w:rPr>
        <w:t>specifics (SOC 2, ISO 27001, encryption at rest and in transit, key management, MFA, audit logging) are unconfirmed (gap)</w:t>
      </w:r>
      <w:r>
        <w:t>.</w:t>
      </w:r>
    </w:p>
    <w:p>
      <w:pPr>
        <w:pStyle w:val="ListBullet"/>
      </w:pPr>
      <w:r>
        <w:t xml:space="preserve">Incident-response / breach-notification process: unknown — </w:t>
      </w:r>
      <w:r>
        <w:rPr>
          <w:b/>
        </w:rPr>
        <w:t>gap</w:t>
      </w:r>
      <w:r>
        <w:t>.</w:t>
      </w:r>
    </w:p>
    <w:p>
      <w:pPr>
        <w:pStyle w:val="ListBullet"/>
      </w:pPr>
      <w:r>
        <w:t xml:space="preserve">In-cab device security (firmware tamper resistance, sensor spoofing protection, physical security on lost or stolen trucks): no threat model performed — </w:t>
      </w:r>
      <w:r>
        <w:rPr>
          <w:b/>
        </w:rPr>
        <w:t>gap</w:t>
      </w:r>
      <w:r>
        <w:t>.</w:t>
      </w:r>
    </w:p>
    <w:p>
      <w:r>
        <w:rPr>
          <w:b/>
        </w:rPr>
        <w:t>Statutory safeguards obligations engaged:</w:t>
      </w:r>
    </w:p>
    <w:p>
      <w:pPr>
        <w:pStyle w:val="ListBullet"/>
      </w:pPr>
      <w:r>
        <w:t>PIPEDA Sch. 1 Principle 4.7 — physical, organizational, and technological safeguards appropriate to sensitivity.</w:t>
      </w:r>
    </w:p>
    <w:p>
      <w:pPr>
        <w:pStyle w:val="ListBullet"/>
      </w:pPr>
      <w:r>
        <w:t>Quebec Law 25, s. 10 — reasonable security measures.</w:t>
      </w:r>
    </w:p>
    <w:p>
      <w:pPr>
        <w:pStyle w:val="ListBullet"/>
      </w:pPr>
      <w:r>
        <w:t>Alberta PIPA, s. 34; BC PIPA, s. 34 — reasonable security arrangements.</w:t>
      </w:r>
    </w:p>
    <w:p>
      <w:pPr>
        <w:pStyle w:val="ListBullet"/>
      </w:pPr>
      <w:r>
        <w:t xml:space="preserve">PIPEDA s. 10.1 and </w:t>
      </w:r>
      <w:r>
        <w:rPr>
          <w:i/>
        </w:rPr>
        <w:t>Breach of Security Safeguards Regulations</w:t>
      </w:r>
      <w:r>
        <w:t xml:space="preserve"> — mandatory breach reporting to OPC and notification to individuals where there is a real risk of significant harm; 24-month breach record retention.</w:t>
      </w:r>
    </w:p>
    <w:p>
      <w:pPr>
        <w:pStyle w:val="ListBullet"/>
      </w:pPr>
      <w:r>
        <w:t>Alberta PIPA, s. 34.1 — breach notification to OIPC; s. 37.1 — OIPC may direct individual notification.</w:t>
      </w:r>
    </w:p>
    <w:p>
      <w:pPr>
        <w:pStyle w:val="ListBullet"/>
      </w:pPr>
      <w:r>
        <w:t>Quebec Law 25, s. 3.5 / s. 3.8 — confidentiality-incident response, notification to CAI and individuals where risk of serious injury, and incident register.</w:t>
      </w:r>
    </w:p>
    <w:p>
      <w:pPr>
        <w:pStyle w:val="Heading1"/>
      </w:pPr>
      <w:r>
        <w:t>Section 5 — Legal and Regulatory Compliance</w:t>
      </w:r>
    </w:p>
    <w:p>
      <w:pPr>
        <w:pStyle w:val="Heading2"/>
      </w:pPr>
      <w:r>
        <w:t>5.1 Applicable Law(s)</w:t>
      </w:r>
    </w:p>
    <w:tbl>
      <w:tblPr>
        <w:tblStyle w:val="LightGrid-Accent1"/>
        <w:tblW w:type="auto" w:w="0"/>
        <w:tblLayout w:type="autofit"/>
        <w:tblLook w:firstColumn="1" w:firstRow="1" w:lastColumn="0" w:lastRow="0" w:noHBand="0" w:noVBand="1" w:val="04A0"/>
      </w:tblPr>
      <w:tblGrid>
        <w:gridCol w:w="1930"/>
        <w:gridCol w:w="1930"/>
        <w:gridCol w:w="1930"/>
        <w:gridCol w:w="1930"/>
        <w:gridCol w:w="1930"/>
      </w:tblGrid>
      <w:tr>
        <w:tc>
          <w:tcPr>
            <w:tcW w:type="dxa" w:w="1930"/>
            <w:vAlign w:val="top"/>
            <w:shd w:val="clear" w:color="auto" w:fill="1F3864"/>
          </w:tcPr>
          <w:p>
            <w:r>
              <w:rPr>
                <w:b/>
                <w:color w:val="FFFFFF"/>
                <w:sz w:val="18"/>
              </w:rPr>
            </w:r>
            <w:r>
              <w:rPr>
                <w:b/>
                <w:color w:val="FFFFFF"/>
                <w:sz w:val="18"/>
              </w:rPr>
              <w:t>Law / Regulation</w:t>
            </w:r>
          </w:p>
        </w:tc>
        <w:tc>
          <w:tcPr>
            <w:tcW w:type="dxa" w:w="1930"/>
            <w:vAlign w:val="top"/>
            <w:shd w:val="clear" w:color="auto" w:fill="1F3864"/>
          </w:tcPr>
          <w:p>
            <w:r>
              <w:rPr>
                <w:b/>
                <w:color w:val="FFFFFF"/>
                <w:sz w:val="18"/>
              </w:rPr>
            </w:r>
            <w:r>
              <w:rPr>
                <w:b/>
                <w:color w:val="FFFFFF"/>
                <w:sz w:val="18"/>
              </w:rPr>
              <w:t>Applies?</w:t>
            </w:r>
          </w:p>
        </w:tc>
        <w:tc>
          <w:tcPr>
            <w:tcW w:type="dxa" w:w="1930"/>
            <w:vAlign w:val="top"/>
            <w:shd w:val="clear" w:color="auto" w:fill="1F3864"/>
          </w:tcPr>
          <w:p>
            <w:r>
              <w:rPr>
                <w:b/>
                <w:color w:val="FFFFFF"/>
                <w:sz w:val="18"/>
              </w:rPr>
            </w:r>
            <w:r>
              <w:rPr>
                <w:b/>
                <w:color w:val="FFFFFF"/>
                <w:sz w:val="18"/>
              </w:rPr>
              <w:t>Compliance Status (today)</w:t>
            </w:r>
          </w:p>
        </w:tc>
        <w:tc>
          <w:tcPr>
            <w:tcW w:type="dxa" w:w="1930"/>
            <w:vAlign w:val="top"/>
            <w:shd w:val="clear" w:color="auto" w:fill="1F3864"/>
          </w:tcPr>
          <w:p>
            <w:r>
              <w:rPr>
                <w:b/>
                <w:color w:val="FFFFFF"/>
                <w:sz w:val="18"/>
              </w:rPr>
            </w:r>
            <w:r>
              <w:rPr>
                <w:b/>
                <w:color w:val="FFFFFF"/>
                <w:sz w:val="18"/>
              </w:rPr>
              <w:t>Specific Provisions Engaged</w:t>
            </w:r>
          </w:p>
        </w:tc>
        <w:tc>
          <w:tcPr>
            <w:tcW w:type="dxa" w:w="1930"/>
            <w:vAlign w:val="top"/>
            <w:shd w:val="clear" w:color="auto" w:fill="1F3864"/>
          </w:tcPr>
          <w:p>
            <w:r>
              <w:rPr>
                <w:b/>
                <w:color w:val="FFFFFF"/>
                <w:sz w:val="18"/>
              </w:rPr>
            </w:r>
            <w:r>
              <w:rPr>
                <w:b/>
                <w:color w:val="FFFFFF"/>
                <w:sz w:val="18"/>
              </w:rPr>
              <w:t>Notes / Gaps</w:t>
            </w:r>
          </w:p>
        </w:tc>
      </w:tr>
      <w:tr>
        <w:tc>
          <w:tcPr>
            <w:tcW w:type="dxa" w:w="1930"/>
            <w:vAlign w:val="top"/>
          </w:tcPr>
          <w:p>
            <w:r>
              <w:rPr>
                <w:sz w:val="18"/>
              </w:rPr>
            </w:r>
            <w:r>
              <w:rPr>
                <w:b/>
                <w:sz w:val="18"/>
              </w:rPr>
              <w:t>PIPEDA</w:t>
            </w:r>
            <w:r>
              <w:rPr>
                <w:sz w:val="18"/>
              </w:rPr>
              <w:t xml:space="preserve"> (SC 2000, c. 5)</w:t>
            </w:r>
          </w:p>
        </w:tc>
        <w:tc>
          <w:tcPr>
            <w:tcW w:type="dxa" w:w="1930"/>
            <w:vAlign w:val="top"/>
          </w:tcPr>
          <w:p>
            <w:r>
              <w:rPr>
                <w:sz w:val="18"/>
              </w:rPr>
            </w:r>
            <w:r>
              <w:rPr>
                <w:b/>
                <w:sz w:val="18"/>
              </w:rPr>
              <w:t>Yes — primary</w:t>
            </w:r>
          </w:p>
        </w:tc>
        <w:tc>
          <w:tcPr>
            <w:tcW w:type="dxa" w:w="1930"/>
            <w:vAlign w:val="top"/>
          </w:tcPr>
          <w:p>
            <w:r>
              <w:rPr>
                <w:sz w:val="18"/>
              </w:rPr>
            </w:r>
            <w:r>
              <w:rPr>
                <w:sz w:val="18"/>
              </w:rPr>
              <w:t>Not compliant (gaps below)</w:t>
            </w:r>
          </w:p>
        </w:tc>
        <w:tc>
          <w:tcPr>
            <w:tcW w:type="dxa" w:w="1930"/>
            <w:vAlign w:val="top"/>
          </w:tcPr>
          <w:p>
            <w:r>
              <w:rPr>
                <w:sz w:val="18"/>
              </w:rPr>
            </w:r>
            <w:r>
              <w:rPr>
                <w:sz w:val="18"/>
              </w:rPr>
              <w:t>s. 4 (federal works/undertakings; cross-border processing); ss. 5, 6.1, 8, 10.1; Sch. 1 Principles 4.1–4.9, including 4.1.3</w:t>
            </w:r>
          </w:p>
        </w:tc>
        <w:tc>
          <w:tcPr>
            <w:tcW w:type="dxa" w:w="1930"/>
            <w:vAlign w:val="top"/>
          </w:tcPr>
          <w:p>
            <w:r>
              <w:rPr>
                <w:sz w:val="18"/>
              </w:rPr>
            </w:r>
            <w:r>
              <w:rPr>
                <w:sz w:val="18"/>
              </w:rPr>
              <w:t>Interprovincial/international trucking is a federal undertaking; PIPEDA applies regardless of province</w:t>
            </w:r>
          </w:p>
        </w:tc>
      </w:tr>
      <w:tr>
        <w:tc>
          <w:tcPr>
            <w:tcW w:type="dxa" w:w="1930"/>
            <w:vAlign w:val="top"/>
          </w:tcPr>
          <w:p>
            <w:r>
              <w:rPr>
                <w:sz w:val="18"/>
              </w:rPr>
            </w:r>
            <w:r>
              <w:rPr>
                <w:b/>
                <w:sz w:val="18"/>
              </w:rPr>
              <w:t>Quebec Law 25</w:t>
            </w:r>
            <w:r>
              <w:rPr>
                <w:sz w:val="18"/>
              </w:rPr>
              <w:t xml:space="preserve"> (CQLR c. P-39.1)</w:t>
            </w:r>
          </w:p>
        </w:tc>
        <w:tc>
          <w:tcPr>
            <w:tcW w:type="dxa" w:w="1930"/>
            <w:vAlign w:val="top"/>
          </w:tcPr>
          <w:p>
            <w:r>
              <w:rPr>
                <w:sz w:val="18"/>
              </w:rPr>
            </w:r>
            <w:r>
              <w:rPr>
                <w:b/>
                <w:sz w:val="18"/>
              </w:rPr>
              <w:t>Yes — for Quebec drivers and Quebec operations</w:t>
            </w:r>
          </w:p>
        </w:tc>
        <w:tc>
          <w:tcPr>
            <w:tcW w:type="dxa" w:w="1930"/>
            <w:vAlign w:val="top"/>
          </w:tcPr>
          <w:p>
            <w:r>
              <w:rPr>
                <w:sz w:val="18"/>
              </w:rPr>
            </w:r>
            <w:r>
              <w:rPr>
                <w:sz w:val="18"/>
              </w:rPr>
              <w:t>Not compliant</w:t>
            </w:r>
          </w:p>
        </w:tc>
        <w:tc>
          <w:tcPr>
            <w:tcW w:type="dxa" w:w="1930"/>
            <w:vAlign w:val="top"/>
          </w:tcPr>
          <w:p>
            <w:r>
              <w:rPr>
                <w:sz w:val="18"/>
              </w:rPr>
            </w:r>
            <w:r>
              <w:rPr>
                <w:sz w:val="18"/>
              </w:rPr>
              <w:t>ss. 3.1, 3.2, 3.3, 3.5, 3.8, 8, 9.1, 12, 12.1, 14, 17, 22, 23, 27, 28.1</w:t>
            </w:r>
          </w:p>
        </w:tc>
        <w:tc>
          <w:tcPr>
            <w:tcW w:type="dxa" w:w="1930"/>
            <w:vAlign w:val="top"/>
          </w:tcPr>
          <w:p>
            <w:r>
              <w:rPr>
                <w:sz w:val="18"/>
              </w:rPr>
            </w:r>
            <w:r>
              <w:rPr>
                <w:sz w:val="18"/>
              </w:rPr>
              <w:t>Mandatory PIA (s. 3.3); transfer PIA (s. 17); biometric DB declaration (Act to establish a legal framework for IT, s. 45)</w:t>
            </w:r>
          </w:p>
        </w:tc>
      </w:tr>
      <w:tr>
        <w:tc>
          <w:tcPr>
            <w:tcW w:type="dxa" w:w="1930"/>
            <w:vAlign w:val="top"/>
          </w:tcPr>
          <w:p>
            <w:r>
              <w:rPr>
                <w:sz w:val="18"/>
              </w:rPr>
            </w:r>
            <w:r>
              <w:rPr>
                <w:i/>
                <w:sz w:val="18"/>
              </w:rPr>
              <w:t>Act to establish a legal framework for information technology</w:t>
            </w:r>
            <w:r>
              <w:rPr>
                <w:sz w:val="18"/>
              </w:rPr>
              <w:t xml:space="preserve"> (CQLR c. C-1.1)</w:t>
            </w:r>
          </w:p>
        </w:tc>
        <w:tc>
          <w:tcPr>
            <w:tcW w:type="dxa" w:w="1930"/>
            <w:vAlign w:val="top"/>
          </w:tcPr>
          <w:p>
            <w:r>
              <w:rPr>
                <w:sz w:val="18"/>
              </w:rPr>
            </w:r>
            <w:r>
              <w:rPr>
                <w:b/>
                <w:sz w:val="18"/>
              </w:rPr>
              <w:t>Yes — biometric DB</w:t>
            </w:r>
          </w:p>
        </w:tc>
        <w:tc>
          <w:tcPr>
            <w:tcW w:type="dxa" w:w="1930"/>
            <w:vAlign w:val="top"/>
          </w:tcPr>
          <w:p>
            <w:r>
              <w:rPr>
                <w:sz w:val="18"/>
              </w:rPr>
            </w:r>
            <w:r>
              <w:rPr>
                <w:sz w:val="18"/>
              </w:rPr>
              <w:t>Not compliant</w:t>
            </w:r>
          </w:p>
        </w:tc>
        <w:tc>
          <w:tcPr>
            <w:tcW w:type="dxa" w:w="1930"/>
            <w:vAlign w:val="top"/>
          </w:tcPr>
          <w:p>
            <w:r>
              <w:rPr>
                <w:sz w:val="18"/>
              </w:rPr>
            </w:r>
            <w:r>
              <w:rPr>
                <w:sz w:val="18"/>
              </w:rPr>
              <w:t>s. 45 — declaration to CAI ≥ 60 days before service</w:t>
            </w:r>
          </w:p>
        </w:tc>
        <w:tc>
          <w:tcPr>
            <w:tcW w:type="dxa" w:w="1930"/>
            <w:vAlign w:val="top"/>
          </w:tcPr>
          <w:p>
            <w:r>
              <w:rPr>
                <w:sz w:val="18"/>
              </w:rPr>
            </w:r>
            <w:r>
              <w:rPr>
                <w:b/>
                <w:sz w:val="18"/>
              </w:rPr>
              <w:t>Highest-priority pre-launch action</w:t>
            </w:r>
          </w:p>
        </w:tc>
      </w:tr>
      <w:tr>
        <w:tc>
          <w:tcPr>
            <w:tcW w:type="dxa" w:w="1930"/>
            <w:vAlign w:val="top"/>
          </w:tcPr>
          <w:p>
            <w:r>
              <w:rPr>
                <w:sz w:val="18"/>
              </w:rPr>
            </w:r>
            <w:r>
              <w:rPr>
                <w:sz w:val="18"/>
              </w:rPr>
              <w:t>BC PIPA (SBC 2003, c. 63)</w:t>
            </w:r>
          </w:p>
        </w:tc>
        <w:tc>
          <w:tcPr>
            <w:tcW w:type="dxa" w:w="1930"/>
            <w:vAlign w:val="top"/>
          </w:tcPr>
          <w:p>
            <w:r>
              <w:rPr>
                <w:sz w:val="18"/>
              </w:rPr>
            </w:r>
            <w:r>
              <w:rPr>
                <w:sz w:val="18"/>
              </w:rPr>
              <w:t>Generally pre-empted by PIPEDA for federal undertaking; provincial law may apply to ancillary processing</w:t>
            </w:r>
          </w:p>
        </w:tc>
        <w:tc>
          <w:tcPr>
            <w:tcW w:type="dxa" w:w="1930"/>
            <w:vAlign w:val="top"/>
          </w:tcPr>
          <w:p>
            <w:r>
              <w:rPr>
                <w:sz w:val="18"/>
              </w:rPr>
            </w:r>
            <w:r>
              <w:rPr>
                <w:sz w:val="18"/>
              </w:rPr>
              <w:t>TBD</w:t>
            </w:r>
          </w:p>
        </w:tc>
        <w:tc>
          <w:tcPr>
            <w:tcW w:type="dxa" w:w="1930"/>
            <w:vAlign w:val="top"/>
          </w:tcPr>
          <w:p>
            <w:r>
              <w:rPr>
                <w:sz w:val="18"/>
              </w:rPr>
            </w:r>
            <w:r>
              <w:rPr>
                <w:sz w:val="18"/>
              </w:rPr>
              <w:t>ss. 4, 5, 6, 10–11, 13(2), 23, 28–29, 33.1, 34, 35</w:t>
            </w:r>
          </w:p>
        </w:tc>
        <w:tc>
          <w:tcPr>
            <w:tcW w:type="dxa" w:w="1930"/>
            <w:vAlign w:val="top"/>
          </w:tcPr>
          <w:p>
            <w:r>
              <w:rPr>
                <w:sz w:val="18"/>
              </w:rPr>
            </w:r>
            <w:r>
              <w:rPr>
                <w:sz w:val="18"/>
              </w:rPr>
              <w:t>Confirm with counsel</w:t>
            </w:r>
          </w:p>
        </w:tc>
      </w:tr>
      <w:tr>
        <w:tc>
          <w:tcPr>
            <w:tcW w:type="dxa" w:w="1930"/>
            <w:vAlign w:val="top"/>
          </w:tcPr>
          <w:p>
            <w:r>
              <w:rPr>
                <w:sz w:val="18"/>
              </w:rPr>
            </w:r>
            <w:r>
              <w:rPr>
                <w:sz w:val="18"/>
              </w:rPr>
              <w:t>Alberta PIPA (SA 2003, c. P-6.5)</w:t>
            </w:r>
          </w:p>
        </w:tc>
        <w:tc>
          <w:tcPr>
            <w:tcW w:type="dxa" w:w="1930"/>
            <w:vAlign w:val="top"/>
          </w:tcPr>
          <w:p>
            <w:r>
              <w:rPr>
                <w:sz w:val="18"/>
              </w:rPr>
            </w:r>
            <w:r>
              <w:rPr>
                <w:sz w:val="18"/>
              </w:rPr>
              <w:t>Generally pre-empted by PIPEDA for federal undertaking; provincial law may apply to ancillary processing</w:t>
            </w:r>
          </w:p>
        </w:tc>
        <w:tc>
          <w:tcPr>
            <w:tcW w:type="dxa" w:w="1930"/>
            <w:vAlign w:val="top"/>
          </w:tcPr>
          <w:p>
            <w:r>
              <w:rPr>
                <w:sz w:val="18"/>
              </w:rPr>
            </w:r>
            <w:r>
              <w:rPr>
                <w:sz w:val="18"/>
              </w:rPr>
              <w:t>TBD</w:t>
            </w:r>
          </w:p>
        </w:tc>
        <w:tc>
          <w:tcPr>
            <w:tcW w:type="dxa" w:w="1930"/>
            <w:vAlign w:val="top"/>
          </w:tcPr>
          <w:p>
            <w:r>
              <w:rPr>
                <w:sz w:val="18"/>
              </w:rPr>
            </w:r>
            <w:r>
              <w:rPr>
                <w:sz w:val="18"/>
              </w:rPr>
              <w:t>ss. 5, 6, 7, 8, 11, 13, 13.1, 15, 28, 31, 34, 34.1, 35, 37.1</w:t>
            </w:r>
          </w:p>
        </w:tc>
        <w:tc>
          <w:tcPr>
            <w:tcW w:type="dxa" w:w="1930"/>
            <w:vAlign w:val="top"/>
          </w:tcPr>
          <w:p>
            <w:r>
              <w:rPr>
                <w:sz w:val="18"/>
              </w:rPr>
            </w:r>
            <w:r>
              <w:rPr>
                <w:sz w:val="18"/>
              </w:rPr>
              <w:t>Confirm with counsel</w:t>
            </w:r>
          </w:p>
        </w:tc>
      </w:tr>
      <w:tr>
        <w:tc>
          <w:tcPr>
            <w:tcW w:type="dxa" w:w="1930"/>
            <w:vAlign w:val="top"/>
          </w:tcPr>
          <w:p>
            <w:r>
              <w:rPr>
                <w:sz w:val="18"/>
              </w:rPr>
            </w:r>
            <w:r>
              <w:rPr>
                <w:sz w:val="18"/>
              </w:rPr>
              <w:t>Ontario / PHIPA</w:t>
            </w:r>
          </w:p>
        </w:tc>
        <w:tc>
          <w:tcPr>
            <w:tcW w:type="dxa" w:w="1930"/>
            <w:vAlign w:val="top"/>
          </w:tcPr>
          <w:p>
            <w:r>
              <w:rPr>
                <w:sz w:val="18"/>
              </w:rPr>
            </w:r>
            <w:r>
              <w:rPr>
                <w:sz w:val="18"/>
              </w:rPr>
              <w:t>No (no health-information custodian role)</w:t>
            </w:r>
          </w:p>
        </w:tc>
        <w:tc>
          <w:tcPr>
            <w:tcW w:type="dxa" w:w="1930"/>
            <w:vAlign w:val="top"/>
          </w:tcPr>
          <w:p>
            <w:r>
              <w:rPr>
                <w:sz w:val="18"/>
              </w:rPr>
            </w:r>
            <w:r>
              <w:rPr>
                <w:sz w:val="18"/>
              </w:rPr>
              <w:t>N/A</w:t>
            </w:r>
          </w:p>
        </w:tc>
        <w:tc>
          <w:tcPr>
            <w:tcW w:type="dxa" w:w="1930"/>
            <w:vAlign w:val="top"/>
          </w:tcPr>
          <w:p>
            <w:r>
              <w:rPr>
                <w:sz w:val="18"/>
              </w:rPr>
            </w:r>
            <w:r>
              <w:rPr>
                <w:sz w:val="18"/>
              </w:rPr>
              <w:t>—</w:t>
            </w:r>
          </w:p>
        </w:tc>
        <w:tc>
          <w:tcPr>
            <w:tcW w:type="dxa" w:w="1930"/>
            <w:vAlign w:val="top"/>
          </w:tcPr>
          <w:p>
            <w:r>
              <w:rPr>
                <w:sz w:val="18"/>
              </w:rPr>
            </w:r>
            <w:r>
              <w:rPr>
                <w:sz w:val="18"/>
              </w:rPr>
              <w:t>—</w:t>
            </w:r>
          </w:p>
        </w:tc>
      </w:tr>
      <w:tr>
        <w:tc>
          <w:tcPr>
            <w:tcW w:type="dxa" w:w="1930"/>
            <w:vAlign w:val="top"/>
          </w:tcPr>
          <w:p>
            <w:r>
              <w:rPr>
                <w:sz w:val="18"/>
              </w:rPr>
            </w:r>
            <w:r>
              <w:rPr>
                <w:sz w:val="18"/>
              </w:rPr>
              <w:t>GDPR</w:t>
            </w:r>
          </w:p>
        </w:tc>
        <w:tc>
          <w:tcPr>
            <w:tcW w:type="dxa" w:w="1930"/>
            <w:vAlign w:val="top"/>
          </w:tcPr>
          <w:p>
            <w:r>
              <w:rPr>
                <w:sz w:val="18"/>
              </w:rPr>
            </w:r>
            <w:r>
              <w:rPr>
                <w:sz w:val="18"/>
              </w:rPr>
              <w:t>No EU presence identified</w:t>
            </w:r>
          </w:p>
        </w:tc>
        <w:tc>
          <w:tcPr>
            <w:tcW w:type="dxa" w:w="1930"/>
            <w:vAlign w:val="top"/>
          </w:tcPr>
          <w:p>
            <w:r>
              <w:rPr>
                <w:sz w:val="18"/>
              </w:rPr>
            </w:r>
            <w:r>
              <w:rPr>
                <w:sz w:val="18"/>
              </w:rPr>
              <w:t>N/A</w:t>
            </w:r>
          </w:p>
        </w:tc>
        <w:tc>
          <w:tcPr>
            <w:tcW w:type="dxa" w:w="1930"/>
            <w:vAlign w:val="top"/>
          </w:tcPr>
          <w:p>
            <w:r>
              <w:rPr>
                <w:sz w:val="18"/>
              </w:rPr>
            </w:r>
            <w:r>
              <w:rPr>
                <w:sz w:val="18"/>
              </w:rPr>
              <w:t>—</w:t>
            </w:r>
          </w:p>
        </w:tc>
        <w:tc>
          <w:tcPr>
            <w:tcW w:type="dxa" w:w="1930"/>
            <w:vAlign w:val="top"/>
          </w:tcPr>
          <w:p>
            <w:r>
              <w:rPr>
                <w:sz w:val="18"/>
              </w:rPr>
            </w:r>
            <w:r>
              <w:rPr>
                <w:sz w:val="18"/>
              </w:rPr>
              <w:t>Re-confirm if EU drivers added</w:t>
            </w:r>
          </w:p>
        </w:tc>
      </w:tr>
      <w:tr>
        <w:tc>
          <w:tcPr>
            <w:tcW w:type="dxa" w:w="1930"/>
            <w:vAlign w:val="top"/>
          </w:tcPr>
          <w:p>
            <w:r>
              <w:rPr>
                <w:sz w:val="18"/>
              </w:rPr>
            </w:r>
            <w:r>
              <w:rPr>
                <w:b/>
                <w:sz w:val="18"/>
              </w:rPr>
              <w:t>Illinois BIPA</w:t>
            </w:r>
            <w:r>
              <w:rPr>
                <w:sz w:val="18"/>
              </w:rPr>
              <w:t xml:space="preserve"> (740 ILCS 14)</w:t>
            </w:r>
          </w:p>
        </w:tc>
        <w:tc>
          <w:tcPr>
            <w:tcW w:type="dxa" w:w="1930"/>
            <w:vAlign w:val="top"/>
          </w:tcPr>
          <w:p>
            <w:r>
              <w:rPr>
                <w:sz w:val="18"/>
              </w:rPr>
            </w:r>
            <w:r>
              <w:rPr>
                <w:sz w:val="18"/>
              </w:rPr>
              <w:t>Possibly — drivers transit Illinois</w:t>
            </w:r>
          </w:p>
        </w:tc>
        <w:tc>
          <w:tcPr>
            <w:tcW w:type="dxa" w:w="1930"/>
            <w:vAlign w:val="top"/>
          </w:tcPr>
          <w:p>
            <w:r>
              <w:rPr>
                <w:sz w:val="18"/>
              </w:rPr>
            </w:r>
            <w:r>
              <w:rPr>
                <w:sz w:val="18"/>
              </w:rPr>
              <w:t>Not assessed</w:t>
            </w:r>
          </w:p>
        </w:tc>
        <w:tc>
          <w:tcPr>
            <w:tcW w:type="dxa" w:w="1930"/>
            <w:vAlign w:val="top"/>
          </w:tcPr>
          <w:p>
            <w:r>
              <w:rPr>
                <w:sz w:val="18"/>
              </w:rPr>
            </w:r>
            <w:r>
              <w:rPr>
                <w:sz w:val="18"/>
              </w:rPr>
              <w:t>§§ 15(a)–(e) (notice, consent, retention, disclosure, security)</w:t>
            </w:r>
          </w:p>
        </w:tc>
        <w:tc>
          <w:tcPr>
            <w:tcW w:type="dxa" w:w="1930"/>
            <w:vAlign w:val="top"/>
          </w:tcPr>
          <w:p>
            <w:r>
              <w:rPr>
                <w:sz w:val="18"/>
              </w:rPr>
            </w:r>
            <w:r>
              <w:rPr>
                <w:b/>
                <w:sz w:val="18"/>
              </w:rPr>
              <w:t>Engage U.S. counsel</w:t>
            </w:r>
          </w:p>
        </w:tc>
      </w:tr>
      <w:tr>
        <w:tc>
          <w:tcPr>
            <w:tcW w:type="dxa" w:w="1930"/>
            <w:vAlign w:val="top"/>
          </w:tcPr>
          <w:p>
            <w:r>
              <w:rPr>
                <w:sz w:val="18"/>
              </w:rPr>
            </w:r>
            <w:r>
              <w:rPr>
                <w:sz w:val="18"/>
              </w:rPr>
              <w:t>Texas CUBI (Bus. &amp; Com. Code § 503.001)</w:t>
            </w:r>
          </w:p>
        </w:tc>
        <w:tc>
          <w:tcPr>
            <w:tcW w:type="dxa" w:w="1930"/>
            <w:vAlign w:val="top"/>
          </w:tcPr>
          <w:p>
            <w:r>
              <w:rPr>
                <w:sz w:val="18"/>
              </w:rPr>
            </w:r>
            <w:r>
              <w:rPr>
                <w:sz w:val="18"/>
              </w:rPr>
              <w:t>Possibly — drivers transit Texas</w:t>
            </w:r>
          </w:p>
        </w:tc>
        <w:tc>
          <w:tcPr>
            <w:tcW w:type="dxa" w:w="1930"/>
            <w:vAlign w:val="top"/>
          </w:tcPr>
          <w:p>
            <w:r>
              <w:rPr>
                <w:sz w:val="18"/>
              </w:rPr>
            </w:r>
            <w:r>
              <w:rPr>
                <w:sz w:val="18"/>
              </w:rPr>
              <w:t>Not assessed</w:t>
            </w:r>
          </w:p>
        </w:tc>
        <w:tc>
          <w:tcPr>
            <w:tcW w:type="dxa" w:w="1930"/>
            <w:vAlign w:val="top"/>
          </w:tcPr>
          <w:p>
            <w:r>
              <w:rPr>
                <w:sz w:val="18"/>
              </w:rPr>
            </w:r>
            <w:r>
              <w:rPr>
                <w:sz w:val="18"/>
              </w:rPr>
              <w:t>—</w:t>
            </w:r>
          </w:p>
        </w:tc>
        <w:tc>
          <w:tcPr>
            <w:tcW w:type="dxa" w:w="1930"/>
            <w:vAlign w:val="top"/>
          </w:tcPr>
          <w:p>
            <w:r>
              <w:rPr>
                <w:sz w:val="18"/>
              </w:rPr>
            </w:r>
            <w:r>
              <w:rPr>
                <w:sz w:val="18"/>
              </w:rPr>
              <w:t>Engage U.S. counsel</w:t>
            </w:r>
          </w:p>
        </w:tc>
      </w:tr>
      <w:tr>
        <w:tc>
          <w:tcPr>
            <w:tcW w:type="dxa" w:w="1930"/>
            <w:vAlign w:val="top"/>
          </w:tcPr>
          <w:p>
            <w:r>
              <w:rPr>
                <w:sz w:val="18"/>
              </w:rPr>
            </w:r>
            <w:r>
              <w:rPr>
                <w:sz w:val="18"/>
              </w:rPr>
              <w:t>Washington My Health My Data Act</w:t>
            </w:r>
          </w:p>
        </w:tc>
        <w:tc>
          <w:tcPr>
            <w:tcW w:type="dxa" w:w="1930"/>
            <w:vAlign w:val="top"/>
          </w:tcPr>
          <w:p>
            <w:r>
              <w:rPr>
                <w:sz w:val="18"/>
              </w:rPr>
            </w:r>
            <w:r>
              <w:rPr>
                <w:sz w:val="18"/>
              </w:rPr>
              <w:t>Possibly — drivers transit Washington</w:t>
            </w:r>
          </w:p>
        </w:tc>
        <w:tc>
          <w:tcPr>
            <w:tcW w:type="dxa" w:w="1930"/>
            <w:vAlign w:val="top"/>
          </w:tcPr>
          <w:p>
            <w:r>
              <w:rPr>
                <w:sz w:val="18"/>
              </w:rPr>
            </w:r>
            <w:r>
              <w:rPr>
                <w:sz w:val="18"/>
              </w:rPr>
              <w:t>Not assessed</w:t>
            </w:r>
          </w:p>
        </w:tc>
        <w:tc>
          <w:tcPr>
            <w:tcW w:type="dxa" w:w="1930"/>
            <w:vAlign w:val="top"/>
          </w:tcPr>
          <w:p>
            <w:r>
              <w:rPr>
                <w:sz w:val="18"/>
              </w:rPr>
            </w:r>
            <w:r>
              <w:rPr>
                <w:sz w:val="18"/>
              </w:rPr>
              <w:t>—</w:t>
            </w:r>
          </w:p>
        </w:tc>
        <w:tc>
          <w:tcPr>
            <w:tcW w:type="dxa" w:w="1930"/>
            <w:vAlign w:val="top"/>
          </w:tcPr>
          <w:p>
            <w:r>
              <w:rPr>
                <w:sz w:val="18"/>
              </w:rPr>
            </w:r>
            <w:r>
              <w:rPr>
                <w:sz w:val="18"/>
              </w:rPr>
              <w:t>Engage U.S. counsel</w:t>
            </w:r>
          </w:p>
        </w:tc>
      </w:tr>
      <w:tr>
        <w:tc>
          <w:tcPr>
            <w:tcW w:type="dxa" w:w="1930"/>
            <w:vAlign w:val="top"/>
          </w:tcPr>
          <w:p>
            <w:r>
              <w:rPr>
                <w:sz w:val="18"/>
              </w:rPr>
            </w:r>
            <w:r>
              <w:rPr>
                <w:sz w:val="18"/>
              </w:rPr>
              <w:t>California CCPA/CPRA</w:t>
            </w:r>
          </w:p>
        </w:tc>
        <w:tc>
          <w:tcPr>
            <w:tcW w:type="dxa" w:w="1930"/>
            <w:vAlign w:val="top"/>
          </w:tcPr>
          <w:p>
            <w:r>
              <w:rPr>
                <w:sz w:val="18"/>
              </w:rPr>
            </w:r>
            <w:r>
              <w:rPr>
                <w:sz w:val="18"/>
              </w:rPr>
              <w:t>Possibly — California-resident drivers TBD</w:t>
            </w:r>
          </w:p>
        </w:tc>
        <w:tc>
          <w:tcPr>
            <w:tcW w:type="dxa" w:w="1930"/>
            <w:vAlign w:val="top"/>
          </w:tcPr>
          <w:p>
            <w:r>
              <w:rPr>
                <w:sz w:val="18"/>
              </w:rPr>
            </w:r>
            <w:r>
              <w:rPr>
                <w:sz w:val="18"/>
              </w:rPr>
              <w:t>Not assessed</w:t>
            </w:r>
          </w:p>
        </w:tc>
        <w:tc>
          <w:tcPr>
            <w:tcW w:type="dxa" w:w="1930"/>
            <w:vAlign w:val="top"/>
          </w:tcPr>
          <w:p>
            <w:r>
              <w:rPr>
                <w:sz w:val="18"/>
              </w:rPr>
            </w:r>
            <w:r>
              <w:rPr>
                <w:sz w:val="18"/>
              </w:rPr>
              <w:t>—</w:t>
            </w:r>
          </w:p>
        </w:tc>
        <w:tc>
          <w:tcPr>
            <w:tcW w:type="dxa" w:w="1930"/>
            <w:vAlign w:val="top"/>
          </w:tcPr>
          <w:p>
            <w:r>
              <w:rPr>
                <w:sz w:val="18"/>
              </w:rPr>
            </w:r>
            <w:r>
              <w:rPr>
                <w:sz w:val="18"/>
              </w:rPr>
              <w:t>Engage U.S. counsel</w:t>
            </w:r>
          </w:p>
        </w:tc>
      </w:tr>
      <w:tr>
        <w:tc>
          <w:tcPr>
            <w:tcW w:type="dxa" w:w="1930"/>
            <w:vAlign w:val="top"/>
          </w:tcPr>
          <w:p>
            <w:r>
              <w:rPr>
                <w:sz w:val="18"/>
              </w:rPr>
            </w:r>
            <w:r>
              <w:rPr>
                <w:sz w:val="18"/>
              </w:rPr>
              <w:t>FMCSA (U.S. DOT)</w:t>
            </w:r>
          </w:p>
        </w:tc>
        <w:tc>
          <w:tcPr>
            <w:tcW w:type="dxa" w:w="1930"/>
            <w:vAlign w:val="top"/>
          </w:tcPr>
          <w:p>
            <w:r>
              <w:rPr>
                <w:sz w:val="18"/>
              </w:rPr>
            </w:r>
            <w:r>
              <w:rPr>
                <w:sz w:val="18"/>
              </w:rPr>
              <w:t>Sector-specific; possible interaction</w:t>
            </w:r>
          </w:p>
        </w:tc>
        <w:tc>
          <w:tcPr>
            <w:tcW w:type="dxa" w:w="1930"/>
            <w:vAlign w:val="top"/>
          </w:tcPr>
          <w:p>
            <w:r>
              <w:rPr>
                <w:sz w:val="18"/>
              </w:rPr>
            </w:r>
            <w:r>
              <w:rPr>
                <w:sz w:val="18"/>
              </w:rPr>
              <w:t>Not assessed</w:t>
            </w:r>
          </w:p>
        </w:tc>
        <w:tc>
          <w:tcPr>
            <w:tcW w:type="dxa" w:w="1930"/>
            <w:vAlign w:val="top"/>
          </w:tcPr>
          <w:p>
            <w:r>
              <w:rPr>
                <w:sz w:val="18"/>
              </w:rPr>
            </w:r>
            <w:r>
              <w:rPr>
                <w:sz w:val="18"/>
              </w:rPr>
              <w:t>—</w:t>
            </w:r>
          </w:p>
        </w:tc>
        <w:tc>
          <w:tcPr>
            <w:tcW w:type="dxa" w:w="1930"/>
            <w:vAlign w:val="top"/>
          </w:tcPr>
          <w:p>
            <w:r>
              <w:rPr>
                <w:sz w:val="18"/>
              </w:rPr>
            </w:r>
            <w:r>
              <w:rPr>
                <w:sz w:val="18"/>
              </w:rPr>
              <w:t>Confirm whether any FMCSA program drives this initiative</w:t>
            </w:r>
          </w:p>
        </w:tc>
      </w:tr>
    </w:tbl>
    <w:p>
      <w:pPr>
        <w:pStyle w:val="Heading2"/>
      </w:pPr>
      <w:r>
        <w:t>5.2 Lawful Basis for Processing</w:t>
      </w:r>
    </w:p>
    <w:tbl>
      <w:tblPr>
        <w:tblStyle w:val="LightGrid-Accent1"/>
        <w:tblW w:type="auto" w:w="0"/>
        <w:tblLayout w:type="autofit"/>
        <w:tblLook w:firstColumn="1" w:firstRow="1" w:lastColumn="0" w:lastRow="0" w:noHBand="0" w:noVBand="1" w:val="04A0"/>
      </w:tblPr>
      <w:tblGrid>
        <w:gridCol w:w="2412"/>
        <w:gridCol w:w="2412"/>
        <w:gridCol w:w="2412"/>
        <w:gridCol w:w="2412"/>
      </w:tblGrid>
      <w:tr>
        <w:tc>
          <w:tcPr>
            <w:tcW w:type="dxa" w:w="2412"/>
            <w:vAlign w:val="top"/>
            <w:shd w:val="clear" w:color="auto" w:fill="1F3864"/>
          </w:tcPr>
          <w:p>
            <w:r>
              <w:rPr>
                <w:b/>
                <w:color w:val="FFFFFF"/>
                <w:sz w:val="18"/>
              </w:rPr>
            </w:r>
            <w:r>
              <w:rPr>
                <w:b/>
                <w:color w:val="FFFFFF"/>
                <w:sz w:val="18"/>
              </w:rPr>
              <w:t>Processing Activity</w:t>
            </w:r>
          </w:p>
        </w:tc>
        <w:tc>
          <w:tcPr>
            <w:tcW w:type="dxa" w:w="2412"/>
            <w:vAlign w:val="top"/>
            <w:shd w:val="clear" w:color="auto" w:fill="1F3864"/>
          </w:tcPr>
          <w:p>
            <w:r>
              <w:rPr>
                <w:b/>
                <w:color w:val="FFFFFF"/>
                <w:sz w:val="18"/>
              </w:rPr>
            </w:r>
            <w:r>
              <w:rPr>
                <w:b/>
                <w:color w:val="FFFFFF"/>
                <w:sz w:val="18"/>
              </w:rPr>
              <w:t>Data Category</w:t>
            </w:r>
          </w:p>
        </w:tc>
        <w:tc>
          <w:tcPr>
            <w:tcW w:type="dxa" w:w="2412"/>
            <w:vAlign w:val="top"/>
            <w:shd w:val="clear" w:color="auto" w:fill="1F3864"/>
          </w:tcPr>
          <w:p>
            <w:r>
              <w:rPr>
                <w:b/>
                <w:color w:val="FFFFFF"/>
                <w:sz w:val="18"/>
              </w:rPr>
            </w:r>
            <w:r>
              <w:rPr>
                <w:b/>
                <w:color w:val="FFFFFF"/>
                <w:sz w:val="18"/>
              </w:rPr>
              <w:t>Lawful Basis (proposed)</w:t>
            </w:r>
          </w:p>
        </w:tc>
        <w:tc>
          <w:tcPr>
            <w:tcW w:type="dxa" w:w="2412"/>
            <w:vAlign w:val="top"/>
            <w:shd w:val="clear" w:color="auto" w:fill="1F3864"/>
          </w:tcPr>
          <w:p>
            <w:r>
              <w:rPr>
                <w:b/>
                <w:color w:val="FFFFFF"/>
                <w:sz w:val="18"/>
              </w:rPr>
            </w:r>
            <w:r>
              <w:rPr>
                <w:b/>
                <w:color w:val="FFFFFF"/>
                <w:sz w:val="18"/>
              </w:rPr>
              <w:t>Statutory Citation</w:t>
            </w:r>
          </w:p>
        </w:tc>
      </w:tr>
      <w:tr>
        <w:tc>
          <w:tcPr>
            <w:tcW w:type="dxa" w:w="2412"/>
            <w:vAlign w:val="top"/>
          </w:tcPr>
          <w:p>
            <w:r>
              <w:rPr>
                <w:sz w:val="18"/>
              </w:rPr>
            </w:r>
            <w:r>
              <w:rPr>
                <w:sz w:val="18"/>
              </w:rPr>
              <w:t>Real-time impairment detection &amp; automated intervention</w:t>
            </w:r>
          </w:p>
        </w:tc>
        <w:tc>
          <w:tcPr>
            <w:tcW w:type="dxa" w:w="2412"/>
            <w:vAlign w:val="top"/>
          </w:tcPr>
          <w:p>
            <w:r>
              <w:rPr>
                <w:sz w:val="18"/>
              </w:rPr>
            </w:r>
            <w:r>
              <w:rPr>
                <w:sz w:val="18"/>
              </w:rPr>
              <w:t>Biometric chemistry; impairment score</w:t>
            </w:r>
          </w:p>
        </w:tc>
        <w:tc>
          <w:tcPr>
            <w:tcW w:type="dxa" w:w="2412"/>
            <w:vAlign w:val="top"/>
          </w:tcPr>
          <w:p>
            <w:r>
              <w:rPr>
                <w:sz w:val="18"/>
              </w:rPr>
            </w:r>
            <w:r>
              <w:rPr>
                <w:b/>
                <w:sz w:val="18"/>
              </w:rPr>
              <w:t>Express, informed consent</w:t>
            </w:r>
            <w:r>
              <w:rPr>
                <w:sz w:val="18"/>
              </w:rPr>
              <w:t xml:space="preserve"> (employees) + </w:t>
            </w:r>
            <w:r>
              <w:rPr>
                <w:b/>
                <w:sz w:val="18"/>
              </w:rPr>
              <w:t>express written consent</w:t>
            </w:r>
            <w:r>
              <w:rPr>
                <w:sz w:val="18"/>
              </w:rPr>
              <w:t xml:space="preserve"> (contractors); supported by reasonable employment-relationship necessity for employees</w:t>
            </w:r>
          </w:p>
        </w:tc>
        <w:tc>
          <w:tcPr>
            <w:tcW w:type="dxa" w:w="2412"/>
            <w:vAlign w:val="top"/>
          </w:tcPr>
          <w:p>
            <w:r>
              <w:rPr>
                <w:sz w:val="18"/>
              </w:rPr>
            </w:r>
            <w:r>
              <w:rPr>
                <w:sz w:val="18"/>
              </w:rPr>
              <w:t>PIPEDA Sch. 1 Principle 4.3 / s. 6.1; Quebec Law 25 s. 12 / s. 14; Alberta PIPA s. 7, s. 15; BC PIPA s. 6, s. 13</w:t>
            </w:r>
          </w:p>
        </w:tc>
      </w:tr>
      <w:tr>
        <w:tc>
          <w:tcPr>
            <w:tcW w:type="dxa" w:w="2412"/>
            <w:vAlign w:val="top"/>
          </w:tcPr>
          <w:p>
            <w:r>
              <w:rPr>
                <w:sz w:val="18"/>
              </w:rPr>
            </w:r>
            <w:r>
              <w:rPr>
                <w:sz w:val="18"/>
              </w:rPr>
              <w:t>Disciplinary use of biometric event records</w:t>
            </w:r>
          </w:p>
        </w:tc>
        <w:tc>
          <w:tcPr>
            <w:tcW w:type="dxa" w:w="2412"/>
            <w:vAlign w:val="top"/>
          </w:tcPr>
          <w:p>
            <w:r>
              <w:rPr>
                <w:sz w:val="18"/>
              </w:rPr>
            </w:r>
            <w:r>
              <w:rPr>
                <w:sz w:val="18"/>
              </w:rPr>
              <w:t>Flagged events, identifiers</w:t>
            </w:r>
          </w:p>
        </w:tc>
        <w:tc>
          <w:tcPr>
            <w:tcW w:type="dxa" w:w="2412"/>
            <w:vAlign w:val="top"/>
          </w:tcPr>
          <w:p>
            <w:r>
              <w:rPr>
                <w:sz w:val="18"/>
              </w:rPr>
            </w:r>
            <w:r>
              <w:rPr>
                <w:sz w:val="18"/>
              </w:rPr>
              <w:t>Reasonable for managing the employment relationship + express consent (contractors)</w:t>
            </w:r>
          </w:p>
        </w:tc>
        <w:tc>
          <w:tcPr>
            <w:tcW w:type="dxa" w:w="2412"/>
            <w:vAlign w:val="top"/>
          </w:tcPr>
          <w:p>
            <w:r>
              <w:rPr>
                <w:sz w:val="18"/>
              </w:rPr>
            </w:r>
            <w:r>
              <w:rPr>
                <w:sz w:val="18"/>
              </w:rPr>
              <w:t>Alberta PIPA s. 15, s. 18, s. 21; BC PIPA s. 13(2), s. 16(2), s. 19(2); PIPEDA Sch. 1 Principle 4.5</w:t>
            </w:r>
          </w:p>
        </w:tc>
      </w:tr>
      <w:tr>
        <w:tc>
          <w:tcPr>
            <w:tcW w:type="dxa" w:w="2412"/>
            <w:vAlign w:val="top"/>
          </w:tcPr>
          <w:p>
            <w:r>
              <w:rPr>
                <w:sz w:val="18"/>
              </w:rPr>
            </w:r>
            <w:r>
              <w:rPr>
                <w:sz w:val="18"/>
              </w:rPr>
              <w:t>Cross-border transfer to U.S. vendor</w:t>
            </w:r>
          </w:p>
        </w:tc>
        <w:tc>
          <w:tcPr>
            <w:tcW w:type="dxa" w:w="2412"/>
            <w:vAlign w:val="top"/>
          </w:tcPr>
          <w:p>
            <w:r>
              <w:rPr>
                <w:sz w:val="18"/>
              </w:rPr>
            </w:r>
            <w:r>
              <w:rPr>
                <w:sz w:val="18"/>
              </w:rPr>
              <w:t>All categories</w:t>
            </w:r>
          </w:p>
        </w:tc>
        <w:tc>
          <w:tcPr>
            <w:tcW w:type="dxa" w:w="2412"/>
            <w:vAlign w:val="top"/>
          </w:tcPr>
          <w:p>
            <w:r>
              <w:rPr>
                <w:sz w:val="18"/>
              </w:rPr>
            </w:r>
            <w:r>
              <w:rPr>
                <w:sz w:val="18"/>
              </w:rPr>
              <w:t>Accountability + comparable protection by contract; transfer-specific PIA in Quebec; written notice in Alberta</w:t>
            </w:r>
          </w:p>
        </w:tc>
        <w:tc>
          <w:tcPr>
            <w:tcW w:type="dxa" w:w="2412"/>
            <w:vAlign w:val="top"/>
          </w:tcPr>
          <w:p>
            <w:r>
              <w:rPr>
                <w:sz w:val="18"/>
              </w:rPr>
            </w:r>
            <w:r>
              <w:rPr>
                <w:sz w:val="18"/>
              </w:rPr>
              <w:t>PIPEDA Sch. 1 Principle 4.1.3; Quebec Law 25 s. 17; Alberta PIPA s. 13.1</w:t>
            </w:r>
          </w:p>
        </w:tc>
      </w:tr>
      <w:tr>
        <w:tc>
          <w:tcPr>
            <w:tcW w:type="dxa" w:w="2412"/>
            <w:vAlign w:val="top"/>
          </w:tcPr>
          <w:p>
            <w:r>
              <w:rPr>
                <w:sz w:val="18"/>
              </w:rPr>
            </w:r>
            <w:r>
              <w:rPr>
                <w:sz w:val="18"/>
              </w:rPr>
              <w:t>Retention for legal hold</w:t>
            </w:r>
          </w:p>
        </w:tc>
        <w:tc>
          <w:tcPr>
            <w:tcW w:type="dxa" w:w="2412"/>
            <w:vAlign w:val="top"/>
          </w:tcPr>
          <w:p>
            <w:r>
              <w:rPr>
                <w:sz w:val="18"/>
              </w:rPr>
            </w:r>
            <w:r>
              <w:rPr>
                <w:sz w:val="18"/>
              </w:rPr>
              <w:t>Flagged events</w:t>
            </w:r>
          </w:p>
        </w:tc>
        <w:tc>
          <w:tcPr>
            <w:tcW w:type="dxa" w:w="2412"/>
            <w:vAlign w:val="top"/>
          </w:tcPr>
          <w:p>
            <w:r>
              <w:rPr>
                <w:sz w:val="18"/>
              </w:rPr>
            </w:r>
            <w:r>
              <w:rPr>
                <w:sz w:val="18"/>
              </w:rPr>
              <w:t>Documented legal/business need</w:t>
            </w:r>
          </w:p>
        </w:tc>
        <w:tc>
          <w:tcPr>
            <w:tcW w:type="dxa" w:w="2412"/>
            <w:vAlign w:val="top"/>
          </w:tcPr>
          <w:p>
            <w:r>
              <w:rPr>
                <w:sz w:val="18"/>
              </w:rPr>
            </w:r>
            <w:r>
              <w:rPr>
                <w:sz w:val="18"/>
              </w:rPr>
              <w:t>PIPEDA Sch. 1 Principle 4.5.3; Quebec Law 25 s. 23; BC PIPA s. 35; Alberta PIPA s. 35</w:t>
            </w:r>
          </w:p>
        </w:tc>
      </w:tr>
      <w:tr>
        <w:tc>
          <w:tcPr>
            <w:tcW w:type="dxa" w:w="2412"/>
            <w:vAlign w:val="top"/>
          </w:tcPr>
          <w:p>
            <w:r>
              <w:rPr>
                <w:sz w:val="18"/>
              </w:rPr>
            </w:r>
            <w:r>
              <w:rPr>
                <w:sz w:val="18"/>
              </w:rPr>
              <w:t>Vendor model training (if pursued)</w:t>
            </w:r>
          </w:p>
        </w:tc>
        <w:tc>
          <w:tcPr>
            <w:tcW w:type="dxa" w:w="2412"/>
            <w:vAlign w:val="top"/>
          </w:tcPr>
          <w:p>
            <w:r>
              <w:rPr>
                <w:sz w:val="18"/>
              </w:rPr>
            </w:r>
            <w:r>
              <w:rPr>
                <w:sz w:val="18"/>
              </w:rPr>
              <w:t>Biometric chemistry</w:t>
            </w:r>
          </w:p>
        </w:tc>
        <w:tc>
          <w:tcPr>
            <w:tcW w:type="dxa" w:w="2412"/>
            <w:vAlign w:val="top"/>
          </w:tcPr>
          <w:p>
            <w:r>
              <w:rPr>
                <w:sz w:val="18"/>
              </w:rPr>
            </w:r>
            <w:r>
              <w:rPr>
                <w:b/>
                <w:sz w:val="18"/>
              </w:rPr>
              <w:t>Not currently authorized</w:t>
            </w:r>
            <w:r>
              <w:rPr>
                <w:sz w:val="18"/>
              </w:rPr>
              <w:t>; would require fresh, separate consent</w:t>
            </w:r>
          </w:p>
        </w:tc>
        <w:tc>
          <w:tcPr>
            <w:tcW w:type="dxa" w:w="2412"/>
            <w:vAlign w:val="top"/>
          </w:tcPr>
          <w:p>
            <w:r>
              <w:rPr>
                <w:sz w:val="18"/>
              </w:rPr>
            </w:r>
            <w:r>
              <w:rPr>
                <w:sz w:val="18"/>
              </w:rPr>
              <w:t>PIPEDA Sch. 1 Principle 4.5; Quebec Law 25 s. 12</w:t>
            </w:r>
          </w:p>
        </w:tc>
      </w:tr>
      <w:tr>
        <w:tc>
          <w:tcPr>
            <w:tcW w:type="dxa" w:w="2412"/>
            <w:vAlign w:val="top"/>
          </w:tcPr>
          <w:p>
            <w:r>
              <w:rPr>
                <w:sz w:val="18"/>
              </w:rPr>
            </w:r>
            <w:r>
              <w:rPr>
                <w:sz w:val="18"/>
              </w:rPr>
              <w:t>De-identified data sharing (if pursued)</w:t>
            </w:r>
          </w:p>
        </w:tc>
        <w:tc>
          <w:tcPr>
            <w:tcW w:type="dxa" w:w="2412"/>
            <w:vAlign w:val="top"/>
          </w:tcPr>
          <w:p>
            <w:r>
              <w:rPr>
                <w:sz w:val="18"/>
              </w:rPr>
            </w:r>
            <w:r>
              <w:rPr>
                <w:sz w:val="18"/>
              </w:rPr>
              <w:t>De-identified records</w:t>
            </w:r>
          </w:p>
        </w:tc>
        <w:tc>
          <w:tcPr>
            <w:tcW w:type="dxa" w:w="2412"/>
            <w:vAlign w:val="top"/>
          </w:tcPr>
          <w:p>
            <w:r>
              <w:rPr>
                <w:sz w:val="18"/>
              </w:rPr>
            </w:r>
            <w:r>
              <w:rPr>
                <w:sz w:val="18"/>
              </w:rPr>
              <w:t>Permissible only with robust de-identification and ongoing re-identification risk monitoring</w:t>
            </w:r>
          </w:p>
        </w:tc>
        <w:tc>
          <w:tcPr>
            <w:tcW w:type="dxa" w:w="2412"/>
            <w:vAlign w:val="top"/>
          </w:tcPr>
          <w:p>
            <w:r>
              <w:rPr>
                <w:sz w:val="18"/>
              </w:rPr>
            </w:r>
            <w:r>
              <w:rPr>
                <w:sz w:val="18"/>
              </w:rPr>
              <w:t>Quebec Law 25 s. 23 (anonymization standard); PIPEDA Sch. 1 Principle 4.5</w:t>
            </w:r>
          </w:p>
        </w:tc>
      </w:tr>
    </w:tbl>
    <w:p>
      <w:pPr>
        <w:pStyle w:val="Heading2"/>
      </w:pPr>
      <w:r>
        <w:t>5.3 Individual Rights</w:t>
      </w:r>
    </w:p>
    <w:tbl>
      <w:tblPr>
        <w:tblStyle w:val="LightGrid-Accent1"/>
        <w:tblW w:type="auto" w:w="0"/>
        <w:tblLayout w:type="autofit"/>
        <w:tblLook w:firstColumn="1" w:firstRow="1" w:lastColumn="0" w:lastRow="0" w:noHBand="0" w:noVBand="1" w:val="04A0"/>
      </w:tblPr>
      <w:tblGrid>
        <w:gridCol w:w="1930"/>
        <w:gridCol w:w="1930"/>
        <w:gridCol w:w="1930"/>
        <w:gridCol w:w="1930"/>
        <w:gridCol w:w="1930"/>
      </w:tblGrid>
      <w:tr>
        <w:tc>
          <w:tcPr>
            <w:tcW w:type="dxa" w:w="1930"/>
            <w:vAlign w:val="top"/>
            <w:shd w:val="clear" w:color="auto" w:fill="1F3864"/>
          </w:tcPr>
          <w:p>
            <w:r>
              <w:rPr>
                <w:b/>
                <w:color w:val="FFFFFF"/>
                <w:sz w:val="18"/>
              </w:rPr>
            </w:r>
            <w:r>
              <w:rPr>
                <w:b/>
                <w:color w:val="FFFFFF"/>
                <w:sz w:val="18"/>
              </w:rPr>
              <w:t>Right</w:t>
            </w:r>
          </w:p>
        </w:tc>
        <w:tc>
          <w:tcPr>
            <w:tcW w:type="dxa" w:w="1930"/>
            <w:vAlign w:val="top"/>
            <w:shd w:val="clear" w:color="auto" w:fill="1F3864"/>
          </w:tcPr>
          <w:p>
            <w:r>
              <w:rPr>
                <w:b/>
                <w:color w:val="FFFFFF"/>
                <w:sz w:val="18"/>
              </w:rPr>
            </w:r>
            <w:r>
              <w:rPr>
                <w:b/>
                <w:color w:val="FFFFFF"/>
                <w:sz w:val="18"/>
              </w:rPr>
              <w:t>Supported?</w:t>
            </w:r>
          </w:p>
        </w:tc>
        <w:tc>
          <w:tcPr>
            <w:tcW w:type="dxa" w:w="1930"/>
            <w:vAlign w:val="top"/>
            <w:shd w:val="clear" w:color="auto" w:fill="1F3864"/>
          </w:tcPr>
          <w:p>
            <w:r>
              <w:rPr>
                <w:b/>
                <w:color w:val="FFFFFF"/>
                <w:sz w:val="18"/>
              </w:rPr>
            </w:r>
            <w:r>
              <w:rPr>
                <w:b/>
                <w:color w:val="FFFFFF"/>
                <w:sz w:val="18"/>
              </w:rPr>
              <w:t>Mechanism</w:t>
            </w:r>
          </w:p>
        </w:tc>
        <w:tc>
          <w:tcPr>
            <w:tcW w:type="dxa" w:w="1930"/>
            <w:vAlign w:val="top"/>
            <w:shd w:val="clear" w:color="auto" w:fill="1F3864"/>
          </w:tcPr>
          <w:p>
            <w:r>
              <w:rPr>
                <w:b/>
                <w:color w:val="FFFFFF"/>
                <w:sz w:val="18"/>
              </w:rPr>
            </w:r>
            <w:r>
              <w:rPr>
                <w:b/>
                <w:color w:val="FFFFFF"/>
                <w:sz w:val="18"/>
              </w:rPr>
              <w:t>Statutory Basis</w:t>
            </w:r>
          </w:p>
        </w:tc>
        <w:tc>
          <w:tcPr>
            <w:tcW w:type="dxa" w:w="1930"/>
            <w:vAlign w:val="top"/>
            <w:shd w:val="clear" w:color="auto" w:fill="1F3864"/>
          </w:tcPr>
          <w:p>
            <w:r>
              <w:rPr>
                <w:b/>
                <w:color w:val="FFFFFF"/>
                <w:sz w:val="18"/>
              </w:rPr>
            </w:r>
            <w:r>
              <w:rPr>
                <w:b/>
                <w:color w:val="FFFFFF"/>
                <w:sz w:val="18"/>
              </w:rPr>
              <w:t>Notes</w:t>
            </w:r>
          </w:p>
        </w:tc>
      </w:tr>
      <w:tr>
        <w:tc>
          <w:tcPr>
            <w:tcW w:type="dxa" w:w="1930"/>
            <w:vAlign w:val="top"/>
          </w:tcPr>
          <w:p>
            <w:r>
              <w:rPr>
                <w:sz w:val="18"/>
              </w:rPr>
            </w:r>
            <w:r>
              <w:rPr>
                <w:sz w:val="18"/>
              </w:rPr>
              <w:t>Access</w:t>
            </w:r>
          </w:p>
        </w:tc>
        <w:tc>
          <w:tcPr>
            <w:tcW w:type="dxa" w:w="1930"/>
            <w:vAlign w:val="top"/>
          </w:tcPr>
          <w:p>
            <w:r>
              <w:rPr>
                <w:sz w:val="18"/>
              </w:rPr>
            </w:r>
            <w:r>
              <w:rPr>
                <w:sz w:val="18"/>
              </w:rPr>
              <w:t>Possibly (read-only via system) — to be confirmed</w:t>
            </w:r>
          </w:p>
        </w:tc>
        <w:tc>
          <w:tcPr>
            <w:tcW w:type="dxa" w:w="1930"/>
            <w:vAlign w:val="top"/>
          </w:tcPr>
          <w:p>
            <w:r>
              <w:rPr>
                <w:sz w:val="18"/>
              </w:rPr>
            </w:r>
            <w:r>
              <w:rPr>
                <w:sz w:val="18"/>
              </w:rPr>
              <w:t>Vendor portal? — gap</w:t>
            </w:r>
          </w:p>
        </w:tc>
        <w:tc>
          <w:tcPr>
            <w:tcW w:type="dxa" w:w="1930"/>
            <w:vAlign w:val="top"/>
          </w:tcPr>
          <w:p>
            <w:r>
              <w:rPr>
                <w:sz w:val="18"/>
              </w:rPr>
            </w:r>
            <w:r>
              <w:rPr>
                <w:sz w:val="18"/>
              </w:rPr>
              <w:t>PIPEDA s. 8 / Sch. 1 Principle 4.9 (30 days); Quebec Law 25 s. 27 (30 days); BC PIPA ss. 23, 28–29 (30 business days); Alberta PIPA s. 24, s. 28 (45 days)</w:t>
            </w:r>
          </w:p>
        </w:tc>
        <w:tc>
          <w:tcPr>
            <w:tcW w:type="dxa" w:w="1930"/>
            <w:vAlign w:val="top"/>
          </w:tcPr>
          <w:p>
            <w:r>
              <w:rPr>
                <w:sz w:val="18"/>
              </w:rPr>
            </w:r>
            <w:r>
              <w:rPr>
                <w:sz w:val="18"/>
              </w:rPr>
              <w:t>Channel must be defined and timelines tracked</w:t>
            </w:r>
          </w:p>
        </w:tc>
      </w:tr>
      <w:tr>
        <w:tc>
          <w:tcPr>
            <w:tcW w:type="dxa" w:w="1930"/>
            <w:vAlign w:val="top"/>
          </w:tcPr>
          <w:p>
            <w:r>
              <w:rPr>
                <w:sz w:val="18"/>
              </w:rPr>
            </w:r>
            <w:r>
              <w:rPr>
                <w:sz w:val="18"/>
              </w:rPr>
              <w:t>Correction</w:t>
            </w:r>
          </w:p>
        </w:tc>
        <w:tc>
          <w:tcPr>
            <w:tcW w:type="dxa" w:w="1930"/>
            <w:vAlign w:val="top"/>
          </w:tcPr>
          <w:p>
            <w:r>
              <w:rPr>
                <w:sz w:val="18"/>
              </w:rPr>
            </w:r>
            <w:r>
              <w:rPr>
                <w:sz w:val="18"/>
              </w:rPr>
              <w:t>No defined channel</w:t>
            </w:r>
          </w:p>
        </w:tc>
        <w:tc>
          <w:tcPr>
            <w:tcW w:type="dxa" w:w="1930"/>
            <w:vAlign w:val="top"/>
          </w:tcPr>
          <w:p>
            <w:r>
              <w:rPr>
                <w:sz w:val="18"/>
              </w:rPr>
            </w:r>
            <w:r>
              <w:rPr>
                <w:sz w:val="18"/>
              </w:rPr>
              <w:t>—</w:t>
            </w:r>
          </w:p>
        </w:tc>
        <w:tc>
          <w:tcPr>
            <w:tcW w:type="dxa" w:w="1930"/>
            <w:vAlign w:val="top"/>
          </w:tcPr>
          <w:p>
            <w:r>
              <w:rPr>
                <w:sz w:val="18"/>
              </w:rPr>
            </w:r>
            <w:r>
              <w:rPr>
                <w:sz w:val="18"/>
              </w:rPr>
              <w:t>PIPEDA Sch. 1 Principle 4.9; Quebec Law 25 s. 28; BC PIPA s. 24; Alberta PIPA s. 25</w:t>
            </w:r>
          </w:p>
        </w:tc>
        <w:tc>
          <w:tcPr>
            <w:tcW w:type="dxa" w:w="1930"/>
            <w:vAlign w:val="top"/>
          </w:tcPr>
          <w:p>
            <w:r>
              <w:rPr>
                <w:sz w:val="18"/>
              </w:rPr>
            </w:r>
            <w:r>
              <w:rPr>
                <w:sz w:val="18"/>
              </w:rPr>
              <w:t>Required</w:t>
            </w:r>
          </w:p>
        </w:tc>
      </w:tr>
      <w:tr>
        <w:tc>
          <w:tcPr>
            <w:tcW w:type="dxa" w:w="1930"/>
            <w:vAlign w:val="top"/>
          </w:tcPr>
          <w:p>
            <w:r>
              <w:rPr>
                <w:sz w:val="18"/>
              </w:rPr>
            </w:r>
            <w:r>
              <w:rPr>
                <w:sz w:val="18"/>
              </w:rPr>
              <w:t>Withdrawal of consent</w:t>
            </w:r>
          </w:p>
        </w:tc>
        <w:tc>
          <w:tcPr>
            <w:tcW w:type="dxa" w:w="1930"/>
            <w:vAlign w:val="top"/>
          </w:tcPr>
          <w:p>
            <w:r>
              <w:rPr>
                <w:sz w:val="18"/>
              </w:rPr>
            </w:r>
            <w:r>
              <w:rPr>
                <w:sz w:val="18"/>
              </w:rPr>
              <w:t>Not designed (system is non-disableable)</w:t>
            </w:r>
          </w:p>
        </w:tc>
        <w:tc>
          <w:tcPr>
            <w:tcW w:type="dxa" w:w="1930"/>
            <w:vAlign w:val="top"/>
          </w:tcPr>
          <w:p>
            <w:r>
              <w:rPr>
                <w:sz w:val="18"/>
              </w:rPr>
            </w:r>
            <w:r>
              <w:rPr>
                <w:sz w:val="18"/>
              </w:rPr>
              <w:t>—</w:t>
            </w:r>
          </w:p>
        </w:tc>
        <w:tc>
          <w:tcPr>
            <w:tcW w:type="dxa" w:w="1930"/>
            <w:vAlign w:val="top"/>
          </w:tcPr>
          <w:p>
            <w:r>
              <w:rPr>
                <w:sz w:val="18"/>
              </w:rPr>
            </w:r>
            <w:r>
              <w:rPr>
                <w:sz w:val="18"/>
              </w:rPr>
              <w:t>PIPEDA Sch. 1 Principle 4.3.8; Quebec Law 25 s. 9; BC PIPA s. 9; Alberta PIPA s. 9</w:t>
            </w:r>
          </w:p>
        </w:tc>
        <w:tc>
          <w:tcPr>
            <w:tcW w:type="dxa" w:w="1930"/>
            <w:vAlign w:val="top"/>
          </w:tcPr>
          <w:p>
            <w:r>
              <w:rPr>
                <w:sz w:val="18"/>
              </w:rPr>
            </w:r>
            <w:r>
              <w:rPr>
                <w:sz w:val="18"/>
              </w:rPr>
              <w:t>Must be addressed; withdrawal cannot be illusory because the system cannot be disabled</w:t>
            </w:r>
          </w:p>
        </w:tc>
      </w:tr>
      <w:tr>
        <w:tc>
          <w:tcPr>
            <w:tcW w:type="dxa" w:w="1930"/>
            <w:vAlign w:val="top"/>
          </w:tcPr>
          <w:p>
            <w:r>
              <w:rPr>
                <w:sz w:val="18"/>
              </w:rPr>
            </w:r>
            <w:r>
              <w:rPr>
                <w:sz w:val="18"/>
              </w:rPr>
              <w:t>Deletion</w:t>
            </w:r>
          </w:p>
        </w:tc>
        <w:tc>
          <w:tcPr>
            <w:tcW w:type="dxa" w:w="1930"/>
            <w:vAlign w:val="top"/>
          </w:tcPr>
          <w:p>
            <w:r>
              <w:rPr>
                <w:sz w:val="18"/>
              </w:rPr>
            </w:r>
            <w:r>
              <w:rPr>
                <w:sz w:val="18"/>
              </w:rPr>
              <w:t>Not defined</w:t>
            </w:r>
          </w:p>
        </w:tc>
        <w:tc>
          <w:tcPr>
            <w:tcW w:type="dxa" w:w="1930"/>
            <w:vAlign w:val="top"/>
          </w:tcPr>
          <w:p>
            <w:r>
              <w:rPr>
                <w:sz w:val="18"/>
              </w:rPr>
            </w:r>
            <w:r>
              <w:rPr>
                <w:sz w:val="18"/>
              </w:rPr>
              <w:t>—</w:t>
            </w:r>
          </w:p>
        </w:tc>
        <w:tc>
          <w:tcPr>
            <w:tcW w:type="dxa" w:w="1930"/>
            <w:vAlign w:val="top"/>
          </w:tcPr>
          <w:p>
            <w:r>
              <w:rPr>
                <w:sz w:val="18"/>
              </w:rPr>
            </w:r>
            <w:r>
              <w:rPr>
                <w:sz w:val="18"/>
              </w:rPr>
              <w:t>Quebec Law 25 s. 28.1</w:t>
            </w:r>
          </w:p>
        </w:tc>
        <w:tc>
          <w:tcPr>
            <w:tcW w:type="dxa" w:w="1930"/>
            <w:vAlign w:val="top"/>
          </w:tcPr>
          <w:p>
            <w:r>
              <w:rPr>
                <w:sz w:val="18"/>
              </w:rPr>
            </w:r>
            <w:r>
              <w:rPr>
                <w:sz w:val="18"/>
              </w:rPr>
              <w:t>Required</w:t>
            </w:r>
          </w:p>
        </w:tc>
      </w:tr>
      <w:tr>
        <w:tc>
          <w:tcPr>
            <w:tcW w:type="dxa" w:w="1930"/>
            <w:vAlign w:val="top"/>
          </w:tcPr>
          <w:p>
            <w:r>
              <w:rPr>
                <w:sz w:val="18"/>
              </w:rPr>
            </w:r>
            <w:r>
              <w:rPr>
                <w:sz w:val="18"/>
              </w:rPr>
              <w:t>Portability</w:t>
            </w:r>
          </w:p>
        </w:tc>
        <w:tc>
          <w:tcPr>
            <w:tcW w:type="dxa" w:w="1930"/>
            <w:vAlign w:val="top"/>
          </w:tcPr>
          <w:p>
            <w:r>
              <w:rPr>
                <w:sz w:val="18"/>
              </w:rPr>
            </w:r>
            <w:r>
              <w:rPr>
                <w:sz w:val="18"/>
              </w:rPr>
              <w:t>Not defined</w:t>
            </w:r>
          </w:p>
        </w:tc>
        <w:tc>
          <w:tcPr>
            <w:tcW w:type="dxa" w:w="1930"/>
            <w:vAlign w:val="top"/>
          </w:tcPr>
          <w:p>
            <w:r>
              <w:rPr>
                <w:sz w:val="18"/>
              </w:rPr>
            </w:r>
            <w:r>
              <w:rPr>
                <w:sz w:val="18"/>
              </w:rPr>
              <w:t>—</w:t>
            </w:r>
          </w:p>
        </w:tc>
        <w:tc>
          <w:tcPr>
            <w:tcW w:type="dxa" w:w="1930"/>
            <w:vAlign w:val="top"/>
          </w:tcPr>
          <w:p>
            <w:r>
              <w:rPr>
                <w:sz w:val="18"/>
              </w:rPr>
            </w:r>
            <w:r>
              <w:rPr>
                <w:sz w:val="18"/>
              </w:rPr>
              <w:t>Quebec Law 25 s. 27</w:t>
            </w:r>
          </w:p>
        </w:tc>
        <w:tc>
          <w:tcPr>
            <w:tcW w:type="dxa" w:w="1930"/>
            <w:vAlign w:val="top"/>
          </w:tcPr>
          <w:p>
            <w:r>
              <w:rPr>
                <w:sz w:val="18"/>
              </w:rPr>
            </w:r>
            <w:r>
              <w:rPr>
                <w:sz w:val="18"/>
              </w:rPr>
              <w:t>Required for Quebec data subjects</w:t>
            </w:r>
          </w:p>
        </w:tc>
      </w:tr>
      <w:tr>
        <w:tc>
          <w:tcPr>
            <w:tcW w:type="dxa" w:w="1930"/>
            <w:vAlign w:val="top"/>
          </w:tcPr>
          <w:p>
            <w:r>
              <w:rPr>
                <w:sz w:val="18"/>
              </w:rPr>
            </w:r>
            <w:r>
              <w:rPr>
                <w:b/>
                <w:sz w:val="18"/>
              </w:rPr>
              <w:t>Objection to / human review of automated decision</w:t>
            </w:r>
          </w:p>
        </w:tc>
        <w:tc>
          <w:tcPr>
            <w:tcW w:type="dxa" w:w="1930"/>
            <w:vAlign w:val="top"/>
          </w:tcPr>
          <w:p>
            <w:r>
              <w:rPr>
                <w:sz w:val="18"/>
              </w:rPr>
            </w:r>
            <w:r>
              <w:rPr>
                <w:b/>
                <w:sz w:val="18"/>
              </w:rPr>
              <w:t>No</w:t>
            </w:r>
          </w:p>
        </w:tc>
        <w:tc>
          <w:tcPr>
            <w:tcW w:type="dxa" w:w="1930"/>
            <w:vAlign w:val="top"/>
          </w:tcPr>
          <w:p>
            <w:r>
              <w:rPr>
                <w:sz w:val="18"/>
              </w:rPr>
            </w:r>
            <w:r>
              <w:rPr>
                <w:sz w:val="18"/>
              </w:rPr>
              <w:t>—</w:t>
            </w:r>
          </w:p>
        </w:tc>
        <w:tc>
          <w:tcPr>
            <w:tcW w:type="dxa" w:w="1930"/>
            <w:vAlign w:val="top"/>
          </w:tcPr>
          <w:p>
            <w:r>
              <w:rPr>
                <w:sz w:val="18"/>
              </w:rPr>
            </w:r>
            <w:r>
              <w:rPr>
                <w:sz w:val="18"/>
              </w:rPr>
              <w:t>Quebec Law 25 s. 12.1; OPC ADM guidance</w:t>
            </w:r>
          </w:p>
        </w:tc>
        <w:tc>
          <w:tcPr>
            <w:tcW w:type="dxa" w:w="1930"/>
            <w:vAlign w:val="top"/>
          </w:tcPr>
          <w:p>
            <w:r>
              <w:rPr>
                <w:sz w:val="18"/>
              </w:rPr>
            </w:r>
            <w:r>
              <w:rPr>
                <w:b/>
                <w:sz w:val="18"/>
              </w:rPr>
              <w:t>Must be implemented</w:t>
            </w:r>
          </w:p>
        </w:tc>
      </w:tr>
    </w:tbl>
    <w:p>
      <w:pPr>
        <w:pStyle w:val="Heading2"/>
      </w:pPr>
      <w:r>
        <w:t>5.4 Privacy Notice / Policy</w:t>
      </w:r>
    </w:p>
    <w:p>
      <w:r>
        <w:t xml:space="preserve">A general company privacy policy exists and mentions employees, but does not address biometric or in-cab monitoring. The current employee privacy notice has not been updated. </w:t>
      </w:r>
      <w:r>
        <w:rPr>
          <w:b/>
        </w:rPr>
        <w:t>Both must be updated and published before pilot launch</w:t>
      </w:r>
      <w:r>
        <w:t xml:space="preserve"> (PIPEDA Sch. 1 Principle 4.8; Quebec Law 25 s. 3.2; Alberta PIPA s. 6; BC PIPA s. 5). The Privacy Officer's title and contact must be published on the website (Quebec Law 25 s. 3.1).</w:t>
      </w:r>
    </w:p>
    <w:p>
      <w:pPr>
        <w:pStyle w:val="Heading2"/>
      </w:pPr>
      <w:r>
        <w:t>5.5 Vendor Agreements</w:t>
      </w:r>
    </w:p>
    <w:p>
      <w:r>
        <w:t xml:space="preserve">Not yet executed. Confidentiality is likely to be included; cross-border restrictions, breach-notification timelines, audit rights, sub-processor controls, return/destruction, cooperation with rights requests are unconfirmed. </w:t>
      </w:r>
      <w:r>
        <w:rPr>
          <w:b/>
        </w:rPr>
        <w:t>Comparable-protection obligation under PIPEDA Sch. 1 Principle 4.1.3 is not yet met. The contract must include the data-protection schedule outlined in Section 8.</w:t>
      </w:r>
    </w:p>
    <w:p>
      <w:pPr>
        <w:pStyle w:val="Heading2"/>
      </w:pPr>
      <w:r>
        <w:t>5.6 Mandatory PIA / DPIA Requirement</w:t>
      </w:r>
    </w:p>
    <w:p>
      <w:pPr>
        <w:pStyle w:val="ListBullet"/>
      </w:pPr>
      <w:r>
        <w:rPr>
          <w:b/>
        </w:rPr>
        <w:t>Quebec Law 25, s. 3.3</w:t>
      </w:r>
      <w:r>
        <w:t xml:space="preserve"> — mandatory PIA is triggered (acquisition/development of an information system involving sensitive PI).</w:t>
      </w:r>
    </w:p>
    <w:p>
      <w:pPr>
        <w:pStyle w:val="ListBullet"/>
      </w:pPr>
      <w:r>
        <w:rPr>
          <w:b/>
        </w:rPr>
        <w:t>Quebec Law 25, s. 17</w:t>
      </w:r>
      <w:r>
        <w:t xml:space="preserve"> — separate transfer-specific PIA for cross-border processing is required.</w:t>
      </w:r>
    </w:p>
    <w:p>
      <w:pPr>
        <w:pStyle w:val="ListBullet"/>
      </w:pPr>
      <w:r>
        <w:rPr>
          <w:b/>
        </w:rPr>
        <w:t>Act to establish a legal framework for information technology, s. 45</w:t>
      </w:r>
      <w:r>
        <w:t xml:space="preserve"> — biometric database declaration to the CAI required ≥ 60 days before deployment.</w:t>
      </w:r>
    </w:p>
    <w:p>
      <w:pPr>
        <w:pStyle w:val="ListBullet"/>
      </w:pPr>
      <w:r>
        <w:rPr>
          <w:b/>
        </w:rPr>
        <w:t>GDPR Art. 35</w:t>
      </w:r>
      <w:r>
        <w:t xml:space="preserve"> DPIA — not engaged (no GDPR trigger).</w:t>
      </w:r>
    </w:p>
    <w:p>
      <w:pPr>
        <w:pStyle w:val="ListBullet"/>
      </w:pPr>
      <w:r>
        <w:rPr>
          <w:b/>
        </w:rPr>
        <w:t>U.S. counsel</w:t>
      </w:r>
      <w:r>
        <w:t xml:space="preserve"> should advise whether any U.S. state biometric statutes require a written policy, retention schedule, or notice (e.g., Illinois BIPA § 15(a)).</w:t>
      </w:r>
    </w:p>
    <w:p>
      <w:pPr>
        <w:pStyle w:val="Heading2"/>
      </w:pPr>
      <w:r>
        <w:t>5.7 Relevant Enforcement Decisions and Guidance (illustrative — not exhaustive; further legal research required)</w:t>
      </w:r>
    </w:p>
    <w:p>
      <w:pPr>
        <w:pStyle w:val="ListBullet"/>
      </w:pPr>
      <w:r>
        <w:rPr>
          <w:i/>
        </w:rPr>
        <w:t>Eastmond v. Canadian Pacific Railway</w:t>
      </w:r>
      <w:r>
        <w:t>, 2004 FC 852 — workplace surveillance proportionality (necessity, effectiveness, proportionality, less-intrusive means).</w:t>
      </w:r>
    </w:p>
    <w:p>
      <w:pPr>
        <w:pStyle w:val="ListBullet"/>
      </w:pPr>
      <w:r>
        <w:t>OPC PIPEDA Findings and joint investigations on workplace monitoring, GPS tracking, and biometric collection.</w:t>
      </w:r>
    </w:p>
    <w:p>
      <w:pPr>
        <w:pStyle w:val="ListBullet"/>
      </w:pPr>
      <w:r>
        <w:t xml:space="preserve">OPC </w:t>
      </w:r>
      <w:r>
        <w:rPr>
          <w:i/>
        </w:rPr>
        <w:t>Guidelines for Processing Personal Data Across Borders</w:t>
      </w:r>
      <w:r>
        <w:t>.</w:t>
      </w:r>
    </w:p>
    <w:p>
      <w:pPr>
        <w:pStyle w:val="ListBullet"/>
      </w:pPr>
      <w:r>
        <w:t xml:space="preserve">OPC </w:t>
      </w:r>
      <w:r>
        <w:rPr>
          <w:i/>
        </w:rPr>
        <w:t>Guidance on inappropriate data practices: Interpretation and application of subsection 5(3)</w:t>
      </w:r>
      <w:r>
        <w:t>.</w:t>
      </w:r>
    </w:p>
    <w:p>
      <w:pPr>
        <w:pStyle w:val="ListBullet"/>
      </w:pPr>
      <w:r>
        <w:t>OIPC BC and OIPC AB orders on workplace surveillance, biometric collection, and cross-border transfers (further review recommended).</w:t>
      </w:r>
    </w:p>
    <w:p>
      <w:pPr>
        <w:pStyle w:val="ListBullet"/>
      </w:pPr>
      <w:r>
        <w:t>Quebec CAI guidance on biometric databases and on s. 17 cross-border transfers.</w:t>
      </w:r>
    </w:p>
    <w:p>
      <w:pPr>
        <w:pStyle w:val="ListBullet"/>
      </w:pPr>
      <w:r>
        <w:t xml:space="preserve">Illinois BIPA litigation (e.g., </w:t>
      </w:r>
      <w:r>
        <w:rPr>
          <w:i/>
        </w:rPr>
        <w:t>Rosenbach v. Six Flags Entertainment Corp.</w:t>
      </w:r>
      <w:r>
        <w:t xml:space="preserve">, 2019 IL 123186; </w:t>
      </w:r>
      <w:r>
        <w:rPr>
          <w:i/>
        </w:rPr>
        <w:t>Cothron v. White Castle</w:t>
      </w:r>
      <w:r>
        <w:t>, 2023 IL 128004) — high statutory damages exposure per scan.</w:t>
      </w:r>
    </w:p>
    <w:p>
      <w:r>
        <w:rPr>
          <w:b/>
        </w:rPr>
        <w:t>Action: obtain a focused legal-research memo on each of the above, scoped to fleet/transportation biometric monitoring.</w:t>
      </w:r>
    </w:p>
    <w:p>
      <w:pPr>
        <w:pStyle w:val="Heading1"/>
      </w:pPr>
      <w:r>
        <w:t>Section 6 — Privacy by Design Assessment</w:t>
      </w:r>
    </w:p>
    <w:tbl>
      <w:tblPr>
        <w:tblStyle w:val="LightGrid-Accent1"/>
        <w:tblW w:type="auto" w:w="0"/>
        <w:tblLayout w:type="autofit"/>
        <w:tblLook w:firstColumn="1" w:firstRow="1" w:lastColumn="0" w:lastRow="0" w:noHBand="0" w:noVBand="1" w:val="04A0"/>
      </w:tblPr>
      <w:tblGrid>
        <w:gridCol w:w="3216"/>
        <w:gridCol w:w="3216"/>
        <w:gridCol w:w="3216"/>
      </w:tblGrid>
      <w:tr>
        <w:tc>
          <w:tcPr>
            <w:tcW w:type="dxa" w:w="3216"/>
            <w:vAlign w:val="top"/>
            <w:shd w:val="clear" w:color="auto" w:fill="1F3864"/>
          </w:tcPr>
          <w:p>
            <w:r>
              <w:rPr>
                <w:b/>
                <w:color w:val="FFFFFF"/>
                <w:sz w:val="18"/>
              </w:rPr>
            </w:r>
            <w:r>
              <w:rPr>
                <w:b/>
                <w:color w:val="FFFFFF"/>
                <w:sz w:val="18"/>
              </w:rPr>
              <w:t>PbD Principle</w:t>
            </w:r>
          </w:p>
        </w:tc>
        <w:tc>
          <w:tcPr>
            <w:tcW w:type="dxa" w:w="3216"/>
            <w:vAlign w:val="top"/>
            <w:shd w:val="clear" w:color="auto" w:fill="1F3864"/>
          </w:tcPr>
          <w:p>
            <w:r>
              <w:rPr>
                <w:b/>
                <w:color w:val="FFFFFF"/>
                <w:sz w:val="18"/>
              </w:rPr>
            </w:r>
            <w:r>
              <w:rPr>
                <w:b/>
                <w:color w:val="FFFFFF"/>
                <w:sz w:val="18"/>
              </w:rPr>
              <w:t>Met?</w:t>
            </w:r>
          </w:p>
        </w:tc>
        <w:tc>
          <w:tcPr>
            <w:tcW w:type="dxa" w:w="3216"/>
            <w:vAlign w:val="top"/>
            <w:shd w:val="clear" w:color="auto" w:fill="1F3864"/>
          </w:tcPr>
          <w:p>
            <w:r>
              <w:rPr>
                <w:b/>
                <w:color w:val="FFFFFF"/>
                <w:sz w:val="18"/>
              </w:rPr>
            </w:r>
            <w:r>
              <w:rPr>
                <w:b/>
                <w:color w:val="FFFFFF"/>
                <w:sz w:val="18"/>
              </w:rPr>
              <w:t>Evidence / Notes</w:t>
            </w:r>
          </w:p>
        </w:tc>
      </w:tr>
      <w:tr>
        <w:tc>
          <w:tcPr>
            <w:tcW w:type="dxa" w:w="3216"/>
            <w:vAlign w:val="top"/>
          </w:tcPr>
          <w:p>
            <w:r>
              <w:rPr>
                <w:sz w:val="18"/>
              </w:rPr>
            </w:r>
            <w:r>
              <w:rPr>
                <w:sz w:val="18"/>
              </w:rPr>
              <w:t>Proactive — privacy considered from the start</w:t>
            </w:r>
          </w:p>
        </w:tc>
        <w:tc>
          <w:tcPr>
            <w:tcW w:type="dxa" w:w="3216"/>
            <w:vAlign w:val="top"/>
          </w:tcPr>
          <w:p>
            <w:r>
              <w:rPr>
                <w:sz w:val="18"/>
              </w:rPr>
            </w:r>
            <w:r>
              <w:rPr>
                <w:b/>
                <w:sz w:val="18"/>
              </w:rPr>
              <w:t>No</w:t>
            </w:r>
          </w:p>
        </w:tc>
        <w:tc>
          <w:tcPr>
            <w:tcW w:type="dxa" w:w="3216"/>
            <w:vAlign w:val="top"/>
          </w:tcPr>
          <w:p>
            <w:r>
              <w:rPr>
                <w:sz w:val="18"/>
              </w:rPr>
            </w:r>
            <w:r>
              <w:rPr>
                <w:sz w:val="18"/>
              </w:rPr>
              <w:t>First formal review; pilot already imminent</w:t>
            </w:r>
          </w:p>
        </w:tc>
      </w:tr>
      <w:tr>
        <w:tc>
          <w:tcPr>
            <w:tcW w:type="dxa" w:w="3216"/>
            <w:vAlign w:val="top"/>
          </w:tcPr>
          <w:p>
            <w:r>
              <w:rPr>
                <w:sz w:val="18"/>
              </w:rPr>
            </w:r>
            <w:r>
              <w:rPr>
                <w:sz w:val="18"/>
              </w:rPr>
              <w:t>Privacy by Default — most protective settings are default</w:t>
            </w:r>
          </w:p>
        </w:tc>
        <w:tc>
          <w:tcPr>
            <w:tcW w:type="dxa" w:w="3216"/>
            <w:vAlign w:val="top"/>
          </w:tcPr>
          <w:p>
            <w:r>
              <w:rPr>
                <w:sz w:val="18"/>
              </w:rPr>
            </w:r>
            <w:r>
              <w:rPr>
                <w:b/>
                <w:sz w:val="18"/>
              </w:rPr>
              <w:t>No</w:t>
            </w:r>
          </w:p>
        </w:tc>
        <w:tc>
          <w:tcPr>
            <w:tcW w:type="dxa" w:w="3216"/>
            <w:vAlign w:val="top"/>
          </w:tcPr>
          <w:p>
            <w:r>
              <w:rPr>
                <w:sz w:val="18"/>
              </w:rPr>
            </w:r>
            <w:r>
              <w:rPr>
                <w:sz w:val="18"/>
              </w:rPr>
              <w:t>Defaults not specified; required under Quebec Law 25 s. 9.1 for tech products/services offered to the public, and best practice elsewhere</w:t>
            </w:r>
          </w:p>
        </w:tc>
      </w:tr>
      <w:tr>
        <w:tc>
          <w:tcPr>
            <w:tcW w:type="dxa" w:w="3216"/>
            <w:vAlign w:val="top"/>
          </w:tcPr>
          <w:p>
            <w:r>
              <w:rPr>
                <w:sz w:val="18"/>
              </w:rPr>
            </w:r>
            <w:r>
              <w:rPr>
                <w:sz w:val="18"/>
              </w:rPr>
              <w:t>Data Minimization</w:t>
            </w:r>
          </w:p>
        </w:tc>
        <w:tc>
          <w:tcPr>
            <w:tcW w:type="dxa" w:w="3216"/>
            <w:vAlign w:val="top"/>
          </w:tcPr>
          <w:p>
            <w:r>
              <w:rPr>
                <w:sz w:val="18"/>
              </w:rPr>
            </w:r>
            <w:r>
              <w:rPr>
                <w:b/>
                <w:sz w:val="18"/>
              </w:rPr>
              <w:t>No</w:t>
            </w:r>
          </w:p>
        </w:tc>
        <w:tc>
          <w:tcPr>
            <w:tcW w:type="dxa" w:w="3216"/>
            <w:vAlign w:val="top"/>
          </w:tcPr>
          <w:p>
            <w:r>
              <w:rPr>
                <w:sz w:val="18"/>
              </w:rPr>
            </w:r>
            <w:r>
              <w:rPr>
                <w:sz w:val="18"/>
              </w:rPr>
              <w:t>Continuous streaming, dual-modality, cloud retention, identifying linkage, expansive secondary use</w:t>
            </w:r>
          </w:p>
        </w:tc>
      </w:tr>
      <w:tr>
        <w:tc>
          <w:tcPr>
            <w:tcW w:type="dxa" w:w="3216"/>
            <w:vAlign w:val="top"/>
          </w:tcPr>
          <w:p>
            <w:r>
              <w:rPr>
                <w:sz w:val="18"/>
              </w:rPr>
            </w:r>
            <w:r>
              <w:rPr>
                <w:sz w:val="18"/>
              </w:rPr>
              <w:t>Accuracy</w:t>
            </w:r>
          </w:p>
        </w:tc>
        <w:tc>
          <w:tcPr>
            <w:tcW w:type="dxa" w:w="3216"/>
            <w:vAlign w:val="top"/>
          </w:tcPr>
          <w:p>
            <w:r>
              <w:rPr>
                <w:sz w:val="18"/>
              </w:rPr>
            </w:r>
            <w:r>
              <w:rPr>
                <w:b/>
                <w:sz w:val="18"/>
              </w:rPr>
              <w:t>Partial / unknown</w:t>
            </w:r>
          </w:p>
        </w:tc>
        <w:tc>
          <w:tcPr>
            <w:tcW w:type="dxa" w:w="3216"/>
            <w:vAlign w:val="top"/>
          </w:tcPr>
          <w:p>
            <w:r>
              <w:rPr>
                <w:sz w:val="18"/>
              </w:rPr>
            </w:r>
            <w:r>
              <w:rPr>
                <w:sz w:val="18"/>
              </w:rPr>
              <w:t>False-positive risk from skin chemistry not yet addressed; vendor accuracy testing not reviewed</w:t>
            </w:r>
          </w:p>
        </w:tc>
      </w:tr>
      <w:tr>
        <w:tc>
          <w:tcPr>
            <w:tcW w:type="dxa" w:w="3216"/>
            <w:vAlign w:val="top"/>
          </w:tcPr>
          <w:p>
            <w:r>
              <w:rPr>
                <w:sz w:val="18"/>
              </w:rPr>
            </w:r>
            <w:r>
              <w:rPr>
                <w:sz w:val="18"/>
              </w:rPr>
              <w:t>Access Controls</w:t>
            </w:r>
          </w:p>
        </w:tc>
        <w:tc>
          <w:tcPr>
            <w:tcW w:type="dxa" w:w="3216"/>
            <w:vAlign w:val="top"/>
          </w:tcPr>
          <w:p>
            <w:r>
              <w:rPr>
                <w:sz w:val="18"/>
              </w:rPr>
            </w:r>
            <w:r>
              <w:rPr>
                <w:b/>
                <w:sz w:val="18"/>
              </w:rPr>
              <w:t>Unknown</w:t>
            </w:r>
          </w:p>
        </w:tc>
        <w:tc>
          <w:tcPr>
            <w:tcW w:type="dxa" w:w="3216"/>
            <w:vAlign w:val="top"/>
          </w:tcPr>
          <w:p>
            <w:r>
              <w:rPr>
                <w:sz w:val="18"/>
              </w:rPr>
            </w:r>
            <w:r>
              <w:rPr>
                <w:sz w:val="18"/>
              </w:rPr>
              <w:t>Internal HR/Legal access stated; role-based controls and audit logs unconfirmed</w:t>
            </w:r>
          </w:p>
        </w:tc>
      </w:tr>
      <w:tr>
        <w:tc>
          <w:tcPr>
            <w:tcW w:type="dxa" w:w="3216"/>
            <w:vAlign w:val="top"/>
          </w:tcPr>
          <w:p>
            <w:r>
              <w:rPr>
                <w:sz w:val="18"/>
              </w:rPr>
            </w:r>
            <w:r>
              <w:rPr>
                <w:sz w:val="18"/>
              </w:rPr>
              <w:t>Individual Rights</w:t>
            </w:r>
          </w:p>
        </w:tc>
        <w:tc>
          <w:tcPr>
            <w:tcW w:type="dxa" w:w="3216"/>
            <w:vAlign w:val="top"/>
          </w:tcPr>
          <w:p>
            <w:r>
              <w:rPr>
                <w:sz w:val="18"/>
              </w:rPr>
            </w:r>
            <w:r>
              <w:rPr>
                <w:b/>
                <w:sz w:val="18"/>
              </w:rPr>
              <w:t>Partial</w:t>
            </w:r>
          </w:p>
        </w:tc>
        <w:tc>
          <w:tcPr>
            <w:tcW w:type="dxa" w:w="3216"/>
            <w:vAlign w:val="top"/>
          </w:tcPr>
          <w:p>
            <w:r>
              <w:rPr>
                <w:sz w:val="18"/>
              </w:rPr>
            </w:r>
            <w:r>
              <w:rPr>
                <w:sz w:val="18"/>
              </w:rPr>
              <w:t>Possible read-only access; no correction, deletion, withdrawal, ADM-review channel</w:t>
            </w:r>
          </w:p>
        </w:tc>
      </w:tr>
      <w:tr>
        <w:tc>
          <w:tcPr>
            <w:tcW w:type="dxa" w:w="3216"/>
            <w:vAlign w:val="top"/>
          </w:tcPr>
          <w:p>
            <w:r>
              <w:rPr>
                <w:sz w:val="18"/>
              </w:rPr>
            </w:r>
            <w:r>
              <w:rPr>
                <w:sz w:val="18"/>
              </w:rPr>
              <w:t>Accountability</w:t>
            </w:r>
          </w:p>
        </w:tc>
        <w:tc>
          <w:tcPr>
            <w:tcW w:type="dxa" w:w="3216"/>
            <w:vAlign w:val="top"/>
          </w:tcPr>
          <w:p>
            <w:r>
              <w:rPr>
                <w:sz w:val="18"/>
              </w:rPr>
            </w:r>
            <w:r>
              <w:rPr>
                <w:b/>
                <w:sz w:val="18"/>
              </w:rPr>
              <w:t>Partial</w:t>
            </w:r>
          </w:p>
        </w:tc>
        <w:tc>
          <w:tcPr>
            <w:tcW w:type="dxa" w:w="3216"/>
            <w:vAlign w:val="top"/>
          </w:tcPr>
          <w:p>
            <w:r>
              <w:rPr>
                <w:sz w:val="18"/>
              </w:rPr>
            </w:r>
            <w:r>
              <w:rPr>
                <w:sz w:val="18"/>
              </w:rPr>
              <w:t>Privacy Officer designated (acting); audit logs and breach response unconfirmed; vendor accountability unconfirmed</w:t>
            </w:r>
          </w:p>
        </w:tc>
      </w:tr>
    </w:tbl>
    <w:p>
      <w:r>
        <w:rPr>
          <w:b/>
        </w:rPr>
        <w:t>Overall Privacy by Design Rating: Inadequate (today).</w:t>
      </w:r>
      <w:r>
        <w:t xml:space="preserve"> Salvageable because design and build are still under way. Most items can be substantially addressed through the mitigations in Section 8 if acted upon now.</w:t>
      </w:r>
    </w:p>
    <w:p>
      <w:pPr>
        <w:pStyle w:val="Heading1"/>
      </w:pPr>
      <w:r>
        <w:t>Section 7 — Risk Register</w:t>
      </w:r>
    </w:p>
    <w:p>
      <w:r>
        <w:t>Likelihood scale: 1 = Unlikely · 2 = Possible · 3 = Likely.</w:t>
      </w:r>
    </w:p>
    <w:p>
      <w:r>
        <w:t>Impact scale: 1 = Minor inconvenience · 2 = Significant harm · 3 = Severe harm.</w:t>
      </w:r>
    </w:p>
    <w:p>
      <w:r>
        <w:t>Risk Score = L × I. Risk Level: 1–2 Low · 3–4 Medium · 6–9 High.</w:t>
      </w:r>
    </w:p>
    <w:tbl>
      <w:tblPr>
        <w:tblStyle w:val="LightGrid-Accent1"/>
        <w:tblW w:type="auto" w:w="0"/>
        <w:tblLayout w:type="autofit"/>
        <w:tblLook w:firstColumn="1" w:firstRow="1" w:lastColumn="0" w:lastRow="0" w:noHBand="0" w:noVBand="1" w:val="04A0"/>
      </w:tblPr>
      <w:tblGrid>
        <w:gridCol w:w="1378"/>
        <w:gridCol w:w="1378"/>
        <w:gridCol w:w="1378"/>
        <w:gridCol w:w="1378"/>
        <w:gridCol w:w="1378"/>
        <w:gridCol w:w="1378"/>
        <w:gridCol w:w="1378"/>
      </w:tblGrid>
      <w:tr>
        <w:tc>
          <w:tcPr>
            <w:tcW w:type="dxa" w:w="1378"/>
            <w:vAlign w:val="top"/>
            <w:shd w:val="clear" w:color="auto" w:fill="1F3864"/>
          </w:tcPr>
          <w:p>
            <w:r>
              <w:rPr>
                <w:b/>
                <w:color w:val="FFFFFF"/>
                <w:sz w:val="18"/>
              </w:rPr>
            </w:r>
            <w:r>
              <w:rPr>
                <w:b/>
                <w:color w:val="FFFFFF"/>
                <w:sz w:val="18"/>
              </w:rPr>
              <w:t>#</w:t>
            </w:r>
          </w:p>
        </w:tc>
        <w:tc>
          <w:tcPr>
            <w:tcW w:type="dxa" w:w="1378"/>
            <w:vAlign w:val="top"/>
            <w:shd w:val="clear" w:color="auto" w:fill="1F3864"/>
          </w:tcPr>
          <w:p>
            <w:r>
              <w:rPr>
                <w:b/>
                <w:color w:val="FFFFFF"/>
                <w:sz w:val="18"/>
              </w:rPr>
            </w:r>
            <w:r>
              <w:rPr>
                <w:b/>
                <w:color w:val="FFFFFF"/>
                <w:sz w:val="18"/>
              </w:rPr>
              <w:t>Risk Description</w:t>
            </w:r>
          </w:p>
        </w:tc>
        <w:tc>
          <w:tcPr>
            <w:tcW w:type="dxa" w:w="1378"/>
            <w:vAlign w:val="top"/>
            <w:shd w:val="clear" w:color="auto" w:fill="1F3864"/>
          </w:tcPr>
          <w:p>
            <w:r>
              <w:rPr>
                <w:b/>
                <w:color w:val="FFFFFF"/>
                <w:sz w:val="18"/>
              </w:rPr>
            </w:r>
            <w:r>
              <w:rPr>
                <w:b/>
                <w:color w:val="FFFFFF"/>
                <w:sz w:val="18"/>
              </w:rPr>
              <w:t>Category</w:t>
            </w:r>
          </w:p>
        </w:tc>
        <w:tc>
          <w:tcPr>
            <w:tcW w:type="dxa" w:w="1378"/>
            <w:vAlign w:val="top"/>
            <w:shd w:val="clear" w:color="auto" w:fill="1F3864"/>
          </w:tcPr>
          <w:p>
            <w:r>
              <w:rPr>
                <w:b/>
                <w:color w:val="FFFFFF"/>
                <w:sz w:val="18"/>
              </w:rPr>
            </w:r>
            <w:r>
              <w:rPr>
                <w:b/>
                <w:color w:val="FFFFFF"/>
                <w:sz w:val="18"/>
              </w:rPr>
              <w:t>L</w:t>
            </w:r>
          </w:p>
        </w:tc>
        <w:tc>
          <w:tcPr>
            <w:tcW w:type="dxa" w:w="1378"/>
            <w:vAlign w:val="top"/>
            <w:shd w:val="clear" w:color="auto" w:fill="1F3864"/>
          </w:tcPr>
          <w:p>
            <w:r>
              <w:rPr>
                <w:b/>
                <w:color w:val="FFFFFF"/>
                <w:sz w:val="18"/>
              </w:rPr>
            </w:r>
            <w:r>
              <w:rPr>
                <w:b/>
                <w:color w:val="FFFFFF"/>
                <w:sz w:val="18"/>
              </w:rPr>
              <w:t>I</w:t>
            </w:r>
          </w:p>
        </w:tc>
        <w:tc>
          <w:tcPr>
            <w:tcW w:type="dxa" w:w="1378"/>
            <w:vAlign w:val="top"/>
            <w:shd w:val="clear" w:color="auto" w:fill="1F3864"/>
          </w:tcPr>
          <w:p>
            <w:r>
              <w:rPr>
                <w:b/>
                <w:color w:val="FFFFFF"/>
                <w:sz w:val="18"/>
              </w:rPr>
            </w:r>
            <w:r>
              <w:rPr>
                <w:b/>
                <w:color w:val="FFFFFF"/>
                <w:sz w:val="18"/>
              </w:rPr>
              <w:t>Score</w:t>
            </w:r>
          </w:p>
        </w:tc>
        <w:tc>
          <w:tcPr>
            <w:tcW w:type="dxa" w:w="1378"/>
            <w:vAlign w:val="top"/>
            <w:shd w:val="clear" w:color="auto" w:fill="1F3864"/>
          </w:tcPr>
          <w:p>
            <w:r>
              <w:rPr>
                <w:b/>
                <w:color w:val="FFFFFF"/>
                <w:sz w:val="18"/>
              </w:rPr>
            </w:r>
            <w:r>
              <w:rPr>
                <w:b/>
                <w:color w:val="FFFFFF"/>
                <w:sz w:val="18"/>
              </w:rPr>
              <w:t>Level</w:t>
            </w:r>
          </w:p>
        </w:tc>
      </w:tr>
      <w:tr>
        <w:tc>
          <w:tcPr>
            <w:tcW w:type="dxa" w:w="1378"/>
            <w:vAlign w:val="top"/>
          </w:tcPr>
          <w:p>
            <w:r>
              <w:rPr>
                <w:sz w:val="18"/>
              </w:rPr>
            </w:r>
            <w:r>
              <w:rPr>
                <w:sz w:val="18"/>
              </w:rPr>
              <w:t>R1</w:t>
            </w:r>
          </w:p>
        </w:tc>
        <w:tc>
          <w:tcPr>
            <w:tcW w:type="dxa" w:w="1378"/>
            <w:vAlign w:val="top"/>
          </w:tcPr>
          <w:p>
            <w:r>
              <w:rPr>
                <w:sz w:val="18"/>
              </w:rPr>
            </w:r>
            <w:r>
              <w:rPr>
                <w:sz w:val="18"/>
              </w:rPr>
              <w:t>Unlawful biometric collection in Quebec — pilot proceeds without CAI declaration (IT Framework Act, s. 45) and without transfer-specific PIA (Law 25, s. 17)</w:t>
            </w:r>
          </w:p>
        </w:tc>
        <w:tc>
          <w:tcPr>
            <w:tcW w:type="dxa" w:w="1378"/>
            <w:vAlign w:val="top"/>
          </w:tcPr>
          <w:p>
            <w:r>
              <w:rPr>
                <w:sz w:val="18"/>
              </w:rPr>
            </w:r>
            <w:r>
              <w:rPr>
                <w:sz w:val="18"/>
              </w:rPr>
              <w:t>Regulatory</w:t>
            </w:r>
          </w:p>
        </w:tc>
        <w:tc>
          <w:tcPr>
            <w:tcW w:type="dxa" w:w="1378"/>
            <w:vAlign w:val="top"/>
          </w:tcPr>
          <w:p>
            <w:r>
              <w:rPr>
                <w:sz w:val="18"/>
              </w:rPr>
            </w:r>
            <w:r>
              <w:rPr>
                <w:sz w:val="18"/>
              </w:rPr>
              <w:t>3</w:t>
            </w:r>
          </w:p>
        </w:tc>
        <w:tc>
          <w:tcPr>
            <w:tcW w:type="dxa" w:w="1378"/>
            <w:vAlign w:val="top"/>
          </w:tcPr>
          <w:p>
            <w:r>
              <w:rPr>
                <w:sz w:val="18"/>
              </w:rPr>
            </w:r>
            <w:r>
              <w:rPr>
                <w:sz w:val="18"/>
              </w:rPr>
              <w:t>3</w:t>
            </w:r>
          </w:p>
        </w:tc>
        <w:tc>
          <w:tcPr>
            <w:tcW w:type="dxa" w:w="1378"/>
            <w:vAlign w:val="top"/>
          </w:tcPr>
          <w:p>
            <w:r>
              <w:rPr>
                <w:sz w:val="18"/>
              </w:rPr>
            </w:r>
            <w:r>
              <w:rPr>
                <w:sz w:val="18"/>
              </w:rPr>
              <w:t>9</w:t>
            </w:r>
          </w:p>
        </w:tc>
        <w:tc>
          <w:tcPr>
            <w:tcW w:type="dxa" w:w="1378"/>
            <w:vAlign w:val="top"/>
          </w:tcPr>
          <w:p>
            <w:r>
              <w:rPr>
                <w:sz w:val="18"/>
              </w:rPr>
            </w:r>
            <w:r>
              <w:rPr>
                <w:sz w:val="18"/>
              </w:rPr>
              <w:t>High</w:t>
            </w:r>
          </w:p>
        </w:tc>
      </w:tr>
      <w:tr>
        <w:tc>
          <w:tcPr>
            <w:tcW w:type="dxa" w:w="1378"/>
            <w:vAlign w:val="top"/>
          </w:tcPr>
          <w:p>
            <w:r>
              <w:rPr>
                <w:sz w:val="18"/>
              </w:rPr>
            </w:r>
            <w:r>
              <w:rPr>
                <w:sz w:val="18"/>
              </w:rPr>
              <w:t>R2</w:t>
            </w:r>
          </w:p>
        </w:tc>
        <w:tc>
          <w:tcPr>
            <w:tcW w:type="dxa" w:w="1378"/>
            <w:vAlign w:val="top"/>
          </w:tcPr>
          <w:p>
            <w:r>
              <w:rPr>
                <w:sz w:val="18"/>
              </w:rPr>
            </w:r>
            <w:r>
              <w:rPr>
                <w:sz w:val="18"/>
              </w:rPr>
              <w:t>Failure of meaningful consent / proportionality for continuous workplace biometric surveillance — current notice plan (sticker + 1–2 weeks) is below the threshold under PIPEDA s. 6.1 / Sch. 1 Principle 4.3 and Alberta PIPA s. 15 / BC PIPA s. 13</w:t>
            </w:r>
          </w:p>
        </w:tc>
        <w:tc>
          <w:tcPr>
            <w:tcW w:type="dxa" w:w="1378"/>
            <w:vAlign w:val="top"/>
          </w:tcPr>
          <w:p>
            <w:r>
              <w:rPr>
                <w:sz w:val="18"/>
              </w:rPr>
            </w:r>
            <w:r>
              <w:rPr>
                <w:sz w:val="18"/>
              </w:rPr>
              <w:t>Regulatory / Individual</w:t>
            </w:r>
          </w:p>
        </w:tc>
        <w:tc>
          <w:tcPr>
            <w:tcW w:type="dxa" w:w="1378"/>
            <w:vAlign w:val="top"/>
          </w:tcPr>
          <w:p>
            <w:r>
              <w:rPr>
                <w:sz w:val="18"/>
              </w:rPr>
            </w:r>
            <w:r>
              <w:rPr>
                <w:sz w:val="18"/>
              </w:rPr>
              <w:t>3</w:t>
            </w:r>
          </w:p>
        </w:tc>
        <w:tc>
          <w:tcPr>
            <w:tcW w:type="dxa" w:w="1378"/>
            <w:vAlign w:val="top"/>
          </w:tcPr>
          <w:p>
            <w:r>
              <w:rPr>
                <w:sz w:val="18"/>
              </w:rPr>
            </w:r>
            <w:r>
              <w:rPr>
                <w:sz w:val="18"/>
              </w:rPr>
              <w:t>3</w:t>
            </w:r>
          </w:p>
        </w:tc>
        <w:tc>
          <w:tcPr>
            <w:tcW w:type="dxa" w:w="1378"/>
            <w:vAlign w:val="top"/>
          </w:tcPr>
          <w:p>
            <w:r>
              <w:rPr>
                <w:sz w:val="18"/>
              </w:rPr>
            </w:r>
            <w:r>
              <w:rPr>
                <w:sz w:val="18"/>
              </w:rPr>
              <w:t>9</w:t>
            </w:r>
          </w:p>
        </w:tc>
        <w:tc>
          <w:tcPr>
            <w:tcW w:type="dxa" w:w="1378"/>
            <w:vAlign w:val="top"/>
          </w:tcPr>
          <w:p>
            <w:r>
              <w:rPr>
                <w:sz w:val="18"/>
              </w:rPr>
            </w:r>
            <w:r>
              <w:rPr>
                <w:sz w:val="18"/>
              </w:rPr>
              <w:t>High</w:t>
            </w:r>
          </w:p>
        </w:tc>
      </w:tr>
      <w:tr>
        <w:tc>
          <w:tcPr>
            <w:tcW w:type="dxa" w:w="1378"/>
            <w:vAlign w:val="top"/>
          </w:tcPr>
          <w:p>
            <w:r>
              <w:rPr>
                <w:sz w:val="18"/>
              </w:rPr>
            </w:r>
            <w:r>
              <w:rPr>
                <w:sz w:val="18"/>
              </w:rPr>
              <w:t>R3</w:t>
            </w:r>
          </w:p>
        </w:tc>
        <w:tc>
          <w:tcPr>
            <w:tcW w:type="dxa" w:w="1378"/>
            <w:vAlign w:val="top"/>
          </w:tcPr>
          <w:p>
            <w:r>
              <w:rPr>
                <w:sz w:val="18"/>
              </w:rPr>
            </w:r>
            <w:r>
              <w:rPr>
                <w:sz w:val="18"/>
              </w:rPr>
              <w:t>No human-in-the-loop review of automated decisions — inconsistent with Quebec Law 25 s. 12.1; risk of incorrect lockout/discipline with no redress</w:t>
            </w:r>
          </w:p>
        </w:tc>
        <w:tc>
          <w:tcPr>
            <w:tcW w:type="dxa" w:w="1378"/>
            <w:vAlign w:val="top"/>
          </w:tcPr>
          <w:p>
            <w:r>
              <w:rPr>
                <w:sz w:val="18"/>
              </w:rPr>
            </w:r>
            <w:r>
              <w:rPr>
                <w:sz w:val="18"/>
              </w:rPr>
              <w:t>Individual / Regulatory</w:t>
            </w:r>
          </w:p>
        </w:tc>
        <w:tc>
          <w:tcPr>
            <w:tcW w:type="dxa" w:w="1378"/>
            <w:vAlign w:val="top"/>
          </w:tcPr>
          <w:p>
            <w:r>
              <w:rPr>
                <w:sz w:val="18"/>
              </w:rPr>
            </w:r>
            <w:r>
              <w:rPr>
                <w:sz w:val="18"/>
              </w:rPr>
              <w:t>3</w:t>
            </w:r>
          </w:p>
        </w:tc>
        <w:tc>
          <w:tcPr>
            <w:tcW w:type="dxa" w:w="1378"/>
            <w:vAlign w:val="top"/>
          </w:tcPr>
          <w:p>
            <w:r>
              <w:rPr>
                <w:sz w:val="18"/>
              </w:rPr>
            </w:r>
            <w:r>
              <w:rPr>
                <w:sz w:val="18"/>
              </w:rPr>
              <w:t>3</w:t>
            </w:r>
          </w:p>
        </w:tc>
        <w:tc>
          <w:tcPr>
            <w:tcW w:type="dxa" w:w="1378"/>
            <w:vAlign w:val="top"/>
          </w:tcPr>
          <w:p>
            <w:r>
              <w:rPr>
                <w:sz w:val="18"/>
              </w:rPr>
            </w:r>
            <w:r>
              <w:rPr>
                <w:sz w:val="18"/>
              </w:rPr>
              <w:t>9</w:t>
            </w:r>
          </w:p>
        </w:tc>
        <w:tc>
          <w:tcPr>
            <w:tcW w:type="dxa" w:w="1378"/>
            <w:vAlign w:val="top"/>
          </w:tcPr>
          <w:p>
            <w:r>
              <w:rPr>
                <w:sz w:val="18"/>
              </w:rPr>
            </w:r>
            <w:r>
              <w:rPr>
                <w:sz w:val="18"/>
              </w:rPr>
              <w:t>High</w:t>
            </w:r>
          </w:p>
        </w:tc>
      </w:tr>
      <w:tr>
        <w:tc>
          <w:tcPr>
            <w:tcW w:type="dxa" w:w="1378"/>
            <w:vAlign w:val="top"/>
          </w:tcPr>
          <w:p>
            <w:r>
              <w:rPr>
                <w:sz w:val="18"/>
              </w:rPr>
            </w:r>
            <w:r>
              <w:rPr>
                <w:sz w:val="18"/>
              </w:rPr>
              <w:t>R4</w:t>
            </w:r>
          </w:p>
        </w:tc>
        <w:tc>
          <w:tcPr>
            <w:tcW w:type="dxa" w:w="1378"/>
            <w:vAlign w:val="top"/>
          </w:tcPr>
          <w:p>
            <w:r>
              <w:rPr>
                <w:sz w:val="18"/>
              </w:rPr>
            </w:r>
            <w:r>
              <w:rPr>
                <w:sz w:val="18"/>
              </w:rPr>
              <w:t>False positives from skin-chemistry sensor — medication, illness, sanitizer, environmental factors trigger lockout or discipline</w:t>
            </w:r>
          </w:p>
        </w:tc>
        <w:tc>
          <w:tcPr>
            <w:tcW w:type="dxa" w:w="1378"/>
            <w:vAlign w:val="top"/>
          </w:tcPr>
          <w:p>
            <w:r>
              <w:rPr>
                <w:sz w:val="18"/>
              </w:rPr>
            </w:r>
            <w:r>
              <w:rPr>
                <w:sz w:val="18"/>
              </w:rPr>
              <w:t>Individual harm</w:t>
            </w:r>
          </w:p>
        </w:tc>
        <w:tc>
          <w:tcPr>
            <w:tcW w:type="dxa" w:w="1378"/>
            <w:vAlign w:val="top"/>
          </w:tcPr>
          <w:p>
            <w:r>
              <w:rPr>
                <w:sz w:val="18"/>
              </w:rPr>
            </w:r>
            <w:r>
              <w:rPr>
                <w:sz w:val="18"/>
              </w:rPr>
              <w:t>3</w:t>
            </w:r>
          </w:p>
        </w:tc>
        <w:tc>
          <w:tcPr>
            <w:tcW w:type="dxa" w:w="1378"/>
            <w:vAlign w:val="top"/>
          </w:tcPr>
          <w:p>
            <w:r>
              <w:rPr>
                <w:sz w:val="18"/>
              </w:rPr>
            </w:r>
            <w:r>
              <w:rPr>
                <w:sz w:val="18"/>
              </w:rPr>
              <w:t>2</w:t>
            </w:r>
          </w:p>
        </w:tc>
        <w:tc>
          <w:tcPr>
            <w:tcW w:type="dxa" w:w="1378"/>
            <w:vAlign w:val="top"/>
          </w:tcPr>
          <w:p>
            <w:r>
              <w:rPr>
                <w:sz w:val="18"/>
              </w:rPr>
            </w:r>
            <w:r>
              <w:rPr>
                <w:sz w:val="18"/>
              </w:rPr>
              <w:t>6</w:t>
            </w:r>
          </w:p>
        </w:tc>
        <w:tc>
          <w:tcPr>
            <w:tcW w:type="dxa" w:w="1378"/>
            <w:vAlign w:val="top"/>
          </w:tcPr>
          <w:p>
            <w:r>
              <w:rPr>
                <w:sz w:val="18"/>
              </w:rPr>
            </w:r>
            <w:r>
              <w:rPr>
                <w:sz w:val="18"/>
              </w:rPr>
              <w:t>High</w:t>
            </w:r>
          </w:p>
        </w:tc>
      </w:tr>
      <w:tr>
        <w:tc>
          <w:tcPr>
            <w:tcW w:type="dxa" w:w="1378"/>
            <w:vAlign w:val="top"/>
          </w:tcPr>
          <w:p>
            <w:r>
              <w:rPr>
                <w:sz w:val="18"/>
              </w:rPr>
            </w:r>
            <w:r>
              <w:rPr>
                <w:sz w:val="18"/>
              </w:rPr>
              <w:t>R5</w:t>
            </w:r>
          </w:p>
        </w:tc>
        <w:tc>
          <w:tcPr>
            <w:tcW w:type="dxa" w:w="1378"/>
            <w:vAlign w:val="top"/>
          </w:tcPr>
          <w:p>
            <w:r>
              <w:rPr>
                <w:sz w:val="18"/>
              </w:rPr>
            </w:r>
            <w:r>
              <w:rPr>
                <w:sz w:val="18"/>
              </w:rPr>
              <w:t>U.S. CLOUD Act / cross-border exposure — U.S. vendor compelled to disclose Canadian driver biometric data to U.S. authorities</w:t>
            </w:r>
          </w:p>
        </w:tc>
        <w:tc>
          <w:tcPr>
            <w:tcW w:type="dxa" w:w="1378"/>
            <w:vAlign w:val="top"/>
          </w:tcPr>
          <w:p>
            <w:r>
              <w:rPr>
                <w:sz w:val="18"/>
              </w:rPr>
            </w:r>
            <w:r>
              <w:rPr>
                <w:sz w:val="18"/>
              </w:rPr>
              <w:t>Regulatory / Individual</w:t>
            </w:r>
          </w:p>
        </w:tc>
        <w:tc>
          <w:tcPr>
            <w:tcW w:type="dxa" w:w="1378"/>
            <w:vAlign w:val="top"/>
          </w:tcPr>
          <w:p>
            <w:r>
              <w:rPr>
                <w:sz w:val="18"/>
              </w:rPr>
            </w:r>
            <w:r>
              <w:rPr>
                <w:sz w:val="18"/>
              </w:rPr>
              <w:t>2</w:t>
            </w:r>
          </w:p>
        </w:tc>
        <w:tc>
          <w:tcPr>
            <w:tcW w:type="dxa" w:w="1378"/>
            <w:vAlign w:val="top"/>
          </w:tcPr>
          <w:p>
            <w:r>
              <w:rPr>
                <w:sz w:val="18"/>
              </w:rPr>
            </w:r>
            <w:r>
              <w:rPr>
                <w:sz w:val="18"/>
              </w:rPr>
              <w:t>3</w:t>
            </w:r>
          </w:p>
        </w:tc>
        <w:tc>
          <w:tcPr>
            <w:tcW w:type="dxa" w:w="1378"/>
            <w:vAlign w:val="top"/>
          </w:tcPr>
          <w:p>
            <w:r>
              <w:rPr>
                <w:sz w:val="18"/>
              </w:rPr>
            </w:r>
            <w:r>
              <w:rPr>
                <w:sz w:val="18"/>
              </w:rPr>
              <w:t>6</w:t>
            </w:r>
          </w:p>
        </w:tc>
        <w:tc>
          <w:tcPr>
            <w:tcW w:type="dxa" w:w="1378"/>
            <w:vAlign w:val="top"/>
          </w:tcPr>
          <w:p>
            <w:r>
              <w:rPr>
                <w:sz w:val="18"/>
              </w:rPr>
            </w:r>
            <w:r>
              <w:rPr>
                <w:sz w:val="18"/>
              </w:rPr>
              <w:t>High</w:t>
            </w:r>
          </w:p>
        </w:tc>
      </w:tr>
      <w:tr>
        <w:tc>
          <w:tcPr>
            <w:tcW w:type="dxa" w:w="1378"/>
            <w:vAlign w:val="top"/>
          </w:tcPr>
          <w:p>
            <w:r>
              <w:rPr>
                <w:sz w:val="18"/>
              </w:rPr>
            </w:r>
            <w:r>
              <w:rPr>
                <w:sz w:val="18"/>
              </w:rPr>
              <w:t>R6</w:t>
            </w:r>
          </w:p>
        </w:tc>
        <w:tc>
          <w:tcPr>
            <w:tcW w:type="dxa" w:w="1378"/>
            <w:vAlign w:val="top"/>
          </w:tcPr>
          <w:p>
            <w:r>
              <w:rPr>
                <w:sz w:val="18"/>
              </w:rPr>
            </w:r>
            <w:r>
              <w:rPr>
                <w:sz w:val="18"/>
              </w:rPr>
              <w:t>Unbounded secondary use — vendor model training, data sharing, insurance/police disclosure not disclosed to drivers</w:t>
            </w:r>
          </w:p>
        </w:tc>
        <w:tc>
          <w:tcPr>
            <w:tcW w:type="dxa" w:w="1378"/>
            <w:vAlign w:val="top"/>
          </w:tcPr>
          <w:p>
            <w:r>
              <w:rPr>
                <w:sz w:val="18"/>
              </w:rPr>
            </w:r>
            <w:r>
              <w:rPr>
                <w:sz w:val="18"/>
              </w:rPr>
              <w:t>Regulatory</w:t>
            </w:r>
          </w:p>
        </w:tc>
        <w:tc>
          <w:tcPr>
            <w:tcW w:type="dxa" w:w="1378"/>
            <w:vAlign w:val="top"/>
          </w:tcPr>
          <w:p>
            <w:r>
              <w:rPr>
                <w:sz w:val="18"/>
              </w:rPr>
            </w:r>
            <w:r>
              <w:rPr>
                <w:sz w:val="18"/>
              </w:rPr>
              <w:t>3</w:t>
            </w:r>
          </w:p>
        </w:tc>
        <w:tc>
          <w:tcPr>
            <w:tcW w:type="dxa" w:w="1378"/>
            <w:vAlign w:val="top"/>
          </w:tcPr>
          <w:p>
            <w:r>
              <w:rPr>
                <w:sz w:val="18"/>
              </w:rPr>
            </w:r>
            <w:r>
              <w:rPr>
                <w:sz w:val="18"/>
              </w:rPr>
              <w:t>2</w:t>
            </w:r>
          </w:p>
        </w:tc>
        <w:tc>
          <w:tcPr>
            <w:tcW w:type="dxa" w:w="1378"/>
            <w:vAlign w:val="top"/>
          </w:tcPr>
          <w:p>
            <w:r>
              <w:rPr>
                <w:sz w:val="18"/>
              </w:rPr>
            </w:r>
            <w:r>
              <w:rPr>
                <w:sz w:val="18"/>
              </w:rPr>
              <w:t>6</w:t>
            </w:r>
          </w:p>
        </w:tc>
        <w:tc>
          <w:tcPr>
            <w:tcW w:type="dxa" w:w="1378"/>
            <w:vAlign w:val="top"/>
          </w:tcPr>
          <w:p>
            <w:r>
              <w:rPr>
                <w:sz w:val="18"/>
              </w:rPr>
            </w:r>
            <w:r>
              <w:rPr>
                <w:sz w:val="18"/>
              </w:rPr>
              <w:t>High</w:t>
            </w:r>
          </w:p>
        </w:tc>
      </w:tr>
      <w:tr>
        <w:tc>
          <w:tcPr>
            <w:tcW w:type="dxa" w:w="1378"/>
            <w:vAlign w:val="top"/>
          </w:tcPr>
          <w:p>
            <w:r>
              <w:rPr>
                <w:sz w:val="18"/>
              </w:rPr>
            </w:r>
            <w:r>
              <w:rPr>
                <w:sz w:val="18"/>
              </w:rPr>
              <w:t>R7</w:t>
            </w:r>
          </w:p>
        </w:tc>
        <w:tc>
          <w:tcPr>
            <w:tcW w:type="dxa" w:w="1378"/>
            <w:vAlign w:val="top"/>
          </w:tcPr>
          <w:p>
            <w:r>
              <w:rPr>
                <w:sz w:val="18"/>
              </w:rPr>
            </w:r>
            <w:r>
              <w:rPr>
                <w:sz w:val="18"/>
              </w:rPr>
              <w:t>Inadequate vendor contract — sub-processor controls, breach-notification timelines, audit rights, return/destruction not confirmed</w:t>
            </w:r>
          </w:p>
        </w:tc>
        <w:tc>
          <w:tcPr>
            <w:tcW w:type="dxa" w:w="1378"/>
            <w:vAlign w:val="top"/>
          </w:tcPr>
          <w:p>
            <w:r>
              <w:rPr>
                <w:sz w:val="18"/>
              </w:rPr>
            </w:r>
            <w:r>
              <w:rPr>
                <w:sz w:val="18"/>
              </w:rPr>
              <w:t>Regulatory / Operational</w:t>
            </w:r>
          </w:p>
        </w:tc>
        <w:tc>
          <w:tcPr>
            <w:tcW w:type="dxa" w:w="1378"/>
            <w:vAlign w:val="top"/>
          </w:tcPr>
          <w:p>
            <w:r>
              <w:rPr>
                <w:sz w:val="18"/>
              </w:rPr>
            </w:r>
            <w:r>
              <w:rPr>
                <w:sz w:val="18"/>
              </w:rPr>
              <w:t>3</w:t>
            </w:r>
          </w:p>
        </w:tc>
        <w:tc>
          <w:tcPr>
            <w:tcW w:type="dxa" w:w="1378"/>
            <w:vAlign w:val="top"/>
          </w:tcPr>
          <w:p>
            <w:r>
              <w:rPr>
                <w:sz w:val="18"/>
              </w:rPr>
            </w:r>
            <w:r>
              <w:rPr>
                <w:sz w:val="18"/>
              </w:rPr>
              <w:t>2</w:t>
            </w:r>
          </w:p>
        </w:tc>
        <w:tc>
          <w:tcPr>
            <w:tcW w:type="dxa" w:w="1378"/>
            <w:vAlign w:val="top"/>
          </w:tcPr>
          <w:p>
            <w:r>
              <w:rPr>
                <w:sz w:val="18"/>
              </w:rPr>
            </w:r>
            <w:r>
              <w:rPr>
                <w:sz w:val="18"/>
              </w:rPr>
              <w:t>6</w:t>
            </w:r>
          </w:p>
        </w:tc>
        <w:tc>
          <w:tcPr>
            <w:tcW w:type="dxa" w:w="1378"/>
            <w:vAlign w:val="top"/>
          </w:tcPr>
          <w:p>
            <w:r>
              <w:rPr>
                <w:sz w:val="18"/>
              </w:rPr>
            </w:r>
            <w:r>
              <w:rPr>
                <w:sz w:val="18"/>
              </w:rPr>
              <w:t>High</w:t>
            </w:r>
          </w:p>
        </w:tc>
      </w:tr>
      <w:tr>
        <w:tc>
          <w:tcPr>
            <w:tcW w:type="dxa" w:w="1378"/>
            <w:vAlign w:val="top"/>
          </w:tcPr>
          <w:p>
            <w:r>
              <w:rPr>
                <w:sz w:val="18"/>
              </w:rPr>
            </w:r>
            <w:r>
              <w:rPr>
                <w:sz w:val="18"/>
              </w:rPr>
              <w:t>R8</w:t>
            </w:r>
          </w:p>
        </w:tc>
        <w:tc>
          <w:tcPr>
            <w:tcW w:type="dxa" w:w="1378"/>
            <w:vAlign w:val="top"/>
          </w:tcPr>
          <w:p>
            <w:r>
              <w:rPr>
                <w:sz w:val="18"/>
              </w:rPr>
            </w:r>
            <w:r>
              <w:rPr>
                <w:sz w:val="18"/>
              </w:rPr>
              <w:t>No defined retention rule for raw biometric data — open-ended retention violates PIPEDA Sch. 1 Principle 4.5 and Quebec Law 25 s. 23</w:t>
            </w:r>
          </w:p>
        </w:tc>
        <w:tc>
          <w:tcPr>
            <w:tcW w:type="dxa" w:w="1378"/>
            <w:vAlign w:val="top"/>
          </w:tcPr>
          <w:p>
            <w:r>
              <w:rPr>
                <w:sz w:val="18"/>
              </w:rPr>
            </w:r>
            <w:r>
              <w:rPr>
                <w:sz w:val="18"/>
              </w:rPr>
              <w:t>Regulatory</w:t>
            </w:r>
          </w:p>
        </w:tc>
        <w:tc>
          <w:tcPr>
            <w:tcW w:type="dxa" w:w="1378"/>
            <w:vAlign w:val="top"/>
          </w:tcPr>
          <w:p>
            <w:r>
              <w:rPr>
                <w:sz w:val="18"/>
              </w:rPr>
            </w:r>
            <w:r>
              <w:rPr>
                <w:sz w:val="18"/>
              </w:rPr>
              <w:t>3</w:t>
            </w:r>
          </w:p>
        </w:tc>
        <w:tc>
          <w:tcPr>
            <w:tcW w:type="dxa" w:w="1378"/>
            <w:vAlign w:val="top"/>
          </w:tcPr>
          <w:p>
            <w:r>
              <w:rPr>
                <w:sz w:val="18"/>
              </w:rPr>
            </w:r>
            <w:r>
              <w:rPr>
                <w:sz w:val="18"/>
              </w:rPr>
              <w:t>2</w:t>
            </w:r>
          </w:p>
        </w:tc>
        <w:tc>
          <w:tcPr>
            <w:tcW w:type="dxa" w:w="1378"/>
            <w:vAlign w:val="top"/>
          </w:tcPr>
          <w:p>
            <w:r>
              <w:rPr>
                <w:sz w:val="18"/>
              </w:rPr>
            </w:r>
            <w:r>
              <w:rPr>
                <w:sz w:val="18"/>
              </w:rPr>
              <w:t>6</w:t>
            </w:r>
          </w:p>
        </w:tc>
        <w:tc>
          <w:tcPr>
            <w:tcW w:type="dxa" w:w="1378"/>
            <w:vAlign w:val="top"/>
          </w:tcPr>
          <w:p>
            <w:r>
              <w:rPr>
                <w:sz w:val="18"/>
              </w:rPr>
            </w:r>
            <w:r>
              <w:rPr>
                <w:sz w:val="18"/>
              </w:rPr>
              <w:t>High</w:t>
            </w:r>
          </w:p>
        </w:tc>
      </w:tr>
      <w:tr>
        <w:tc>
          <w:tcPr>
            <w:tcW w:type="dxa" w:w="1378"/>
            <w:vAlign w:val="top"/>
          </w:tcPr>
          <w:p>
            <w:r>
              <w:rPr>
                <w:sz w:val="18"/>
              </w:rPr>
            </w:r>
            <w:r>
              <w:rPr>
                <w:sz w:val="18"/>
              </w:rPr>
              <w:t>R9</w:t>
            </w:r>
          </w:p>
        </w:tc>
        <w:tc>
          <w:tcPr>
            <w:tcW w:type="dxa" w:w="1378"/>
            <w:vAlign w:val="top"/>
          </w:tcPr>
          <w:p>
            <w:r>
              <w:rPr>
                <w:sz w:val="18"/>
              </w:rPr>
            </w:r>
            <w:r>
              <w:rPr>
                <w:sz w:val="18"/>
              </w:rPr>
              <w:t>Contractor consent gap — contractors and contractor sub-employees not covered by employee-monitoring statutory shortcuts</w:t>
            </w:r>
          </w:p>
        </w:tc>
        <w:tc>
          <w:tcPr>
            <w:tcW w:type="dxa" w:w="1378"/>
            <w:vAlign w:val="top"/>
          </w:tcPr>
          <w:p>
            <w:r>
              <w:rPr>
                <w:sz w:val="18"/>
              </w:rPr>
            </w:r>
            <w:r>
              <w:rPr>
                <w:sz w:val="18"/>
              </w:rPr>
              <w:t>Regulatory</w:t>
            </w:r>
          </w:p>
        </w:tc>
        <w:tc>
          <w:tcPr>
            <w:tcW w:type="dxa" w:w="1378"/>
            <w:vAlign w:val="top"/>
          </w:tcPr>
          <w:p>
            <w:r>
              <w:rPr>
                <w:sz w:val="18"/>
              </w:rPr>
            </w:r>
            <w:r>
              <w:rPr>
                <w:sz w:val="18"/>
              </w:rPr>
              <w:t>3</w:t>
            </w:r>
          </w:p>
        </w:tc>
        <w:tc>
          <w:tcPr>
            <w:tcW w:type="dxa" w:w="1378"/>
            <w:vAlign w:val="top"/>
          </w:tcPr>
          <w:p>
            <w:r>
              <w:rPr>
                <w:sz w:val="18"/>
              </w:rPr>
            </w:r>
            <w:r>
              <w:rPr>
                <w:sz w:val="18"/>
              </w:rPr>
              <w:t>2</w:t>
            </w:r>
          </w:p>
        </w:tc>
        <w:tc>
          <w:tcPr>
            <w:tcW w:type="dxa" w:w="1378"/>
            <w:vAlign w:val="top"/>
          </w:tcPr>
          <w:p>
            <w:r>
              <w:rPr>
                <w:sz w:val="18"/>
              </w:rPr>
            </w:r>
            <w:r>
              <w:rPr>
                <w:sz w:val="18"/>
              </w:rPr>
              <w:t>6</w:t>
            </w:r>
          </w:p>
        </w:tc>
        <w:tc>
          <w:tcPr>
            <w:tcW w:type="dxa" w:w="1378"/>
            <w:vAlign w:val="top"/>
          </w:tcPr>
          <w:p>
            <w:r>
              <w:rPr>
                <w:sz w:val="18"/>
              </w:rPr>
            </w:r>
            <w:r>
              <w:rPr>
                <w:sz w:val="18"/>
              </w:rPr>
              <w:t>High</w:t>
            </w:r>
          </w:p>
        </w:tc>
      </w:tr>
      <w:tr>
        <w:tc>
          <w:tcPr>
            <w:tcW w:type="dxa" w:w="1378"/>
            <w:vAlign w:val="top"/>
          </w:tcPr>
          <w:p>
            <w:r>
              <w:rPr>
                <w:sz w:val="18"/>
              </w:rPr>
            </w:r>
            <w:r>
              <w:rPr>
                <w:sz w:val="18"/>
              </w:rPr>
              <w:t>R10</w:t>
            </w:r>
          </w:p>
        </w:tc>
        <w:tc>
          <w:tcPr>
            <w:tcW w:type="dxa" w:w="1378"/>
            <w:vAlign w:val="top"/>
          </w:tcPr>
          <w:p>
            <w:r>
              <w:rPr>
                <w:sz w:val="18"/>
              </w:rPr>
            </w:r>
            <w:r>
              <w:rPr>
                <w:sz w:val="18"/>
              </w:rPr>
              <w:t>Data breach at vendor or in transit — biometric data is a high-value target; no confirmed safeguards</w:t>
            </w:r>
          </w:p>
        </w:tc>
        <w:tc>
          <w:tcPr>
            <w:tcW w:type="dxa" w:w="1378"/>
            <w:vAlign w:val="top"/>
          </w:tcPr>
          <w:p>
            <w:r>
              <w:rPr>
                <w:sz w:val="18"/>
              </w:rPr>
            </w:r>
            <w:r>
              <w:rPr>
                <w:sz w:val="18"/>
              </w:rPr>
              <w:t>Security / Individual</w:t>
            </w:r>
          </w:p>
        </w:tc>
        <w:tc>
          <w:tcPr>
            <w:tcW w:type="dxa" w:w="1378"/>
            <w:vAlign w:val="top"/>
          </w:tcPr>
          <w:p>
            <w:r>
              <w:rPr>
                <w:sz w:val="18"/>
              </w:rPr>
            </w:r>
            <w:r>
              <w:rPr>
                <w:sz w:val="18"/>
              </w:rPr>
              <w:t>2</w:t>
            </w:r>
          </w:p>
        </w:tc>
        <w:tc>
          <w:tcPr>
            <w:tcW w:type="dxa" w:w="1378"/>
            <w:vAlign w:val="top"/>
          </w:tcPr>
          <w:p>
            <w:r>
              <w:rPr>
                <w:sz w:val="18"/>
              </w:rPr>
            </w:r>
            <w:r>
              <w:rPr>
                <w:sz w:val="18"/>
              </w:rPr>
              <w:t>3</w:t>
            </w:r>
          </w:p>
        </w:tc>
        <w:tc>
          <w:tcPr>
            <w:tcW w:type="dxa" w:w="1378"/>
            <w:vAlign w:val="top"/>
          </w:tcPr>
          <w:p>
            <w:r>
              <w:rPr>
                <w:sz w:val="18"/>
              </w:rPr>
            </w:r>
            <w:r>
              <w:rPr>
                <w:sz w:val="18"/>
              </w:rPr>
              <w:t>6</w:t>
            </w:r>
          </w:p>
        </w:tc>
        <w:tc>
          <w:tcPr>
            <w:tcW w:type="dxa" w:w="1378"/>
            <w:vAlign w:val="top"/>
          </w:tcPr>
          <w:p>
            <w:r>
              <w:rPr>
                <w:sz w:val="18"/>
              </w:rPr>
            </w:r>
            <w:r>
              <w:rPr>
                <w:sz w:val="18"/>
              </w:rPr>
              <w:t>High</w:t>
            </w:r>
          </w:p>
        </w:tc>
      </w:tr>
      <w:tr>
        <w:tc>
          <w:tcPr>
            <w:tcW w:type="dxa" w:w="1378"/>
            <w:vAlign w:val="top"/>
          </w:tcPr>
          <w:p>
            <w:r>
              <w:rPr>
                <w:sz w:val="18"/>
              </w:rPr>
            </w:r>
            <w:r>
              <w:rPr>
                <w:sz w:val="18"/>
              </w:rPr>
              <w:t>R11</w:t>
            </w:r>
          </w:p>
        </w:tc>
        <w:tc>
          <w:tcPr>
            <w:tcW w:type="dxa" w:w="1378"/>
            <w:vAlign w:val="top"/>
          </w:tcPr>
          <w:p>
            <w:r>
              <w:rPr>
                <w:sz w:val="18"/>
              </w:rPr>
            </w:r>
            <w:r>
              <w:rPr>
                <w:sz w:val="18"/>
              </w:rPr>
              <w:t>Re-identification / linkage risk from combined biometric + GPS + telematics + identity profile</w:t>
            </w:r>
          </w:p>
        </w:tc>
        <w:tc>
          <w:tcPr>
            <w:tcW w:type="dxa" w:w="1378"/>
            <w:vAlign w:val="top"/>
          </w:tcPr>
          <w:p>
            <w:r>
              <w:rPr>
                <w:sz w:val="18"/>
              </w:rPr>
            </w:r>
            <w:r>
              <w:rPr>
                <w:sz w:val="18"/>
              </w:rPr>
              <w:t>Individual</w:t>
            </w:r>
          </w:p>
        </w:tc>
        <w:tc>
          <w:tcPr>
            <w:tcW w:type="dxa" w:w="1378"/>
            <w:vAlign w:val="top"/>
          </w:tcPr>
          <w:p>
            <w:r>
              <w:rPr>
                <w:sz w:val="18"/>
              </w:rPr>
            </w:r>
            <w:r>
              <w:rPr>
                <w:sz w:val="18"/>
              </w:rPr>
              <w:t>2</w:t>
            </w:r>
          </w:p>
        </w:tc>
        <w:tc>
          <w:tcPr>
            <w:tcW w:type="dxa" w:w="1378"/>
            <w:vAlign w:val="top"/>
          </w:tcPr>
          <w:p>
            <w:r>
              <w:rPr>
                <w:sz w:val="18"/>
              </w:rPr>
            </w:r>
            <w:r>
              <w:rPr>
                <w:sz w:val="18"/>
              </w:rPr>
              <w:t>2</w:t>
            </w:r>
          </w:p>
        </w:tc>
        <w:tc>
          <w:tcPr>
            <w:tcW w:type="dxa" w:w="1378"/>
            <w:vAlign w:val="top"/>
          </w:tcPr>
          <w:p>
            <w:r>
              <w:rPr>
                <w:sz w:val="18"/>
              </w:rPr>
            </w:r>
            <w:r>
              <w:rPr>
                <w:sz w:val="18"/>
              </w:rPr>
              <w:t>4</w:t>
            </w:r>
          </w:p>
        </w:tc>
        <w:tc>
          <w:tcPr>
            <w:tcW w:type="dxa" w:w="1378"/>
            <w:vAlign w:val="top"/>
          </w:tcPr>
          <w:p>
            <w:r>
              <w:rPr>
                <w:sz w:val="18"/>
              </w:rPr>
            </w:r>
            <w:r>
              <w:rPr>
                <w:sz w:val="18"/>
              </w:rPr>
              <w:t>Medium</w:t>
            </w:r>
          </w:p>
        </w:tc>
      </w:tr>
      <w:tr>
        <w:tc>
          <w:tcPr>
            <w:tcW w:type="dxa" w:w="1378"/>
            <w:vAlign w:val="top"/>
          </w:tcPr>
          <w:p>
            <w:r>
              <w:rPr>
                <w:sz w:val="18"/>
              </w:rPr>
            </w:r>
            <w:r>
              <w:rPr>
                <w:sz w:val="18"/>
              </w:rPr>
              <w:t>R12</w:t>
            </w:r>
          </w:p>
        </w:tc>
        <w:tc>
          <w:tcPr>
            <w:tcW w:type="dxa" w:w="1378"/>
            <w:vAlign w:val="top"/>
          </w:tcPr>
          <w:p>
            <w:r>
              <w:rPr>
                <w:sz w:val="18"/>
              </w:rPr>
            </w:r>
            <w:r>
              <w:rPr>
                <w:sz w:val="18"/>
              </w:rPr>
              <w:t>Driver chilling effect / labour dispute — non-unionized employees may experience monitoring overreach</w:t>
            </w:r>
          </w:p>
        </w:tc>
        <w:tc>
          <w:tcPr>
            <w:tcW w:type="dxa" w:w="1378"/>
            <w:vAlign w:val="top"/>
          </w:tcPr>
          <w:p>
            <w:r>
              <w:rPr>
                <w:sz w:val="18"/>
              </w:rPr>
            </w:r>
            <w:r>
              <w:rPr>
                <w:sz w:val="18"/>
              </w:rPr>
              <w:t>Reputational / Operational</w:t>
            </w:r>
          </w:p>
        </w:tc>
        <w:tc>
          <w:tcPr>
            <w:tcW w:type="dxa" w:w="1378"/>
            <w:vAlign w:val="top"/>
          </w:tcPr>
          <w:p>
            <w:r>
              <w:rPr>
                <w:sz w:val="18"/>
              </w:rPr>
            </w:r>
            <w:r>
              <w:rPr>
                <w:sz w:val="18"/>
              </w:rPr>
              <w:t>2</w:t>
            </w:r>
          </w:p>
        </w:tc>
        <w:tc>
          <w:tcPr>
            <w:tcW w:type="dxa" w:w="1378"/>
            <w:vAlign w:val="top"/>
          </w:tcPr>
          <w:p>
            <w:r>
              <w:rPr>
                <w:sz w:val="18"/>
              </w:rPr>
            </w:r>
            <w:r>
              <w:rPr>
                <w:sz w:val="18"/>
              </w:rPr>
              <w:t>2</w:t>
            </w:r>
          </w:p>
        </w:tc>
        <w:tc>
          <w:tcPr>
            <w:tcW w:type="dxa" w:w="1378"/>
            <w:vAlign w:val="top"/>
          </w:tcPr>
          <w:p>
            <w:r>
              <w:rPr>
                <w:sz w:val="18"/>
              </w:rPr>
            </w:r>
            <w:r>
              <w:rPr>
                <w:sz w:val="18"/>
              </w:rPr>
              <w:t>4</w:t>
            </w:r>
          </w:p>
        </w:tc>
        <w:tc>
          <w:tcPr>
            <w:tcW w:type="dxa" w:w="1378"/>
            <w:vAlign w:val="top"/>
          </w:tcPr>
          <w:p>
            <w:r>
              <w:rPr>
                <w:sz w:val="18"/>
              </w:rPr>
            </w:r>
            <w:r>
              <w:rPr>
                <w:sz w:val="18"/>
              </w:rPr>
              <w:t>Medium</w:t>
            </w:r>
          </w:p>
        </w:tc>
      </w:tr>
      <w:tr>
        <w:tc>
          <w:tcPr>
            <w:tcW w:type="dxa" w:w="1378"/>
            <w:vAlign w:val="top"/>
          </w:tcPr>
          <w:p>
            <w:r>
              <w:rPr>
                <w:sz w:val="18"/>
              </w:rPr>
            </w:r>
            <w:r>
              <w:rPr>
                <w:sz w:val="18"/>
              </w:rPr>
              <w:t>R13</w:t>
            </w:r>
          </w:p>
        </w:tc>
        <w:tc>
          <w:tcPr>
            <w:tcW w:type="dxa" w:w="1378"/>
            <w:vAlign w:val="top"/>
          </w:tcPr>
          <w:p>
            <w:r>
              <w:rPr>
                <w:sz w:val="18"/>
              </w:rPr>
            </w:r>
            <w:r>
              <w:rPr>
                <w:sz w:val="18"/>
              </w:rPr>
              <w:t>U.S. state biometric statute exposure — Illinois BIPA, Texas CUBI, Washington MyHealth claims by drivers transiting those states</w:t>
            </w:r>
          </w:p>
        </w:tc>
        <w:tc>
          <w:tcPr>
            <w:tcW w:type="dxa" w:w="1378"/>
            <w:vAlign w:val="top"/>
          </w:tcPr>
          <w:p>
            <w:r>
              <w:rPr>
                <w:sz w:val="18"/>
              </w:rPr>
            </w:r>
            <w:r>
              <w:rPr>
                <w:sz w:val="18"/>
              </w:rPr>
              <w:t>Regulatory / Litigation</w:t>
            </w:r>
          </w:p>
        </w:tc>
        <w:tc>
          <w:tcPr>
            <w:tcW w:type="dxa" w:w="1378"/>
            <w:vAlign w:val="top"/>
          </w:tcPr>
          <w:p>
            <w:r>
              <w:rPr>
                <w:sz w:val="18"/>
              </w:rPr>
            </w:r>
            <w:r>
              <w:rPr>
                <w:sz w:val="18"/>
              </w:rPr>
              <w:t>2</w:t>
            </w:r>
          </w:p>
        </w:tc>
        <w:tc>
          <w:tcPr>
            <w:tcW w:type="dxa" w:w="1378"/>
            <w:vAlign w:val="top"/>
          </w:tcPr>
          <w:p>
            <w:r>
              <w:rPr>
                <w:sz w:val="18"/>
              </w:rPr>
            </w:r>
            <w:r>
              <w:rPr>
                <w:sz w:val="18"/>
              </w:rPr>
              <w:t>3</w:t>
            </w:r>
          </w:p>
        </w:tc>
        <w:tc>
          <w:tcPr>
            <w:tcW w:type="dxa" w:w="1378"/>
            <w:vAlign w:val="top"/>
          </w:tcPr>
          <w:p>
            <w:r>
              <w:rPr>
                <w:sz w:val="18"/>
              </w:rPr>
            </w:r>
            <w:r>
              <w:rPr>
                <w:sz w:val="18"/>
              </w:rPr>
              <w:t>6</w:t>
            </w:r>
          </w:p>
        </w:tc>
        <w:tc>
          <w:tcPr>
            <w:tcW w:type="dxa" w:w="1378"/>
            <w:vAlign w:val="top"/>
          </w:tcPr>
          <w:p>
            <w:r>
              <w:rPr>
                <w:sz w:val="18"/>
              </w:rPr>
            </w:r>
            <w:r>
              <w:rPr>
                <w:sz w:val="18"/>
              </w:rPr>
              <w:t>High</w:t>
            </w:r>
          </w:p>
        </w:tc>
      </w:tr>
      <w:tr>
        <w:tc>
          <w:tcPr>
            <w:tcW w:type="dxa" w:w="1378"/>
            <w:vAlign w:val="top"/>
          </w:tcPr>
          <w:p>
            <w:r>
              <w:rPr>
                <w:sz w:val="18"/>
              </w:rPr>
            </w:r>
            <w:r>
              <w:rPr>
                <w:sz w:val="18"/>
              </w:rPr>
              <w:t>R14</w:t>
            </w:r>
          </w:p>
        </w:tc>
        <w:tc>
          <w:tcPr>
            <w:tcW w:type="dxa" w:w="1378"/>
            <w:vAlign w:val="top"/>
          </w:tcPr>
          <w:p>
            <w:r>
              <w:rPr>
                <w:sz w:val="18"/>
              </w:rPr>
            </w:r>
            <w:r>
              <w:rPr>
                <w:sz w:val="18"/>
              </w:rPr>
              <w:t>Sensor tampering / spoofing — driver bypasses sensor; system integrity compromised</w:t>
            </w:r>
          </w:p>
        </w:tc>
        <w:tc>
          <w:tcPr>
            <w:tcW w:type="dxa" w:w="1378"/>
            <w:vAlign w:val="top"/>
          </w:tcPr>
          <w:p>
            <w:r>
              <w:rPr>
                <w:sz w:val="18"/>
              </w:rPr>
            </w:r>
            <w:r>
              <w:rPr>
                <w:sz w:val="18"/>
              </w:rPr>
              <w:t>Security / Safety</w:t>
            </w:r>
          </w:p>
        </w:tc>
        <w:tc>
          <w:tcPr>
            <w:tcW w:type="dxa" w:w="1378"/>
            <w:vAlign w:val="top"/>
          </w:tcPr>
          <w:p>
            <w:r>
              <w:rPr>
                <w:sz w:val="18"/>
              </w:rPr>
            </w:r>
            <w:r>
              <w:rPr>
                <w:sz w:val="18"/>
              </w:rPr>
              <w:t>2</w:t>
            </w:r>
          </w:p>
        </w:tc>
        <w:tc>
          <w:tcPr>
            <w:tcW w:type="dxa" w:w="1378"/>
            <w:vAlign w:val="top"/>
          </w:tcPr>
          <w:p>
            <w:r>
              <w:rPr>
                <w:sz w:val="18"/>
              </w:rPr>
            </w:r>
            <w:r>
              <w:rPr>
                <w:sz w:val="18"/>
              </w:rPr>
              <w:t>2</w:t>
            </w:r>
          </w:p>
        </w:tc>
        <w:tc>
          <w:tcPr>
            <w:tcW w:type="dxa" w:w="1378"/>
            <w:vAlign w:val="top"/>
          </w:tcPr>
          <w:p>
            <w:r>
              <w:rPr>
                <w:sz w:val="18"/>
              </w:rPr>
            </w:r>
            <w:r>
              <w:rPr>
                <w:sz w:val="18"/>
              </w:rPr>
              <w:t>4</w:t>
            </w:r>
          </w:p>
        </w:tc>
        <w:tc>
          <w:tcPr>
            <w:tcW w:type="dxa" w:w="1378"/>
            <w:vAlign w:val="top"/>
          </w:tcPr>
          <w:p>
            <w:r>
              <w:rPr>
                <w:sz w:val="18"/>
              </w:rPr>
            </w:r>
            <w:r>
              <w:rPr>
                <w:sz w:val="18"/>
              </w:rPr>
              <w:t>Medium</w:t>
            </w:r>
          </w:p>
        </w:tc>
      </w:tr>
      <w:tr>
        <w:tc>
          <w:tcPr>
            <w:tcW w:type="dxa" w:w="1378"/>
            <w:vAlign w:val="top"/>
          </w:tcPr>
          <w:p>
            <w:r>
              <w:rPr>
                <w:sz w:val="18"/>
              </w:rPr>
            </w:r>
            <w:r>
              <w:rPr>
                <w:sz w:val="18"/>
              </w:rPr>
              <w:t>R15</w:t>
            </w:r>
          </w:p>
        </w:tc>
        <w:tc>
          <w:tcPr>
            <w:tcW w:type="dxa" w:w="1378"/>
            <w:vAlign w:val="top"/>
          </w:tcPr>
          <w:p>
            <w:r>
              <w:rPr>
                <w:sz w:val="18"/>
              </w:rPr>
            </w:r>
            <w:r>
              <w:rPr>
                <w:sz w:val="18"/>
              </w:rPr>
              <w:t>Health-data inference — skin chemistry can reveal medication use, diabetic state, etc.; health PI processed without disclosure</w:t>
            </w:r>
          </w:p>
        </w:tc>
        <w:tc>
          <w:tcPr>
            <w:tcW w:type="dxa" w:w="1378"/>
            <w:vAlign w:val="top"/>
          </w:tcPr>
          <w:p>
            <w:r>
              <w:rPr>
                <w:sz w:val="18"/>
              </w:rPr>
            </w:r>
            <w:r>
              <w:rPr>
                <w:sz w:val="18"/>
              </w:rPr>
              <w:t>Regulatory / Individual</w:t>
            </w:r>
          </w:p>
        </w:tc>
        <w:tc>
          <w:tcPr>
            <w:tcW w:type="dxa" w:w="1378"/>
            <w:vAlign w:val="top"/>
          </w:tcPr>
          <w:p>
            <w:r>
              <w:rPr>
                <w:sz w:val="18"/>
              </w:rPr>
            </w:r>
            <w:r>
              <w:rPr>
                <w:sz w:val="18"/>
              </w:rPr>
              <w:t>2</w:t>
            </w:r>
          </w:p>
        </w:tc>
        <w:tc>
          <w:tcPr>
            <w:tcW w:type="dxa" w:w="1378"/>
            <w:vAlign w:val="top"/>
          </w:tcPr>
          <w:p>
            <w:r>
              <w:rPr>
                <w:sz w:val="18"/>
              </w:rPr>
            </w:r>
            <w:r>
              <w:rPr>
                <w:sz w:val="18"/>
              </w:rPr>
              <w:t>3</w:t>
            </w:r>
          </w:p>
        </w:tc>
        <w:tc>
          <w:tcPr>
            <w:tcW w:type="dxa" w:w="1378"/>
            <w:vAlign w:val="top"/>
          </w:tcPr>
          <w:p>
            <w:r>
              <w:rPr>
                <w:sz w:val="18"/>
              </w:rPr>
            </w:r>
            <w:r>
              <w:rPr>
                <w:sz w:val="18"/>
              </w:rPr>
              <w:t>6</w:t>
            </w:r>
          </w:p>
        </w:tc>
        <w:tc>
          <w:tcPr>
            <w:tcW w:type="dxa" w:w="1378"/>
            <w:vAlign w:val="top"/>
          </w:tcPr>
          <w:p>
            <w:r>
              <w:rPr>
                <w:sz w:val="18"/>
              </w:rPr>
            </w:r>
            <w:r>
              <w:rPr>
                <w:sz w:val="18"/>
              </w:rPr>
              <w:t>High</w:t>
            </w:r>
          </w:p>
        </w:tc>
      </w:tr>
    </w:tbl>
    <w:p>
      <w:r>
        <w:rPr>
          <w:b/>
        </w:rPr>
        <w:t>Inherent (pre-mitigation) profile: 11 High, 4 Medium, 0 Low.</w:t>
      </w:r>
    </w:p>
    <w:p>
      <w:pPr>
        <w:pStyle w:val="Heading1"/>
      </w:pPr>
      <w:r>
        <w:t>Section 8 — Mitigations and Residual Risk</w:t>
      </w:r>
    </w:p>
    <w:tbl>
      <w:tblPr>
        <w:tblStyle w:val="LightGrid-Accent1"/>
        <w:tblW w:type="auto" w:w="0"/>
        <w:tblLayout w:type="autofit"/>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vAlign w:val="top"/>
            <w:shd w:val="clear" w:color="auto" w:fill="1F3864"/>
          </w:tcPr>
          <w:p>
            <w:r>
              <w:rPr>
                <w:b/>
                <w:color w:val="FFFFFF"/>
                <w:sz w:val="18"/>
              </w:rPr>
            </w:r>
            <w:r>
              <w:rPr>
                <w:b/>
                <w:color w:val="FFFFFF"/>
                <w:sz w:val="18"/>
              </w:rPr>
              <w:t>Risk #</w:t>
            </w:r>
          </w:p>
        </w:tc>
        <w:tc>
          <w:tcPr>
            <w:tcW w:type="dxa" w:w="1072"/>
            <w:vAlign w:val="top"/>
            <w:shd w:val="clear" w:color="auto" w:fill="1F3864"/>
          </w:tcPr>
          <w:p>
            <w:r>
              <w:rPr>
                <w:b/>
                <w:color w:val="FFFFFF"/>
                <w:sz w:val="18"/>
              </w:rPr>
            </w:r>
            <w:r>
              <w:rPr>
                <w:b/>
                <w:color w:val="FFFFFF"/>
                <w:sz w:val="18"/>
              </w:rPr>
              <w:t>Mitigation Measure</w:t>
            </w:r>
          </w:p>
        </w:tc>
        <w:tc>
          <w:tcPr>
            <w:tcW w:type="dxa" w:w="1072"/>
            <w:vAlign w:val="top"/>
            <w:shd w:val="clear" w:color="auto" w:fill="1F3864"/>
          </w:tcPr>
          <w:p>
            <w:r>
              <w:rPr>
                <w:b/>
                <w:color w:val="FFFFFF"/>
                <w:sz w:val="18"/>
              </w:rPr>
            </w:r>
            <w:r>
              <w:rPr>
                <w:b/>
                <w:color w:val="FFFFFF"/>
                <w:sz w:val="18"/>
              </w:rPr>
              <w:t>Owner</w:t>
            </w:r>
          </w:p>
        </w:tc>
        <w:tc>
          <w:tcPr>
            <w:tcW w:type="dxa" w:w="1072"/>
            <w:vAlign w:val="top"/>
            <w:shd w:val="clear" w:color="auto" w:fill="1F3864"/>
          </w:tcPr>
          <w:p>
            <w:r>
              <w:rPr>
                <w:b/>
                <w:color w:val="FFFFFF"/>
                <w:sz w:val="18"/>
              </w:rPr>
            </w:r>
            <w:r>
              <w:rPr>
                <w:b/>
                <w:color w:val="FFFFFF"/>
                <w:sz w:val="18"/>
              </w:rPr>
              <w:t>Target Date</w:t>
            </w:r>
          </w:p>
        </w:tc>
        <w:tc>
          <w:tcPr>
            <w:tcW w:type="dxa" w:w="1072"/>
            <w:vAlign w:val="top"/>
            <w:shd w:val="clear" w:color="auto" w:fill="1F3864"/>
          </w:tcPr>
          <w:p>
            <w:r>
              <w:rPr>
                <w:b/>
                <w:color w:val="FFFFFF"/>
                <w:sz w:val="18"/>
              </w:rPr>
            </w:r>
            <w:r>
              <w:rPr>
                <w:b/>
                <w:color w:val="FFFFFF"/>
                <w:sz w:val="18"/>
              </w:rPr>
              <w:t>Residual L</w:t>
            </w:r>
          </w:p>
        </w:tc>
        <w:tc>
          <w:tcPr>
            <w:tcW w:type="dxa" w:w="1072"/>
            <w:vAlign w:val="top"/>
            <w:shd w:val="clear" w:color="auto" w:fill="1F3864"/>
          </w:tcPr>
          <w:p>
            <w:r>
              <w:rPr>
                <w:b/>
                <w:color w:val="FFFFFF"/>
                <w:sz w:val="18"/>
              </w:rPr>
            </w:r>
            <w:r>
              <w:rPr>
                <w:b/>
                <w:color w:val="FFFFFF"/>
                <w:sz w:val="18"/>
              </w:rPr>
              <w:t>Residual I</w:t>
            </w:r>
          </w:p>
        </w:tc>
        <w:tc>
          <w:tcPr>
            <w:tcW w:type="dxa" w:w="1072"/>
            <w:vAlign w:val="top"/>
            <w:shd w:val="clear" w:color="auto" w:fill="1F3864"/>
          </w:tcPr>
          <w:p>
            <w:r>
              <w:rPr>
                <w:b/>
                <w:color w:val="FFFFFF"/>
                <w:sz w:val="18"/>
              </w:rPr>
            </w:r>
            <w:r>
              <w:rPr>
                <w:b/>
                <w:color w:val="FFFFFF"/>
                <w:sz w:val="18"/>
              </w:rPr>
              <w:t>Residual Score</w:t>
            </w:r>
          </w:p>
        </w:tc>
        <w:tc>
          <w:tcPr>
            <w:tcW w:type="dxa" w:w="1072"/>
            <w:vAlign w:val="top"/>
            <w:shd w:val="clear" w:color="auto" w:fill="1F3864"/>
          </w:tcPr>
          <w:p>
            <w:r>
              <w:rPr>
                <w:b/>
                <w:color w:val="FFFFFF"/>
                <w:sz w:val="18"/>
              </w:rPr>
            </w:r>
            <w:r>
              <w:rPr>
                <w:b/>
                <w:color w:val="FFFFFF"/>
                <w:sz w:val="18"/>
              </w:rPr>
              <w:t>Residual Level</w:t>
            </w:r>
          </w:p>
        </w:tc>
        <w:tc>
          <w:tcPr>
            <w:tcW w:type="dxa" w:w="1072"/>
            <w:vAlign w:val="top"/>
            <w:shd w:val="clear" w:color="auto" w:fill="1F3864"/>
          </w:tcPr>
          <w:p>
            <w:r>
              <w:rPr>
                <w:b/>
                <w:color w:val="FFFFFF"/>
                <w:sz w:val="18"/>
              </w:rPr>
            </w:r>
            <w:r>
              <w:rPr>
                <w:b/>
                <w:color w:val="FFFFFF"/>
                <w:sz w:val="18"/>
              </w:rPr>
              <w:t>Risk Accepted By</w:t>
            </w:r>
          </w:p>
        </w:tc>
      </w:tr>
      <w:tr>
        <w:tc>
          <w:tcPr>
            <w:tcW w:type="dxa" w:w="1072"/>
            <w:vAlign w:val="top"/>
          </w:tcPr>
          <w:p>
            <w:r>
              <w:rPr>
                <w:sz w:val="18"/>
              </w:rPr>
            </w:r>
            <w:r>
              <w:rPr>
                <w:sz w:val="18"/>
              </w:rPr>
              <w:t>R1</w:t>
            </w:r>
          </w:p>
        </w:tc>
        <w:tc>
          <w:tcPr>
            <w:tcW w:type="dxa" w:w="1072"/>
            <w:vAlign w:val="top"/>
          </w:tcPr>
          <w:p>
            <w:r>
              <w:rPr>
                <w:sz w:val="18"/>
              </w:rPr>
            </w:r>
            <w:r>
              <w:rPr>
                <w:sz w:val="18"/>
              </w:rPr>
              <w:t>(a) File biometric-database declaration with CAI ≥ 60 days before any Quebec-driver data is captured; (b) complete Quebec Law 25 s. 3.3 mandatory PIA (this document satisfies in part); (c) complete Quebec Law 25 s. 17 transfer-specific PIA before any Quebec data leaves Quebec</w:t>
            </w:r>
          </w:p>
        </w:tc>
        <w:tc>
          <w:tcPr>
            <w:tcW w:type="dxa" w:w="1072"/>
            <w:vAlign w:val="top"/>
          </w:tcPr>
          <w:p>
            <w:r>
              <w:rPr>
                <w:sz w:val="18"/>
              </w:rPr>
            </w:r>
            <w:r>
              <w:rPr>
                <w:sz w:val="18"/>
              </w:rPr>
              <w:t>General Counsel</w:t>
            </w:r>
          </w:p>
        </w:tc>
        <w:tc>
          <w:tcPr>
            <w:tcW w:type="dxa" w:w="1072"/>
            <w:vAlign w:val="top"/>
          </w:tcPr>
          <w:p>
            <w:r>
              <w:rPr>
                <w:sz w:val="18"/>
              </w:rPr>
            </w:r>
            <w:r>
              <w:rPr>
                <w:sz w:val="18"/>
              </w:rPr>
              <w:t>Before any Quebec driver in pilot</w:t>
            </w:r>
          </w:p>
        </w:tc>
        <w:tc>
          <w:tcPr>
            <w:tcW w:type="dxa" w:w="1072"/>
            <w:vAlign w:val="top"/>
          </w:tcPr>
          <w:p>
            <w:r>
              <w:rPr>
                <w:sz w:val="18"/>
              </w:rPr>
            </w:r>
            <w:r>
              <w:rPr>
                <w:sz w:val="18"/>
              </w:rPr>
              <w:t>1</w:t>
            </w:r>
          </w:p>
        </w:tc>
        <w:tc>
          <w:tcPr>
            <w:tcW w:type="dxa" w:w="1072"/>
            <w:vAlign w:val="top"/>
          </w:tcPr>
          <w:p>
            <w:r>
              <w:rPr>
                <w:sz w:val="18"/>
              </w:rPr>
            </w:r>
            <w:r>
              <w:rPr>
                <w:sz w:val="18"/>
              </w:rPr>
              <w:t>3</w:t>
            </w:r>
          </w:p>
        </w:tc>
        <w:tc>
          <w:tcPr>
            <w:tcW w:type="dxa" w:w="1072"/>
            <w:vAlign w:val="top"/>
          </w:tcPr>
          <w:p>
            <w:r>
              <w:rPr>
                <w:sz w:val="18"/>
              </w:rPr>
            </w:r>
            <w:r>
              <w:rPr>
                <w:sz w:val="18"/>
              </w:rPr>
              <w:t>3</w:t>
            </w:r>
          </w:p>
        </w:tc>
        <w:tc>
          <w:tcPr>
            <w:tcW w:type="dxa" w:w="1072"/>
            <w:vAlign w:val="top"/>
          </w:tcPr>
          <w:p>
            <w:r>
              <w:rPr>
                <w:sz w:val="18"/>
              </w:rPr>
            </w:r>
            <w:r>
              <w:rPr>
                <w:sz w:val="18"/>
              </w:rPr>
              <w:t>Medium</w:t>
            </w:r>
          </w:p>
        </w:tc>
        <w:tc>
          <w:tcPr>
            <w:tcW w:type="dxa" w:w="1072"/>
            <w:vAlign w:val="top"/>
          </w:tcPr>
          <w:p>
            <w:r>
              <w:rPr>
                <w:sz w:val="18"/>
              </w:rPr>
            </w:r>
            <w:r>
              <w:rPr>
                <w:sz w:val="18"/>
              </w:rPr>
              <w:t>General Counsel</w:t>
            </w:r>
          </w:p>
        </w:tc>
      </w:tr>
      <w:tr>
        <w:tc>
          <w:tcPr>
            <w:tcW w:type="dxa" w:w="1072"/>
            <w:vAlign w:val="top"/>
          </w:tcPr>
          <w:p>
            <w:r>
              <w:rPr>
                <w:sz w:val="18"/>
              </w:rPr>
            </w:r>
            <w:r>
              <w:rPr>
                <w:sz w:val="18"/>
              </w:rPr>
              <w:t>R2</w:t>
            </w:r>
          </w:p>
        </w:tc>
        <w:tc>
          <w:tcPr>
            <w:tcW w:type="dxa" w:w="1072"/>
            <w:vAlign w:val="top"/>
          </w:tcPr>
          <w:p>
            <w:r>
              <w:rPr>
                <w:sz w:val="18"/>
              </w:rPr>
            </w:r>
            <w:r>
              <w:rPr>
                <w:sz w:val="18"/>
              </w:rPr>
              <w:t xml:space="preserve">(a) Replace 1–2 week notice with 30–60 day pre-deployment notice and consultation; (b) draft a layered privacy notice covering purposes, modalities, retention, recipients, cross-border, rights; (c) require an express acknowledgement signed by each employee driver and an express, separate consent from each contractor and contractor sub-employee; (d) document the proportionality analysis (necessity, effectiveness, proportionality, less-intrusive alternatives) per </w:t>
            </w:r>
            <w:r>
              <w:rPr>
                <w:i/>
                <w:sz w:val="18"/>
              </w:rPr>
              <w:t>Eastmond</w:t>
            </w:r>
          </w:p>
        </w:tc>
        <w:tc>
          <w:tcPr>
            <w:tcW w:type="dxa" w:w="1072"/>
            <w:vAlign w:val="top"/>
          </w:tcPr>
          <w:p>
            <w:r>
              <w:rPr>
                <w:sz w:val="18"/>
              </w:rPr>
            </w:r>
            <w:r>
              <w:rPr>
                <w:sz w:val="18"/>
              </w:rPr>
              <w:t>General Counsel + HR</w:t>
            </w:r>
          </w:p>
        </w:tc>
        <w:tc>
          <w:tcPr>
            <w:tcW w:type="dxa" w:w="1072"/>
            <w:vAlign w:val="top"/>
          </w:tcPr>
          <w:p>
            <w:r>
              <w:rPr>
                <w:sz w:val="18"/>
              </w:rPr>
            </w:r>
            <w:r>
              <w:rPr>
                <w:sz w:val="18"/>
              </w:rPr>
              <w:t>Before pilot launch</w:t>
            </w:r>
          </w:p>
        </w:tc>
        <w:tc>
          <w:tcPr>
            <w:tcW w:type="dxa" w:w="1072"/>
            <w:vAlign w:val="top"/>
          </w:tcPr>
          <w:p>
            <w:r>
              <w:rPr>
                <w:sz w:val="18"/>
              </w:rPr>
            </w:r>
            <w:r>
              <w:rPr>
                <w:sz w:val="18"/>
              </w:rPr>
              <w:t>1</w:t>
            </w:r>
          </w:p>
        </w:tc>
        <w:tc>
          <w:tcPr>
            <w:tcW w:type="dxa" w:w="1072"/>
            <w:vAlign w:val="top"/>
          </w:tcPr>
          <w:p>
            <w:r>
              <w:rPr>
                <w:sz w:val="18"/>
              </w:rPr>
            </w:r>
            <w:r>
              <w:rPr>
                <w:sz w:val="18"/>
              </w:rPr>
              <w:t>2</w:t>
            </w:r>
          </w:p>
        </w:tc>
        <w:tc>
          <w:tcPr>
            <w:tcW w:type="dxa" w:w="1072"/>
            <w:vAlign w:val="top"/>
          </w:tcPr>
          <w:p>
            <w:r>
              <w:rPr>
                <w:sz w:val="18"/>
              </w:rPr>
            </w:r>
            <w:r>
              <w:rPr>
                <w:sz w:val="18"/>
              </w:rPr>
              <w:t>2</w:t>
            </w:r>
          </w:p>
        </w:tc>
        <w:tc>
          <w:tcPr>
            <w:tcW w:type="dxa" w:w="1072"/>
            <w:vAlign w:val="top"/>
          </w:tcPr>
          <w:p>
            <w:r>
              <w:rPr>
                <w:sz w:val="18"/>
              </w:rPr>
            </w:r>
            <w:r>
              <w:rPr>
                <w:sz w:val="18"/>
              </w:rPr>
              <w:t>Low</w:t>
            </w:r>
          </w:p>
        </w:tc>
        <w:tc>
          <w:tcPr>
            <w:tcW w:type="dxa" w:w="1072"/>
            <w:vAlign w:val="top"/>
          </w:tcPr>
          <w:p>
            <w:r>
              <w:rPr>
                <w:sz w:val="18"/>
              </w:rPr>
            </w:r>
            <w:r>
              <w:rPr>
                <w:sz w:val="18"/>
              </w:rPr>
              <w:t>Privacy Officer</w:t>
            </w:r>
          </w:p>
        </w:tc>
      </w:tr>
      <w:tr>
        <w:tc>
          <w:tcPr>
            <w:tcW w:type="dxa" w:w="1072"/>
            <w:vAlign w:val="top"/>
          </w:tcPr>
          <w:p>
            <w:r>
              <w:rPr>
                <w:sz w:val="18"/>
              </w:rPr>
            </w:r>
            <w:r>
              <w:rPr>
                <w:sz w:val="18"/>
              </w:rPr>
              <w:t>R3</w:t>
            </w:r>
          </w:p>
        </w:tc>
        <w:tc>
          <w:tcPr>
            <w:tcW w:type="dxa" w:w="1072"/>
            <w:vAlign w:val="top"/>
          </w:tcPr>
          <w:p>
            <w:r>
              <w:rPr>
                <w:sz w:val="18"/>
              </w:rPr>
            </w:r>
            <w:r>
              <w:rPr>
                <w:sz w:val="18"/>
              </w:rPr>
              <w:t>Implement a documented human-in-the-loop review path: (a) automated safety intervention (slowdown/lockout) may remain automatic; (b) any disciplinary or contractual use must require prior human review by a designated reviewer; (c) provide drivers a contestation channel with a defined response timeline (≤ 30 days); (d) publish ADM disclosure per Quebec Law 25 s. 12.1</w:t>
            </w:r>
          </w:p>
        </w:tc>
        <w:tc>
          <w:tcPr>
            <w:tcW w:type="dxa" w:w="1072"/>
            <w:vAlign w:val="top"/>
          </w:tcPr>
          <w:p>
            <w:r>
              <w:rPr>
                <w:sz w:val="18"/>
              </w:rPr>
            </w:r>
            <w:r>
              <w:rPr>
                <w:sz w:val="18"/>
              </w:rPr>
              <w:t>General Counsel + HR + Project Manager</w:t>
            </w:r>
          </w:p>
        </w:tc>
        <w:tc>
          <w:tcPr>
            <w:tcW w:type="dxa" w:w="1072"/>
            <w:vAlign w:val="top"/>
          </w:tcPr>
          <w:p>
            <w:r>
              <w:rPr>
                <w:sz w:val="18"/>
              </w:rPr>
            </w:r>
            <w:r>
              <w:rPr>
                <w:sz w:val="18"/>
              </w:rPr>
              <w:t>Before pilot launch</w:t>
            </w:r>
          </w:p>
        </w:tc>
        <w:tc>
          <w:tcPr>
            <w:tcW w:type="dxa" w:w="1072"/>
            <w:vAlign w:val="top"/>
          </w:tcPr>
          <w:p>
            <w:r>
              <w:rPr>
                <w:sz w:val="18"/>
              </w:rPr>
            </w:r>
            <w:r>
              <w:rPr>
                <w:sz w:val="18"/>
              </w:rPr>
              <w:t>1</w:t>
            </w:r>
          </w:p>
        </w:tc>
        <w:tc>
          <w:tcPr>
            <w:tcW w:type="dxa" w:w="1072"/>
            <w:vAlign w:val="top"/>
          </w:tcPr>
          <w:p>
            <w:r>
              <w:rPr>
                <w:sz w:val="18"/>
              </w:rPr>
            </w:r>
            <w:r>
              <w:rPr>
                <w:sz w:val="18"/>
              </w:rPr>
              <w:t>2</w:t>
            </w:r>
          </w:p>
        </w:tc>
        <w:tc>
          <w:tcPr>
            <w:tcW w:type="dxa" w:w="1072"/>
            <w:vAlign w:val="top"/>
          </w:tcPr>
          <w:p>
            <w:r>
              <w:rPr>
                <w:sz w:val="18"/>
              </w:rPr>
            </w:r>
            <w:r>
              <w:rPr>
                <w:sz w:val="18"/>
              </w:rPr>
              <w:t>2</w:t>
            </w:r>
          </w:p>
        </w:tc>
        <w:tc>
          <w:tcPr>
            <w:tcW w:type="dxa" w:w="1072"/>
            <w:vAlign w:val="top"/>
          </w:tcPr>
          <w:p>
            <w:r>
              <w:rPr>
                <w:sz w:val="18"/>
              </w:rPr>
            </w:r>
            <w:r>
              <w:rPr>
                <w:sz w:val="18"/>
              </w:rPr>
              <w:t>Low</w:t>
            </w:r>
          </w:p>
        </w:tc>
        <w:tc>
          <w:tcPr>
            <w:tcW w:type="dxa" w:w="1072"/>
            <w:vAlign w:val="top"/>
          </w:tcPr>
          <w:p>
            <w:r>
              <w:rPr>
                <w:sz w:val="18"/>
              </w:rPr>
            </w:r>
            <w:r>
              <w:rPr>
                <w:sz w:val="18"/>
              </w:rPr>
              <w:t>Privacy Officer</w:t>
            </w:r>
          </w:p>
        </w:tc>
      </w:tr>
      <w:tr>
        <w:tc>
          <w:tcPr>
            <w:tcW w:type="dxa" w:w="1072"/>
            <w:vAlign w:val="top"/>
          </w:tcPr>
          <w:p>
            <w:r>
              <w:rPr>
                <w:sz w:val="18"/>
              </w:rPr>
            </w:r>
            <w:r>
              <w:rPr>
                <w:sz w:val="18"/>
              </w:rPr>
              <w:t>R4</w:t>
            </w:r>
          </w:p>
        </w:tc>
        <w:tc>
          <w:tcPr>
            <w:tcW w:type="dxa" w:w="1072"/>
            <w:vAlign w:val="top"/>
          </w:tcPr>
          <w:p>
            <w:r>
              <w:rPr>
                <w:sz w:val="18"/>
              </w:rPr>
            </w:r>
            <w:r>
              <w:rPr>
                <w:sz w:val="18"/>
              </w:rPr>
              <w:t>(a) Require vendor-published false-positive rates and validation methodology; (b) build a calibration / contestation protocol that does not impose discipline on the basis of a single positive reading absent corroborating evidence; (c) establish a medical-exception process (medications, conditions); (d) allow second-modality confirmation before lockout</w:t>
            </w:r>
          </w:p>
        </w:tc>
        <w:tc>
          <w:tcPr>
            <w:tcW w:type="dxa" w:w="1072"/>
            <w:vAlign w:val="top"/>
          </w:tcPr>
          <w:p>
            <w:r>
              <w:rPr>
                <w:sz w:val="18"/>
              </w:rPr>
            </w:r>
            <w:r>
              <w:rPr>
                <w:sz w:val="18"/>
              </w:rPr>
              <w:t>Project Manager + Medical / HR Lead</w:t>
            </w:r>
          </w:p>
        </w:tc>
        <w:tc>
          <w:tcPr>
            <w:tcW w:type="dxa" w:w="1072"/>
            <w:vAlign w:val="top"/>
          </w:tcPr>
          <w:p>
            <w:r>
              <w:rPr>
                <w:sz w:val="18"/>
              </w:rPr>
            </w:r>
            <w:r>
              <w:rPr>
                <w:sz w:val="18"/>
              </w:rPr>
              <w:t>Before pilot launch</w:t>
            </w:r>
          </w:p>
        </w:tc>
        <w:tc>
          <w:tcPr>
            <w:tcW w:type="dxa" w:w="1072"/>
            <w:vAlign w:val="top"/>
          </w:tcPr>
          <w:p>
            <w:r>
              <w:rPr>
                <w:sz w:val="18"/>
              </w:rPr>
            </w:r>
            <w:r>
              <w:rPr>
                <w:sz w:val="18"/>
              </w:rPr>
              <w:t>2</w:t>
            </w:r>
          </w:p>
        </w:tc>
        <w:tc>
          <w:tcPr>
            <w:tcW w:type="dxa" w:w="1072"/>
            <w:vAlign w:val="top"/>
          </w:tcPr>
          <w:p>
            <w:r>
              <w:rPr>
                <w:sz w:val="18"/>
              </w:rPr>
            </w:r>
            <w:r>
              <w:rPr>
                <w:sz w:val="18"/>
              </w:rPr>
              <w:t>2</w:t>
            </w:r>
          </w:p>
        </w:tc>
        <w:tc>
          <w:tcPr>
            <w:tcW w:type="dxa" w:w="1072"/>
            <w:vAlign w:val="top"/>
          </w:tcPr>
          <w:p>
            <w:r>
              <w:rPr>
                <w:sz w:val="18"/>
              </w:rPr>
            </w:r>
            <w:r>
              <w:rPr>
                <w:sz w:val="18"/>
              </w:rPr>
              <w:t>4</w:t>
            </w:r>
          </w:p>
        </w:tc>
        <w:tc>
          <w:tcPr>
            <w:tcW w:type="dxa" w:w="1072"/>
            <w:vAlign w:val="top"/>
          </w:tcPr>
          <w:p>
            <w:r>
              <w:rPr>
                <w:sz w:val="18"/>
              </w:rPr>
            </w:r>
            <w:r>
              <w:rPr>
                <w:sz w:val="18"/>
              </w:rPr>
              <w:t>Medium</w:t>
            </w:r>
          </w:p>
        </w:tc>
        <w:tc>
          <w:tcPr>
            <w:tcW w:type="dxa" w:w="1072"/>
            <w:vAlign w:val="top"/>
          </w:tcPr>
          <w:p>
            <w:r>
              <w:rPr>
                <w:sz w:val="18"/>
              </w:rPr>
            </w:r>
            <w:r>
              <w:rPr>
                <w:sz w:val="18"/>
              </w:rPr>
              <w:t>Privacy Officer + Business Sponsor</w:t>
            </w:r>
          </w:p>
        </w:tc>
      </w:tr>
      <w:tr>
        <w:tc>
          <w:tcPr>
            <w:tcW w:type="dxa" w:w="1072"/>
            <w:vAlign w:val="top"/>
          </w:tcPr>
          <w:p>
            <w:r>
              <w:rPr>
                <w:sz w:val="18"/>
              </w:rPr>
            </w:r>
            <w:r>
              <w:rPr>
                <w:sz w:val="18"/>
              </w:rPr>
              <w:t>R5</w:t>
            </w:r>
          </w:p>
        </w:tc>
        <w:tc>
          <w:tcPr>
            <w:tcW w:type="dxa" w:w="1072"/>
            <w:vAlign w:val="top"/>
          </w:tcPr>
          <w:p>
            <w:r>
              <w:rPr>
                <w:sz w:val="18"/>
              </w:rPr>
            </w:r>
            <w:r>
              <w:rPr>
                <w:sz w:val="18"/>
              </w:rPr>
              <w:t>(a) Encryption-at-rest with company-held keys where feasible (BYOK); (b) contract terms requiring vendor to challenge U.S. legal-process orders to the maximum extent permitted, and to notify the company unless legally barred; (c) disclose CLOUD Act exposure in the privacy notice</w:t>
            </w:r>
          </w:p>
        </w:tc>
        <w:tc>
          <w:tcPr>
            <w:tcW w:type="dxa" w:w="1072"/>
            <w:vAlign w:val="top"/>
          </w:tcPr>
          <w:p>
            <w:r>
              <w:rPr>
                <w:sz w:val="18"/>
              </w:rPr>
            </w:r>
            <w:r>
              <w:rPr>
                <w:sz w:val="18"/>
              </w:rPr>
              <w:t>General Counsel + Vendor Owner</w:t>
            </w:r>
          </w:p>
        </w:tc>
        <w:tc>
          <w:tcPr>
            <w:tcW w:type="dxa" w:w="1072"/>
            <w:vAlign w:val="top"/>
          </w:tcPr>
          <w:p>
            <w:r>
              <w:rPr>
                <w:sz w:val="18"/>
              </w:rPr>
            </w:r>
            <w:r>
              <w:rPr>
                <w:sz w:val="18"/>
              </w:rPr>
              <w:t>Before contract execution</w:t>
            </w:r>
          </w:p>
        </w:tc>
        <w:tc>
          <w:tcPr>
            <w:tcW w:type="dxa" w:w="1072"/>
            <w:vAlign w:val="top"/>
          </w:tcPr>
          <w:p>
            <w:r>
              <w:rPr>
                <w:sz w:val="18"/>
              </w:rPr>
            </w:r>
            <w:r>
              <w:rPr>
                <w:sz w:val="18"/>
              </w:rPr>
              <w:t>2</w:t>
            </w:r>
          </w:p>
        </w:tc>
        <w:tc>
          <w:tcPr>
            <w:tcW w:type="dxa" w:w="1072"/>
            <w:vAlign w:val="top"/>
          </w:tcPr>
          <w:p>
            <w:r>
              <w:rPr>
                <w:sz w:val="18"/>
              </w:rPr>
            </w:r>
            <w:r>
              <w:rPr>
                <w:sz w:val="18"/>
              </w:rPr>
              <w:t>2</w:t>
            </w:r>
          </w:p>
        </w:tc>
        <w:tc>
          <w:tcPr>
            <w:tcW w:type="dxa" w:w="1072"/>
            <w:vAlign w:val="top"/>
          </w:tcPr>
          <w:p>
            <w:r>
              <w:rPr>
                <w:sz w:val="18"/>
              </w:rPr>
            </w:r>
            <w:r>
              <w:rPr>
                <w:sz w:val="18"/>
              </w:rPr>
              <w:t>4</w:t>
            </w:r>
          </w:p>
        </w:tc>
        <w:tc>
          <w:tcPr>
            <w:tcW w:type="dxa" w:w="1072"/>
            <w:vAlign w:val="top"/>
          </w:tcPr>
          <w:p>
            <w:r>
              <w:rPr>
                <w:sz w:val="18"/>
              </w:rPr>
            </w:r>
            <w:r>
              <w:rPr>
                <w:sz w:val="18"/>
              </w:rPr>
              <w:t>Medium</w:t>
            </w:r>
          </w:p>
        </w:tc>
        <w:tc>
          <w:tcPr>
            <w:tcW w:type="dxa" w:w="1072"/>
            <w:vAlign w:val="top"/>
          </w:tcPr>
          <w:p>
            <w:r>
              <w:rPr>
                <w:sz w:val="18"/>
              </w:rPr>
            </w:r>
            <w:r>
              <w:rPr>
                <w:sz w:val="18"/>
              </w:rPr>
              <w:t>Privacy Officer</w:t>
            </w:r>
          </w:p>
        </w:tc>
      </w:tr>
      <w:tr>
        <w:tc>
          <w:tcPr>
            <w:tcW w:type="dxa" w:w="1072"/>
            <w:vAlign w:val="top"/>
          </w:tcPr>
          <w:p>
            <w:r>
              <w:rPr>
                <w:sz w:val="18"/>
              </w:rPr>
            </w:r>
            <w:r>
              <w:rPr>
                <w:sz w:val="18"/>
              </w:rPr>
              <w:t>R6</w:t>
            </w:r>
          </w:p>
        </w:tc>
        <w:tc>
          <w:tcPr>
            <w:tcW w:type="dxa" w:w="1072"/>
            <w:vAlign w:val="top"/>
          </w:tcPr>
          <w:p>
            <w:r>
              <w:rPr>
                <w:sz w:val="18"/>
              </w:rPr>
            </w:r>
            <w:r>
              <w:rPr>
                <w:sz w:val="18"/>
              </w:rPr>
              <w:t>(a) Lock down a closed list of permitted secondary uses; (b) prohibit vendor model training using the company's data unless separately and expressly consented; (c) prohibit sale or non-de-identified sharing; (d) define the law-enforcement-disclosure decision process (lawful authority, legal review)</w:t>
            </w:r>
          </w:p>
        </w:tc>
        <w:tc>
          <w:tcPr>
            <w:tcW w:type="dxa" w:w="1072"/>
            <w:vAlign w:val="top"/>
          </w:tcPr>
          <w:p>
            <w:r>
              <w:rPr>
                <w:sz w:val="18"/>
              </w:rPr>
            </w:r>
            <w:r>
              <w:rPr>
                <w:sz w:val="18"/>
              </w:rPr>
              <w:t>General Counsel</w:t>
            </w:r>
          </w:p>
        </w:tc>
        <w:tc>
          <w:tcPr>
            <w:tcW w:type="dxa" w:w="1072"/>
            <w:vAlign w:val="top"/>
          </w:tcPr>
          <w:p>
            <w:r>
              <w:rPr>
                <w:sz w:val="18"/>
              </w:rPr>
            </w:r>
            <w:r>
              <w:rPr>
                <w:sz w:val="18"/>
              </w:rPr>
              <w:t>Before contract execution</w:t>
            </w:r>
          </w:p>
        </w:tc>
        <w:tc>
          <w:tcPr>
            <w:tcW w:type="dxa" w:w="1072"/>
            <w:vAlign w:val="top"/>
          </w:tcPr>
          <w:p>
            <w:r>
              <w:rPr>
                <w:sz w:val="18"/>
              </w:rPr>
            </w:r>
            <w:r>
              <w:rPr>
                <w:sz w:val="18"/>
              </w:rPr>
              <w:t>1</w:t>
            </w:r>
          </w:p>
        </w:tc>
        <w:tc>
          <w:tcPr>
            <w:tcW w:type="dxa" w:w="1072"/>
            <w:vAlign w:val="top"/>
          </w:tcPr>
          <w:p>
            <w:r>
              <w:rPr>
                <w:sz w:val="18"/>
              </w:rPr>
            </w:r>
            <w:r>
              <w:rPr>
                <w:sz w:val="18"/>
              </w:rPr>
              <w:t>2</w:t>
            </w:r>
          </w:p>
        </w:tc>
        <w:tc>
          <w:tcPr>
            <w:tcW w:type="dxa" w:w="1072"/>
            <w:vAlign w:val="top"/>
          </w:tcPr>
          <w:p>
            <w:r>
              <w:rPr>
                <w:sz w:val="18"/>
              </w:rPr>
            </w:r>
            <w:r>
              <w:rPr>
                <w:sz w:val="18"/>
              </w:rPr>
              <w:t>2</w:t>
            </w:r>
          </w:p>
        </w:tc>
        <w:tc>
          <w:tcPr>
            <w:tcW w:type="dxa" w:w="1072"/>
            <w:vAlign w:val="top"/>
          </w:tcPr>
          <w:p>
            <w:r>
              <w:rPr>
                <w:sz w:val="18"/>
              </w:rPr>
            </w:r>
            <w:r>
              <w:rPr>
                <w:sz w:val="18"/>
              </w:rPr>
              <w:t>Low</w:t>
            </w:r>
          </w:p>
        </w:tc>
        <w:tc>
          <w:tcPr>
            <w:tcW w:type="dxa" w:w="1072"/>
            <w:vAlign w:val="top"/>
          </w:tcPr>
          <w:p>
            <w:r>
              <w:rPr>
                <w:sz w:val="18"/>
              </w:rPr>
            </w:r>
            <w:r>
              <w:rPr>
                <w:sz w:val="18"/>
              </w:rPr>
              <w:t>Privacy Officer</w:t>
            </w:r>
          </w:p>
        </w:tc>
      </w:tr>
      <w:tr>
        <w:tc>
          <w:tcPr>
            <w:tcW w:type="dxa" w:w="1072"/>
            <w:vAlign w:val="top"/>
          </w:tcPr>
          <w:p>
            <w:r>
              <w:rPr>
                <w:sz w:val="18"/>
              </w:rPr>
            </w:r>
            <w:r>
              <w:rPr>
                <w:sz w:val="18"/>
              </w:rPr>
              <w:t>R7</w:t>
            </w:r>
          </w:p>
        </w:tc>
        <w:tc>
          <w:tcPr>
            <w:tcW w:type="dxa" w:w="1072"/>
            <w:vAlign w:val="top"/>
          </w:tcPr>
          <w:p>
            <w:r>
              <w:rPr>
                <w:sz w:val="18"/>
              </w:rPr>
            </w:r>
            <w:r>
              <w:rPr>
                <w:sz w:val="18"/>
              </w:rPr>
              <w:t>Vendor contract must include a data-protection schedule covering: scope and purpose of processing; confidentiality; security measures (encryption, access controls, MFA, logging, SOC 2/ISO 27001 evidence); sub-processor list and pre-approval; cross-border restrictions; breach-notification within 24–48 hours; audit rights; return/destruction at end of term with certification; cooperation with data-subject rights requests; restriction on further use</w:t>
            </w:r>
          </w:p>
        </w:tc>
        <w:tc>
          <w:tcPr>
            <w:tcW w:type="dxa" w:w="1072"/>
            <w:vAlign w:val="top"/>
          </w:tcPr>
          <w:p>
            <w:r>
              <w:rPr>
                <w:sz w:val="18"/>
              </w:rPr>
            </w:r>
            <w:r>
              <w:rPr>
                <w:sz w:val="18"/>
              </w:rPr>
              <w:t>General Counsel + Vendor Owner</w:t>
            </w:r>
          </w:p>
        </w:tc>
        <w:tc>
          <w:tcPr>
            <w:tcW w:type="dxa" w:w="1072"/>
            <w:vAlign w:val="top"/>
          </w:tcPr>
          <w:p>
            <w:r>
              <w:rPr>
                <w:sz w:val="18"/>
              </w:rPr>
            </w:r>
            <w:r>
              <w:rPr>
                <w:sz w:val="18"/>
              </w:rPr>
              <w:t>Before contract execution</w:t>
            </w:r>
          </w:p>
        </w:tc>
        <w:tc>
          <w:tcPr>
            <w:tcW w:type="dxa" w:w="1072"/>
            <w:vAlign w:val="top"/>
          </w:tcPr>
          <w:p>
            <w:r>
              <w:rPr>
                <w:sz w:val="18"/>
              </w:rPr>
            </w:r>
            <w:r>
              <w:rPr>
                <w:sz w:val="18"/>
              </w:rPr>
              <w:t>1</w:t>
            </w:r>
          </w:p>
        </w:tc>
        <w:tc>
          <w:tcPr>
            <w:tcW w:type="dxa" w:w="1072"/>
            <w:vAlign w:val="top"/>
          </w:tcPr>
          <w:p>
            <w:r>
              <w:rPr>
                <w:sz w:val="18"/>
              </w:rPr>
            </w:r>
            <w:r>
              <w:rPr>
                <w:sz w:val="18"/>
              </w:rPr>
              <w:t>2</w:t>
            </w:r>
          </w:p>
        </w:tc>
        <w:tc>
          <w:tcPr>
            <w:tcW w:type="dxa" w:w="1072"/>
            <w:vAlign w:val="top"/>
          </w:tcPr>
          <w:p>
            <w:r>
              <w:rPr>
                <w:sz w:val="18"/>
              </w:rPr>
            </w:r>
            <w:r>
              <w:rPr>
                <w:sz w:val="18"/>
              </w:rPr>
              <w:t>2</w:t>
            </w:r>
          </w:p>
        </w:tc>
        <w:tc>
          <w:tcPr>
            <w:tcW w:type="dxa" w:w="1072"/>
            <w:vAlign w:val="top"/>
          </w:tcPr>
          <w:p>
            <w:r>
              <w:rPr>
                <w:sz w:val="18"/>
              </w:rPr>
            </w:r>
            <w:r>
              <w:rPr>
                <w:sz w:val="18"/>
              </w:rPr>
              <w:t>Low</w:t>
            </w:r>
          </w:p>
        </w:tc>
        <w:tc>
          <w:tcPr>
            <w:tcW w:type="dxa" w:w="1072"/>
            <w:vAlign w:val="top"/>
          </w:tcPr>
          <w:p>
            <w:r>
              <w:rPr>
                <w:sz w:val="18"/>
              </w:rPr>
            </w:r>
            <w:r>
              <w:rPr>
                <w:sz w:val="18"/>
              </w:rPr>
              <w:t>Privacy Officer</w:t>
            </w:r>
          </w:p>
        </w:tc>
      </w:tr>
      <w:tr>
        <w:tc>
          <w:tcPr>
            <w:tcW w:type="dxa" w:w="1072"/>
            <w:vAlign w:val="top"/>
          </w:tcPr>
          <w:p>
            <w:r>
              <w:rPr>
                <w:sz w:val="18"/>
              </w:rPr>
            </w:r>
            <w:r>
              <w:rPr>
                <w:sz w:val="18"/>
              </w:rPr>
              <w:t>R8</w:t>
            </w:r>
          </w:p>
        </w:tc>
        <w:tc>
          <w:tcPr>
            <w:tcW w:type="dxa" w:w="1072"/>
            <w:vAlign w:val="top"/>
          </w:tcPr>
          <w:p>
            <w:r>
              <w:rPr>
                <w:sz w:val="18"/>
              </w:rPr>
            </w:r>
            <w:r>
              <w:rPr>
                <w:sz w:val="18"/>
              </w:rPr>
              <w:t>Adopt a documented retention schedule: (a) raw chemistry signal retained for the shortest period needed to validate a reading (proposal: 24–72 hours unless an event is flagged); (b) computed scores retained for a defined period (proposal: 12 months unless an event is flagged); (c) flagged-event records retained per documented legal-hold policy; (d) automatic deletion verified by vendor certification</w:t>
            </w:r>
          </w:p>
        </w:tc>
        <w:tc>
          <w:tcPr>
            <w:tcW w:type="dxa" w:w="1072"/>
            <w:vAlign w:val="top"/>
          </w:tcPr>
          <w:p>
            <w:r>
              <w:rPr>
                <w:sz w:val="18"/>
              </w:rPr>
            </w:r>
            <w:r>
              <w:rPr>
                <w:sz w:val="18"/>
              </w:rPr>
              <w:t>General Counsel + Project Manager</w:t>
            </w:r>
          </w:p>
        </w:tc>
        <w:tc>
          <w:tcPr>
            <w:tcW w:type="dxa" w:w="1072"/>
            <w:vAlign w:val="top"/>
          </w:tcPr>
          <w:p>
            <w:r>
              <w:rPr>
                <w:sz w:val="18"/>
              </w:rPr>
            </w:r>
            <w:r>
              <w:rPr>
                <w:sz w:val="18"/>
              </w:rPr>
              <w:t>Before pilot launch</w:t>
            </w:r>
          </w:p>
        </w:tc>
        <w:tc>
          <w:tcPr>
            <w:tcW w:type="dxa" w:w="1072"/>
            <w:vAlign w:val="top"/>
          </w:tcPr>
          <w:p>
            <w:r>
              <w:rPr>
                <w:sz w:val="18"/>
              </w:rPr>
            </w:r>
            <w:r>
              <w:rPr>
                <w:sz w:val="18"/>
              </w:rPr>
              <w:t>1</w:t>
            </w:r>
          </w:p>
        </w:tc>
        <w:tc>
          <w:tcPr>
            <w:tcW w:type="dxa" w:w="1072"/>
            <w:vAlign w:val="top"/>
          </w:tcPr>
          <w:p>
            <w:r>
              <w:rPr>
                <w:sz w:val="18"/>
              </w:rPr>
            </w:r>
            <w:r>
              <w:rPr>
                <w:sz w:val="18"/>
              </w:rPr>
              <w:t>2</w:t>
            </w:r>
          </w:p>
        </w:tc>
        <w:tc>
          <w:tcPr>
            <w:tcW w:type="dxa" w:w="1072"/>
            <w:vAlign w:val="top"/>
          </w:tcPr>
          <w:p>
            <w:r>
              <w:rPr>
                <w:sz w:val="18"/>
              </w:rPr>
            </w:r>
            <w:r>
              <w:rPr>
                <w:sz w:val="18"/>
              </w:rPr>
              <w:t>2</w:t>
            </w:r>
          </w:p>
        </w:tc>
        <w:tc>
          <w:tcPr>
            <w:tcW w:type="dxa" w:w="1072"/>
            <w:vAlign w:val="top"/>
          </w:tcPr>
          <w:p>
            <w:r>
              <w:rPr>
                <w:sz w:val="18"/>
              </w:rPr>
            </w:r>
            <w:r>
              <w:rPr>
                <w:sz w:val="18"/>
              </w:rPr>
              <w:t>Low</w:t>
            </w:r>
          </w:p>
        </w:tc>
        <w:tc>
          <w:tcPr>
            <w:tcW w:type="dxa" w:w="1072"/>
            <w:vAlign w:val="top"/>
          </w:tcPr>
          <w:p>
            <w:r>
              <w:rPr>
                <w:sz w:val="18"/>
              </w:rPr>
            </w:r>
            <w:r>
              <w:rPr>
                <w:sz w:val="18"/>
              </w:rPr>
              <w:t>Privacy Officer</w:t>
            </w:r>
          </w:p>
        </w:tc>
      </w:tr>
      <w:tr>
        <w:tc>
          <w:tcPr>
            <w:tcW w:type="dxa" w:w="1072"/>
            <w:vAlign w:val="top"/>
          </w:tcPr>
          <w:p>
            <w:r>
              <w:rPr>
                <w:sz w:val="18"/>
              </w:rPr>
            </w:r>
            <w:r>
              <w:rPr>
                <w:sz w:val="18"/>
              </w:rPr>
              <w:t>R9</w:t>
            </w:r>
          </w:p>
        </w:tc>
        <w:tc>
          <w:tcPr>
            <w:tcW w:type="dxa" w:w="1072"/>
            <w:vAlign w:val="top"/>
          </w:tcPr>
          <w:p>
            <w:r>
              <w:rPr>
                <w:sz w:val="18"/>
              </w:rPr>
            </w:r>
            <w:r>
              <w:rPr>
                <w:sz w:val="18"/>
              </w:rPr>
              <w:t>(a) Build a separate contractor consent process distinct from the employee notice; (b) ensure contractor master services agreements include a flow-down obligation requiring contractors to obtain written consent from their own employees; (c) document refusal pathways (e.g., the contractor declines and is not engaged on company trucks)</w:t>
            </w:r>
          </w:p>
        </w:tc>
        <w:tc>
          <w:tcPr>
            <w:tcW w:type="dxa" w:w="1072"/>
            <w:vAlign w:val="top"/>
          </w:tcPr>
          <w:p>
            <w:r>
              <w:rPr>
                <w:sz w:val="18"/>
              </w:rPr>
            </w:r>
            <w:r>
              <w:rPr>
                <w:sz w:val="18"/>
              </w:rPr>
              <w:t>General Counsel + Contractor Relationship Manager</w:t>
            </w:r>
          </w:p>
        </w:tc>
        <w:tc>
          <w:tcPr>
            <w:tcW w:type="dxa" w:w="1072"/>
            <w:vAlign w:val="top"/>
          </w:tcPr>
          <w:p>
            <w:r>
              <w:rPr>
                <w:sz w:val="18"/>
              </w:rPr>
            </w:r>
            <w:r>
              <w:rPr>
                <w:sz w:val="18"/>
              </w:rPr>
              <w:t>Before pilot launch</w:t>
            </w:r>
          </w:p>
        </w:tc>
        <w:tc>
          <w:tcPr>
            <w:tcW w:type="dxa" w:w="1072"/>
            <w:vAlign w:val="top"/>
          </w:tcPr>
          <w:p>
            <w:r>
              <w:rPr>
                <w:sz w:val="18"/>
              </w:rPr>
            </w:r>
            <w:r>
              <w:rPr>
                <w:sz w:val="18"/>
              </w:rPr>
              <w:t>2</w:t>
            </w:r>
          </w:p>
        </w:tc>
        <w:tc>
          <w:tcPr>
            <w:tcW w:type="dxa" w:w="1072"/>
            <w:vAlign w:val="top"/>
          </w:tcPr>
          <w:p>
            <w:r>
              <w:rPr>
                <w:sz w:val="18"/>
              </w:rPr>
            </w:r>
            <w:r>
              <w:rPr>
                <w:sz w:val="18"/>
              </w:rPr>
              <w:t>2</w:t>
            </w:r>
          </w:p>
        </w:tc>
        <w:tc>
          <w:tcPr>
            <w:tcW w:type="dxa" w:w="1072"/>
            <w:vAlign w:val="top"/>
          </w:tcPr>
          <w:p>
            <w:r>
              <w:rPr>
                <w:sz w:val="18"/>
              </w:rPr>
            </w:r>
            <w:r>
              <w:rPr>
                <w:sz w:val="18"/>
              </w:rPr>
              <w:t>4</w:t>
            </w:r>
          </w:p>
        </w:tc>
        <w:tc>
          <w:tcPr>
            <w:tcW w:type="dxa" w:w="1072"/>
            <w:vAlign w:val="top"/>
          </w:tcPr>
          <w:p>
            <w:r>
              <w:rPr>
                <w:sz w:val="18"/>
              </w:rPr>
            </w:r>
            <w:r>
              <w:rPr>
                <w:sz w:val="18"/>
              </w:rPr>
              <w:t>Medium</w:t>
            </w:r>
          </w:p>
        </w:tc>
        <w:tc>
          <w:tcPr>
            <w:tcW w:type="dxa" w:w="1072"/>
            <w:vAlign w:val="top"/>
          </w:tcPr>
          <w:p>
            <w:r>
              <w:rPr>
                <w:sz w:val="18"/>
              </w:rPr>
            </w:r>
            <w:r>
              <w:rPr>
                <w:sz w:val="18"/>
              </w:rPr>
              <w:t>Privacy Officer</w:t>
            </w:r>
          </w:p>
        </w:tc>
      </w:tr>
      <w:tr>
        <w:tc>
          <w:tcPr>
            <w:tcW w:type="dxa" w:w="1072"/>
            <w:vAlign w:val="top"/>
          </w:tcPr>
          <w:p>
            <w:r>
              <w:rPr>
                <w:sz w:val="18"/>
              </w:rPr>
            </w:r>
            <w:r>
              <w:rPr>
                <w:sz w:val="18"/>
              </w:rPr>
              <w:t>R10</w:t>
            </w:r>
          </w:p>
        </w:tc>
        <w:tc>
          <w:tcPr>
            <w:tcW w:type="dxa" w:w="1072"/>
            <w:vAlign w:val="top"/>
          </w:tcPr>
          <w:p>
            <w:r>
              <w:rPr>
                <w:sz w:val="18"/>
              </w:rPr>
            </w:r>
            <w:r>
              <w:rPr>
                <w:sz w:val="18"/>
              </w:rPr>
              <w:t>Vendor must demonstrate a current SOC 2 Type II or ISO 27001 certification, encryption at rest and in transit, key management, MFA, audit logging, vulnerability management, and a documented incident-response plan; require breach notification to the company within 24 hours of detection</w:t>
            </w:r>
          </w:p>
        </w:tc>
        <w:tc>
          <w:tcPr>
            <w:tcW w:type="dxa" w:w="1072"/>
            <w:vAlign w:val="top"/>
          </w:tcPr>
          <w:p>
            <w:r>
              <w:rPr>
                <w:sz w:val="18"/>
              </w:rPr>
            </w:r>
            <w:r>
              <w:rPr>
                <w:sz w:val="18"/>
              </w:rPr>
              <w:t>Security/IT Lead (to appoint) + Vendor Owner</w:t>
            </w:r>
          </w:p>
        </w:tc>
        <w:tc>
          <w:tcPr>
            <w:tcW w:type="dxa" w:w="1072"/>
            <w:vAlign w:val="top"/>
          </w:tcPr>
          <w:p>
            <w:r>
              <w:rPr>
                <w:sz w:val="18"/>
              </w:rPr>
            </w:r>
            <w:r>
              <w:rPr>
                <w:sz w:val="18"/>
              </w:rPr>
              <w:t>Before pilot launch</w:t>
            </w:r>
          </w:p>
        </w:tc>
        <w:tc>
          <w:tcPr>
            <w:tcW w:type="dxa" w:w="1072"/>
            <w:vAlign w:val="top"/>
          </w:tcPr>
          <w:p>
            <w:r>
              <w:rPr>
                <w:sz w:val="18"/>
              </w:rPr>
            </w:r>
            <w:r>
              <w:rPr>
                <w:sz w:val="18"/>
              </w:rPr>
              <w:t>1</w:t>
            </w:r>
          </w:p>
        </w:tc>
        <w:tc>
          <w:tcPr>
            <w:tcW w:type="dxa" w:w="1072"/>
            <w:vAlign w:val="top"/>
          </w:tcPr>
          <w:p>
            <w:r>
              <w:rPr>
                <w:sz w:val="18"/>
              </w:rPr>
            </w:r>
            <w:r>
              <w:rPr>
                <w:sz w:val="18"/>
              </w:rPr>
              <w:t>3</w:t>
            </w:r>
          </w:p>
        </w:tc>
        <w:tc>
          <w:tcPr>
            <w:tcW w:type="dxa" w:w="1072"/>
            <w:vAlign w:val="top"/>
          </w:tcPr>
          <w:p>
            <w:r>
              <w:rPr>
                <w:sz w:val="18"/>
              </w:rPr>
            </w:r>
            <w:r>
              <w:rPr>
                <w:sz w:val="18"/>
              </w:rPr>
              <w:t>3</w:t>
            </w:r>
          </w:p>
        </w:tc>
        <w:tc>
          <w:tcPr>
            <w:tcW w:type="dxa" w:w="1072"/>
            <w:vAlign w:val="top"/>
          </w:tcPr>
          <w:p>
            <w:r>
              <w:rPr>
                <w:sz w:val="18"/>
              </w:rPr>
            </w:r>
            <w:r>
              <w:rPr>
                <w:sz w:val="18"/>
              </w:rPr>
              <w:t>Medium</w:t>
            </w:r>
          </w:p>
        </w:tc>
        <w:tc>
          <w:tcPr>
            <w:tcW w:type="dxa" w:w="1072"/>
            <w:vAlign w:val="top"/>
          </w:tcPr>
          <w:p>
            <w:r>
              <w:rPr>
                <w:sz w:val="18"/>
              </w:rPr>
            </w:r>
            <w:r>
              <w:rPr>
                <w:sz w:val="18"/>
              </w:rPr>
              <w:t>Privacy Officer + Executive Sponsor</w:t>
            </w:r>
          </w:p>
        </w:tc>
      </w:tr>
      <w:tr>
        <w:tc>
          <w:tcPr>
            <w:tcW w:type="dxa" w:w="1072"/>
            <w:vAlign w:val="top"/>
          </w:tcPr>
          <w:p>
            <w:r>
              <w:rPr>
                <w:sz w:val="18"/>
              </w:rPr>
            </w:r>
            <w:r>
              <w:rPr>
                <w:sz w:val="18"/>
              </w:rPr>
              <w:t>R11</w:t>
            </w:r>
          </w:p>
        </w:tc>
        <w:tc>
          <w:tcPr>
            <w:tcW w:type="dxa" w:w="1072"/>
            <w:vAlign w:val="top"/>
          </w:tcPr>
          <w:p>
            <w:r>
              <w:rPr>
                <w:sz w:val="18"/>
              </w:rPr>
            </w:r>
            <w:r>
              <w:rPr>
                <w:sz w:val="18"/>
              </w:rPr>
              <w:t>(a) Limit vendor-side identifiability to event flags; identifiable linkage held company-side only where possible; (b) review vendor data model for re-id risk; (c) restrict combined exports of biometric + GPS + telematics + identity to Legal-approved circumstances</w:t>
            </w:r>
          </w:p>
        </w:tc>
        <w:tc>
          <w:tcPr>
            <w:tcW w:type="dxa" w:w="1072"/>
            <w:vAlign w:val="top"/>
          </w:tcPr>
          <w:p>
            <w:r>
              <w:rPr>
                <w:sz w:val="18"/>
              </w:rPr>
            </w:r>
            <w:r>
              <w:rPr>
                <w:sz w:val="18"/>
              </w:rPr>
              <w:t>Security/IT Lead + Vendor Owner</w:t>
            </w:r>
          </w:p>
        </w:tc>
        <w:tc>
          <w:tcPr>
            <w:tcW w:type="dxa" w:w="1072"/>
            <w:vAlign w:val="top"/>
          </w:tcPr>
          <w:p>
            <w:r>
              <w:rPr>
                <w:sz w:val="18"/>
              </w:rPr>
            </w:r>
            <w:r>
              <w:rPr>
                <w:sz w:val="18"/>
              </w:rPr>
              <w:t>Before pilot launch</w:t>
            </w:r>
          </w:p>
        </w:tc>
        <w:tc>
          <w:tcPr>
            <w:tcW w:type="dxa" w:w="1072"/>
            <w:vAlign w:val="top"/>
          </w:tcPr>
          <w:p>
            <w:r>
              <w:rPr>
                <w:sz w:val="18"/>
              </w:rPr>
            </w:r>
            <w:r>
              <w:rPr>
                <w:sz w:val="18"/>
              </w:rPr>
              <w:t>1</w:t>
            </w:r>
          </w:p>
        </w:tc>
        <w:tc>
          <w:tcPr>
            <w:tcW w:type="dxa" w:w="1072"/>
            <w:vAlign w:val="top"/>
          </w:tcPr>
          <w:p>
            <w:r>
              <w:rPr>
                <w:sz w:val="18"/>
              </w:rPr>
            </w:r>
            <w:r>
              <w:rPr>
                <w:sz w:val="18"/>
              </w:rPr>
              <w:t>2</w:t>
            </w:r>
          </w:p>
        </w:tc>
        <w:tc>
          <w:tcPr>
            <w:tcW w:type="dxa" w:w="1072"/>
            <w:vAlign w:val="top"/>
          </w:tcPr>
          <w:p>
            <w:r>
              <w:rPr>
                <w:sz w:val="18"/>
              </w:rPr>
            </w:r>
            <w:r>
              <w:rPr>
                <w:sz w:val="18"/>
              </w:rPr>
              <w:t>2</w:t>
            </w:r>
          </w:p>
        </w:tc>
        <w:tc>
          <w:tcPr>
            <w:tcW w:type="dxa" w:w="1072"/>
            <w:vAlign w:val="top"/>
          </w:tcPr>
          <w:p>
            <w:r>
              <w:rPr>
                <w:sz w:val="18"/>
              </w:rPr>
            </w:r>
            <w:r>
              <w:rPr>
                <w:sz w:val="18"/>
              </w:rPr>
              <w:t>Low</w:t>
            </w:r>
          </w:p>
        </w:tc>
        <w:tc>
          <w:tcPr>
            <w:tcW w:type="dxa" w:w="1072"/>
            <w:vAlign w:val="top"/>
          </w:tcPr>
          <w:p>
            <w:r>
              <w:rPr>
                <w:sz w:val="18"/>
              </w:rPr>
            </w:r>
            <w:r>
              <w:rPr>
                <w:sz w:val="18"/>
              </w:rPr>
              <w:t>Privacy Officer</w:t>
            </w:r>
          </w:p>
        </w:tc>
      </w:tr>
      <w:tr>
        <w:tc>
          <w:tcPr>
            <w:tcW w:type="dxa" w:w="1072"/>
            <w:vAlign w:val="top"/>
          </w:tcPr>
          <w:p>
            <w:r>
              <w:rPr>
                <w:sz w:val="18"/>
              </w:rPr>
            </w:r>
            <w:r>
              <w:rPr>
                <w:sz w:val="18"/>
              </w:rPr>
              <w:t>R12</w:t>
            </w:r>
          </w:p>
        </w:tc>
        <w:tc>
          <w:tcPr>
            <w:tcW w:type="dxa" w:w="1072"/>
            <w:vAlign w:val="top"/>
          </w:tcPr>
          <w:p>
            <w:r>
              <w:rPr>
                <w:sz w:val="18"/>
              </w:rPr>
            </w:r>
            <w:r>
              <w:rPr>
                <w:sz w:val="18"/>
              </w:rPr>
              <w:t>(a) HR engagement and communication plan; (b) Q&amp;A and an independent driver feedback channel; (c) commit to no monitoring data being used for non-safety performance management; (d) periodic program review with driver representatives</w:t>
            </w:r>
          </w:p>
        </w:tc>
        <w:tc>
          <w:tcPr>
            <w:tcW w:type="dxa" w:w="1072"/>
            <w:vAlign w:val="top"/>
          </w:tcPr>
          <w:p>
            <w:r>
              <w:rPr>
                <w:sz w:val="18"/>
              </w:rPr>
            </w:r>
            <w:r>
              <w:rPr>
                <w:sz w:val="18"/>
              </w:rPr>
              <w:t>HR</w:t>
            </w:r>
          </w:p>
        </w:tc>
        <w:tc>
          <w:tcPr>
            <w:tcW w:type="dxa" w:w="1072"/>
            <w:vAlign w:val="top"/>
          </w:tcPr>
          <w:p>
            <w:r>
              <w:rPr>
                <w:sz w:val="18"/>
              </w:rPr>
            </w:r>
            <w:r>
              <w:rPr>
                <w:sz w:val="18"/>
              </w:rPr>
              <w:t>Before pilot launch</w:t>
            </w:r>
          </w:p>
        </w:tc>
        <w:tc>
          <w:tcPr>
            <w:tcW w:type="dxa" w:w="1072"/>
            <w:vAlign w:val="top"/>
          </w:tcPr>
          <w:p>
            <w:r>
              <w:rPr>
                <w:sz w:val="18"/>
              </w:rPr>
            </w:r>
            <w:r>
              <w:rPr>
                <w:sz w:val="18"/>
              </w:rPr>
              <w:t>1</w:t>
            </w:r>
          </w:p>
        </w:tc>
        <w:tc>
          <w:tcPr>
            <w:tcW w:type="dxa" w:w="1072"/>
            <w:vAlign w:val="top"/>
          </w:tcPr>
          <w:p>
            <w:r>
              <w:rPr>
                <w:sz w:val="18"/>
              </w:rPr>
            </w:r>
            <w:r>
              <w:rPr>
                <w:sz w:val="18"/>
              </w:rPr>
              <w:t>2</w:t>
            </w:r>
          </w:p>
        </w:tc>
        <w:tc>
          <w:tcPr>
            <w:tcW w:type="dxa" w:w="1072"/>
            <w:vAlign w:val="top"/>
          </w:tcPr>
          <w:p>
            <w:r>
              <w:rPr>
                <w:sz w:val="18"/>
              </w:rPr>
            </w:r>
            <w:r>
              <w:rPr>
                <w:sz w:val="18"/>
              </w:rPr>
              <w:t>2</w:t>
            </w:r>
          </w:p>
        </w:tc>
        <w:tc>
          <w:tcPr>
            <w:tcW w:type="dxa" w:w="1072"/>
            <w:vAlign w:val="top"/>
          </w:tcPr>
          <w:p>
            <w:r>
              <w:rPr>
                <w:sz w:val="18"/>
              </w:rPr>
            </w:r>
            <w:r>
              <w:rPr>
                <w:sz w:val="18"/>
              </w:rPr>
              <w:t>Low</w:t>
            </w:r>
          </w:p>
        </w:tc>
        <w:tc>
          <w:tcPr>
            <w:tcW w:type="dxa" w:w="1072"/>
            <w:vAlign w:val="top"/>
          </w:tcPr>
          <w:p>
            <w:r>
              <w:rPr>
                <w:sz w:val="18"/>
              </w:rPr>
            </w:r>
            <w:r>
              <w:rPr>
                <w:sz w:val="18"/>
              </w:rPr>
              <w:t>HR Lead</w:t>
            </w:r>
          </w:p>
        </w:tc>
      </w:tr>
      <w:tr>
        <w:tc>
          <w:tcPr>
            <w:tcW w:type="dxa" w:w="1072"/>
            <w:vAlign w:val="top"/>
          </w:tcPr>
          <w:p>
            <w:r>
              <w:rPr>
                <w:sz w:val="18"/>
              </w:rPr>
            </w:r>
            <w:r>
              <w:rPr>
                <w:sz w:val="18"/>
              </w:rPr>
              <w:t>R13</w:t>
            </w:r>
          </w:p>
        </w:tc>
        <w:tc>
          <w:tcPr>
            <w:tcW w:type="dxa" w:w="1072"/>
            <w:vAlign w:val="top"/>
          </w:tcPr>
          <w:p>
            <w:r>
              <w:rPr>
                <w:sz w:val="18"/>
              </w:rPr>
            </w:r>
            <w:r>
              <w:rPr>
                <w:sz w:val="18"/>
              </w:rPr>
              <w:t>Engage U.S. counsel to assess Illinois BIPA, Texas CUBI, Washington My Health My Data Act, California CCPA/CPRA exposure; implement BIPA-style written policy, retention schedule, written informed consent, no-sale/no-disclosure, security obligations as a baseline across the U.S. footprint</w:t>
            </w:r>
          </w:p>
        </w:tc>
        <w:tc>
          <w:tcPr>
            <w:tcW w:type="dxa" w:w="1072"/>
            <w:vAlign w:val="top"/>
          </w:tcPr>
          <w:p>
            <w:r>
              <w:rPr>
                <w:sz w:val="18"/>
              </w:rPr>
            </w:r>
            <w:r>
              <w:rPr>
                <w:sz w:val="18"/>
              </w:rPr>
              <w:t>General Counsel + U.S. Counsel</w:t>
            </w:r>
          </w:p>
        </w:tc>
        <w:tc>
          <w:tcPr>
            <w:tcW w:type="dxa" w:w="1072"/>
            <w:vAlign w:val="top"/>
          </w:tcPr>
          <w:p>
            <w:r>
              <w:rPr>
                <w:sz w:val="18"/>
              </w:rPr>
            </w:r>
            <w:r>
              <w:rPr>
                <w:sz w:val="18"/>
              </w:rPr>
              <w:t>Before any U.S. driver data handling</w:t>
            </w:r>
          </w:p>
        </w:tc>
        <w:tc>
          <w:tcPr>
            <w:tcW w:type="dxa" w:w="1072"/>
            <w:vAlign w:val="top"/>
          </w:tcPr>
          <w:p>
            <w:r>
              <w:rPr>
                <w:sz w:val="18"/>
              </w:rPr>
            </w:r>
            <w:r>
              <w:rPr>
                <w:sz w:val="18"/>
              </w:rPr>
              <w:t>1</w:t>
            </w:r>
          </w:p>
        </w:tc>
        <w:tc>
          <w:tcPr>
            <w:tcW w:type="dxa" w:w="1072"/>
            <w:vAlign w:val="top"/>
          </w:tcPr>
          <w:p>
            <w:r>
              <w:rPr>
                <w:sz w:val="18"/>
              </w:rPr>
            </w:r>
            <w:r>
              <w:rPr>
                <w:sz w:val="18"/>
              </w:rPr>
              <w:t>3</w:t>
            </w:r>
          </w:p>
        </w:tc>
        <w:tc>
          <w:tcPr>
            <w:tcW w:type="dxa" w:w="1072"/>
            <w:vAlign w:val="top"/>
          </w:tcPr>
          <w:p>
            <w:r>
              <w:rPr>
                <w:sz w:val="18"/>
              </w:rPr>
            </w:r>
            <w:r>
              <w:rPr>
                <w:sz w:val="18"/>
              </w:rPr>
              <w:t>3</w:t>
            </w:r>
          </w:p>
        </w:tc>
        <w:tc>
          <w:tcPr>
            <w:tcW w:type="dxa" w:w="1072"/>
            <w:vAlign w:val="top"/>
          </w:tcPr>
          <w:p>
            <w:r>
              <w:rPr>
                <w:sz w:val="18"/>
              </w:rPr>
            </w:r>
            <w:r>
              <w:rPr>
                <w:sz w:val="18"/>
              </w:rPr>
              <w:t>Medium</w:t>
            </w:r>
          </w:p>
        </w:tc>
        <w:tc>
          <w:tcPr>
            <w:tcW w:type="dxa" w:w="1072"/>
            <w:vAlign w:val="top"/>
          </w:tcPr>
          <w:p>
            <w:r>
              <w:rPr>
                <w:sz w:val="18"/>
              </w:rPr>
            </w:r>
            <w:r>
              <w:rPr>
                <w:sz w:val="18"/>
              </w:rPr>
              <w:t>General Counsel</w:t>
            </w:r>
          </w:p>
        </w:tc>
      </w:tr>
      <w:tr>
        <w:tc>
          <w:tcPr>
            <w:tcW w:type="dxa" w:w="1072"/>
            <w:vAlign w:val="top"/>
          </w:tcPr>
          <w:p>
            <w:r>
              <w:rPr>
                <w:sz w:val="18"/>
              </w:rPr>
            </w:r>
            <w:r>
              <w:rPr>
                <w:sz w:val="18"/>
              </w:rPr>
              <w:t>R14</w:t>
            </w:r>
          </w:p>
        </w:tc>
        <w:tc>
          <w:tcPr>
            <w:tcW w:type="dxa" w:w="1072"/>
            <w:vAlign w:val="top"/>
          </w:tcPr>
          <w:p>
            <w:r>
              <w:rPr>
                <w:sz w:val="18"/>
              </w:rPr>
            </w:r>
            <w:r>
              <w:rPr>
                <w:sz w:val="18"/>
              </w:rPr>
              <w:t>(a) Vendor anti-tamper and anti-spoof controls described and tested; (b) in-cab device firmware integrity and secure update; (c) physical security on lost/stolen trucks; (d) sensor-bypass attempt logging and review</w:t>
            </w:r>
          </w:p>
        </w:tc>
        <w:tc>
          <w:tcPr>
            <w:tcW w:type="dxa" w:w="1072"/>
            <w:vAlign w:val="top"/>
          </w:tcPr>
          <w:p>
            <w:r>
              <w:rPr>
                <w:sz w:val="18"/>
              </w:rPr>
            </w:r>
            <w:r>
              <w:rPr>
                <w:sz w:val="18"/>
              </w:rPr>
              <w:t>Security/IT Lead + Vendor Owner</w:t>
            </w:r>
          </w:p>
        </w:tc>
        <w:tc>
          <w:tcPr>
            <w:tcW w:type="dxa" w:w="1072"/>
            <w:vAlign w:val="top"/>
          </w:tcPr>
          <w:p>
            <w:r>
              <w:rPr>
                <w:sz w:val="18"/>
              </w:rPr>
            </w:r>
            <w:r>
              <w:rPr>
                <w:sz w:val="18"/>
              </w:rPr>
              <w:t>Before pilot launch</w:t>
            </w:r>
          </w:p>
        </w:tc>
        <w:tc>
          <w:tcPr>
            <w:tcW w:type="dxa" w:w="1072"/>
            <w:vAlign w:val="top"/>
          </w:tcPr>
          <w:p>
            <w:r>
              <w:rPr>
                <w:sz w:val="18"/>
              </w:rPr>
            </w:r>
            <w:r>
              <w:rPr>
                <w:sz w:val="18"/>
              </w:rPr>
              <w:t>1</w:t>
            </w:r>
          </w:p>
        </w:tc>
        <w:tc>
          <w:tcPr>
            <w:tcW w:type="dxa" w:w="1072"/>
            <w:vAlign w:val="top"/>
          </w:tcPr>
          <w:p>
            <w:r>
              <w:rPr>
                <w:sz w:val="18"/>
              </w:rPr>
            </w:r>
            <w:r>
              <w:rPr>
                <w:sz w:val="18"/>
              </w:rPr>
              <w:t>2</w:t>
            </w:r>
          </w:p>
        </w:tc>
        <w:tc>
          <w:tcPr>
            <w:tcW w:type="dxa" w:w="1072"/>
            <w:vAlign w:val="top"/>
          </w:tcPr>
          <w:p>
            <w:r>
              <w:rPr>
                <w:sz w:val="18"/>
              </w:rPr>
            </w:r>
            <w:r>
              <w:rPr>
                <w:sz w:val="18"/>
              </w:rPr>
              <w:t>2</w:t>
            </w:r>
          </w:p>
        </w:tc>
        <w:tc>
          <w:tcPr>
            <w:tcW w:type="dxa" w:w="1072"/>
            <w:vAlign w:val="top"/>
          </w:tcPr>
          <w:p>
            <w:r>
              <w:rPr>
                <w:sz w:val="18"/>
              </w:rPr>
            </w:r>
            <w:r>
              <w:rPr>
                <w:sz w:val="18"/>
              </w:rPr>
              <w:t>Low</w:t>
            </w:r>
          </w:p>
        </w:tc>
        <w:tc>
          <w:tcPr>
            <w:tcW w:type="dxa" w:w="1072"/>
            <w:vAlign w:val="top"/>
          </w:tcPr>
          <w:p>
            <w:r>
              <w:rPr>
                <w:sz w:val="18"/>
              </w:rPr>
            </w:r>
            <w:r>
              <w:rPr>
                <w:sz w:val="18"/>
              </w:rPr>
              <w:t>Security/IT Lead</w:t>
            </w:r>
          </w:p>
        </w:tc>
      </w:tr>
      <w:tr>
        <w:tc>
          <w:tcPr>
            <w:tcW w:type="dxa" w:w="1072"/>
            <w:vAlign w:val="top"/>
          </w:tcPr>
          <w:p>
            <w:r>
              <w:rPr>
                <w:sz w:val="18"/>
              </w:rPr>
            </w:r>
            <w:r>
              <w:rPr>
                <w:sz w:val="18"/>
              </w:rPr>
              <w:t>R15</w:t>
            </w:r>
          </w:p>
        </w:tc>
        <w:tc>
          <w:tcPr>
            <w:tcW w:type="dxa" w:w="1072"/>
            <w:vAlign w:val="top"/>
          </w:tcPr>
          <w:p>
            <w:r>
              <w:rPr>
                <w:sz w:val="18"/>
              </w:rPr>
            </w:r>
            <w:r>
              <w:rPr>
                <w:sz w:val="18"/>
              </w:rPr>
              <w:t>(a) Disclose health-data inference risk in the privacy notice; (b) prohibit any use of the chemistry signal for non-impairment purposes; (c) build a medical-exception process; (d) ensure the data is treated as sensitive in all storage, access, and retention decisions</w:t>
            </w:r>
          </w:p>
        </w:tc>
        <w:tc>
          <w:tcPr>
            <w:tcW w:type="dxa" w:w="1072"/>
            <w:vAlign w:val="top"/>
          </w:tcPr>
          <w:p>
            <w:r>
              <w:rPr>
                <w:sz w:val="18"/>
              </w:rPr>
            </w:r>
            <w:r>
              <w:rPr>
                <w:sz w:val="18"/>
              </w:rPr>
              <w:t>General Counsel + Medical / HR Lead</w:t>
            </w:r>
          </w:p>
        </w:tc>
        <w:tc>
          <w:tcPr>
            <w:tcW w:type="dxa" w:w="1072"/>
            <w:vAlign w:val="top"/>
          </w:tcPr>
          <w:p>
            <w:r>
              <w:rPr>
                <w:sz w:val="18"/>
              </w:rPr>
            </w:r>
            <w:r>
              <w:rPr>
                <w:sz w:val="18"/>
              </w:rPr>
              <w:t>Before pilot launch</w:t>
            </w:r>
          </w:p>
        </w:tc>
        <w:tc>
          <w:tcPr>
            <w:tcW w:type="dxa" w:w="1072"/>
            <w:vAlign w:val="top"/>
          </w:tcPr>
          <w:p>
            <w:r>
              <w:rPr>
                <w:sz w:val="18"/>
              </w:rPr>
            </w:r>
            <w:r>
              <w:rPr>
                <w:sz w:val="18"/>
              </w:rPr>
              <w:t>1</w:t>
            </w:r>
          </w:p>
        </w:tc>
        <w:tc>
          <w:tcPr>
            <w:tcW w:type="dxa" w:w="1072"/>
            <w:vAlign w:val="top"/>
          </w:tcPr>
          <w:p>
            <w:r>
              <w:rPr>
                <w:sz w:val="18"/>
              </w:rPr>
            </w:r>
            <w:r>
              <w:rPr>
                <w:sz w:val="18"/>
              </w:rPr>
              <w:t>2</w:t>
            </w:r>
          </w:p>
        </w:tc>
        <w:tc>
          <w:tcPr>
            <w:tcW w:type="dxa" w:w="1072"/>
            <w:vAlign w:val="top"/>
          </w:tcPr>
          <w:p>
            <w:r>
              <w:rPr>
                <w:sz w:val="18"/>
              </w:rPr>
            </w:r>
            <w:r>
              <w:rPr>
                <w:sz w:val="18"/>
              </w:rPr>
              <w:t>2</w:t>
            </w:r>
          </w:p>
        </w:tc>
        <w:tc>
          <w:tcPr>
            <w:tcW w:type="dxa" w:w="1072"/>
            <w:vAlign w:val="top"/>
          </w:tcPr>
          <w:p>
            <w:r>
              <w:rPr>
                <w:sz w:val="18"/>
              </w:rPr>
            </w:r>
            <w:r>
              <w:rPr>
                <w:sz w:val="18"/>
              </w:rPr>
              <w:t>Low</w:t>
            </w:r>
          </w:p>
        </w:tc>
        <w:tc>
          <w:tcPr>
            <w:tcW w:type="dxa" w:w="1072"/>
            <w:vAlign w:val="top"/>
          </w:tcPr>
          <w:p>
            <w:r>
              <w:rPr>
                <w:sz w:val="18"/>
              </w:rPr>
            </w:r>
            <w:r>
              <w:rPr>
                <w:sz w:val="18"/>
              </w:rPr>
              <w:t>Privacy Officer</w:t>
            </w:r>
          </w:p>
        </w:tc>
      </w:tr>
    </w:tbl>
    <w:p>
      <w:r>
        <w:rPr>
          <w:b/>
        </w:rPr>
        <w:t>Residual profile after mitigations are implemented as designed: 0 High, 5 Medium, 10 Low.</w:t>
      </w:r>
    </w:p>
    <w:p>
      <w:r>
        <w:rPr>
          <w:b/>
        </w:rPr>
        <w:t>Unmitigated risks (if any):</w:t>
      </w:r>
      <w:r>
        <w:t xml:space="preserve"> None identified, provided the conditions in Section 9 are met. If the human-in-the-loop review path (R3) cannot be implemented before disciplinary or contractual use, R3 remains High and the program should not proceed to that downstream use.</w:t>
      </w:r>
    </w:p>
    <w:p>
      <w:pPr>
        <w:pStyle w:val="Heading1"/>
      </w:pPr>
      <w:r>
        <w:t>Section 9 — Recommendations</w:t>
      </w:r>
    </w:p>
    <w:p>
      <w:pPr>
        <w:pStyle w:val="Heading2"/>
      </w:pPr>
      <w:r>
        <w:t>9.1 Overall Risk Level</w:t>
      </w:r>
    </w:p>
    <w:p>
      <w:r>
        <w:rPr>
          <w:b/>
        </w:rPr>
        <w:t>HIGH</w:t>
      </w:r>
      <w:r>
        <w:t xml:space="preserve"> as currently designed and on the current pilot timeline. </w:t>
      </w:r>
      <w:r>
        <w:rPr>
          <w:b/>
        </w:rPr>
        <w:t>Reducible to Medium-with-tolerable-residuals</w:t>
      </w:r>
      <w:r>
        <w:t xml:space="preserve"> with the conditions below.</w:t>
      </w:r>
    </w:p>
    <w:p>
      <w:pPr>
        <w:pStyle w:val="Heading2"/>
      </w:pPr>
      <w:r>
        <w:t>9.2 Recommended Decision</w:t>
      </w:r>
    </w:p>
    <w:p>
      <w:r>
        <w:rPr>
          <w:sz w:val="22"/>
        </w:rPr>
        <w:t xml:space="preserve">☐ </w:t>
      </w:r>
      <w:r>
        <w:t>Proceed</w:t>
      </w:r>
    </w:p>
    <w:p>
      <w:r>
        <w:rPr>
          <w:b/>
          <w:sz w:val="22"/>
        </w:rPr>
        <w:t xml:space="preserve">☒ </w:t>
      </w:r>
      <w:r>
        <w:rPr>
          <w:b/>
        </w:rPr>
        <w:t>Proceed with Conditions</w:t>
      </w:r>
    </w:p>
    <w:p>
      <w:r>
        <w:rPr>
          <w:sz w:val="22"/>
        </w:rPr>
        <w:t xml:space="preserve">☐ </w:t>
      </w:r>
      <w:r>
        <w:t>Do Not Proceed</w:t>
      </w:r>
    </w:p>
    <w:p>
      <w:r>
        <w:t xml:space="preserve">The initiative may proceed only after the following conditions are met. Conditions marked </w:t>
      </w:r>
      <w:r>
        <w:rPr>
          <w:b/>
        </w:rPr>
        <w:t>[Pre-Pilot]</w:t>
      </w:r>
      <w:r>
        <w:t xml:space="preserve"> must be in place before any biometric data is captured from a driver in the pilot. Conditions marked </w:t>
      </w:r>
      <w:r>
        <w:rPr>
          <w:b/>
        </w:rPr>
        <w:t>[Pre-Quebec]</w:t>
      </w:r>
      <w:r>
        <w:t xml:space="preserve"> must be in place before any data is captured from a driver who resides in or operates in Quebec. Conditions marked </w:t>
      </w:r>
      <w:r>
        <w:rPr>
          <w:b/>
        </w:rPr>
        <w:t>[Pre-U.S.]</w:t>
      </w:r>
      <w:r>
        <w:t xml:space="preserve"> must be in place before any data is captured from a driver operating in the United States. Conditions marked </w:t>
      </w:r>
      <w:r>
        <w:rPr>
          <w:b/>
        </w:rPr>
        <w:t>[Pre-Full-Rollout]</w:t>
      </w:r>
      <w:r>
        <w:t xml:space="preserve"> must be in place before fleet-wide deployment.</w:t>
      </w:r>
    </w:p>
    <w:p>
      <w:r>
        <w:rPr>
          <w:b/>
        </w:rPr>
        <w:t>[Pre-Quebec] Conditions:</w:t>
      </w:r>
    </w:p>
    <w:p>
      <w:pPr>
        <w:pStyle w:val="ListNumber"/>
      </w:pPr>
      <w:r>
        <w:rPr>
          <w:b/>
        </w:rPr>
        <w:t>CAI biometric-database declaration filed</w:t>
      </w:r>
      <w:r>
        <w:t xml:space="preserve"> under </w:t>
      </w:r>
      <w:r>
        <w:rPr>
          <w:i/>
        </w:rPr>
        <w:t>Act to establish a legal framework for IT</w:t>
      </w:r>
      <w:r>
        <w:t>, s. 45, ≥ 60 days before any Quebec driver data is captured.</w:t>
      </w:r>
    </w:p>
    <w:p>
      <w:pPr>
        <w:pStyle w:val="ListNumber"/>
      </w:pPr>
      <w:r>
        <w:rPr>
          <w:b/>
        </w:rPr>
        <w:t>Quebec Law 25 s. 17 transfer-specific PIA completed</w:t>
      </w:r>
      <w:r>
        <w:t xml:space="preserve"> for the U.S. vendor processing chain.</w:t>
      </w:r>
    </w:p>
    <w:p>
      <w:pPr>
        <w:pStyle w:val="ListNumber"/>
      </w:pPr>
      <w:r>
        <w:rPr>
          <w:b/>
        </w:rPr>
        <w:t>ADM disclosure and human-review path</w:t>
      </w:r>
      <w:r>
        <w:t xml:space="preserve"> in place per Law 25 s. 12.1.</w:t>
      </w:r>
    </w:p>
    <w:p>
      <w:r>
        <w:rPr>
          <w:b/>
        </w:rPr>
        <w:t>[Pre-Pilot] Conditions:</w:t>
      </w:r>
    </w:p>
    <w:p>
      <w:pPr>
        <w:pStyle w:val="ListNumber"/>
      </w:pPr>
      <w:r>
        <w:rPr>
          <w:b/>
        </w:rPr>
        <w:t>Privacy Officer appointed and published</w:t>
      </w:r>
      <w:r>
        <w:t xml:space="preserve"> (name, title, contact) on the company website, per Law 25 s. 3.1 and PIPEDA Sch. 1 Principle 4.1.</w:t>
      </w:r>
    </w:p>
    <w:p>
      <w:pPr>
        <w:pStyle w:val="ListNumber"/>
      </w:pPr>
      <w:r>
        <w:rPr>
          <w:b/>
        </w:rPr>
        <w:t>Security/IT Lead appointed</w:t>
      </w:r>
      <w:r>
        <w:t>.</w:t>
      </w:r>
    </w:p>
    <w:p>
      <w:pPr>
        <w:pStyle w:val="ListNumber"/>
      </w:pPr>
      <w:r>
        <w:rPr>
          <w:b/>
        </w:rPr>
        <w:t>HR engaged</w:t>
      </w:r>
      <w:r>
        <w:t>, with a 30–60 day driver consultation and notice period planned.</w:t>
      </w:r>
    </w:p>
    <w:p>
      <w:pPr>
        <w:pStyle w:val="ListNumber"/>
      </w:pPr>
      <w:r>
        <w:rPr>
          <w:b/>
        </w:rPr>
        <w:t>Layered privacy notice</w:t>
      </w:r>
      <w:r>
        <w:t xml:space="preserve"> drafted, reviewed, and ready for publication.</w:t>
      </w:r>
    </w:p>
    <w:p>
      <w:pPr>
        <w:pStyle w:val="ListNumber"/>
      </w:pPr>
      <w:r>
        <w:rPr>
          <w:b/>
        </w:rPr>
        <w:t>Express employee acknowledgement and contractor consent forms</w:t>
      </w:r>
      <w:r>
        <w:t xml:space="preserve"> drafted and reviewed.</w:t>
      </w:r>
    </w:p>
    <w:p>
      <w:pPr>
        <w:pStyle w:val="ListNumber"/>
      </w:pPr>
      <w:r>
        <w:rPr>
          <w:b/>
        </w:rPr>
        <w:t>Documented retention schedule</w:t>
      </w:r>
      <w:r>
        <w:t xml:space="preserve"> with separate rules for raw signal, computed scores, and flagged events.</w:t>
      </w:r>
    </w:p>
    <w:p>
      <w:pPr>
        <w:pStyle w:val="ListNumber"/>
      </w:pPr>
      <w:r>
        <w:rPr>
          <w:b/>
        </w:rPr>
        <w:t>Vendor contract executed</w:t>
      </w:r>
      <w:r>
        <w:t xml:space="preserve"> with the data-protection schedule described in R7, R6, R10.</w:t>
      </w:r>
    </w:p>
    <w:p>
      <w:pPr>
        <w:pStyle w:val="ListNumber"/>
      </w:pPr>
      <w:r>
        <w:rPr>
          <w:b/>
        </w:rPr>
        <w:t>Vendor security evidence reviewed</w:t>
      </w:r>
      <w:r>
        <w:t xml:space="preserve"> (SOC 2 Type II or ISO 27001, encryption, MFA, logging, IR plan).</w:t>
      </w:r>
    </w:p>
    <w:p>
      <w:pPr>
        <w:pStyle w:val="ListNumber"/>
      </w:pPr>
      <w:r>
        <w:rPr>
          <w:b/>
        </w:rPr>
        <w:t>Human-in-the-loop review path</w:t>
      </w:r>
      <w:r>
        <w:t xml:space="preserve"> documented, with a defined contestation channel and ≤ 30-day response timeline.</w:t>
      </w:r>
    </w:p>
    <w:p>
      <w:pPr>
        <w:pStyle w:val="ListNumber"/>
      </w:pPr>
      <w:r>
        <w:rPr>
          <w:b/>
        </w:rPr>
        <w:t>False-positive / medical-exception process</w:t>
      </w:r>
      <w:r>
        <w:t xml:space="preserve"> documented.</w:t>
      </w:r>
    </w:p>
    <w:p>
      <w:pPr>
        <w:pStyle w:val="ListNumber"/>
      </w:pPr>
      <w:r>
        <w:rPr>
          <w:b/>
        </w:rPr>
        <w:t>Threat model and security review</w:t>
      </w:r>
      <w:r>
        <w:t xml:space="preserve"> of in-cab device, transmission, and cloud architecture completed.</w:t>
      </w:r>
    </w:p>
    <w:p>
      <w:pPr>
        <w:pStyle w:val="ListNumber"/>
      </w:pPr>
      <w:r>
        <w:rPr>
          <w:b/>
        </w:rPr>
        <w:t>Documented proportionality analysis</w:t>
      </w:r>
      <w:r>
        <w:t xml:space="preserve"> under PIPEDA workplace-surveillance jurisprudence, addressing necessity, effectiveness, proportionality, and less-intrusive alternatives.</w:t>
      </w:r>
    </w:p>
    <w:p>
      <w:r>
        <w:rPr>
          <w:b/>
        </w:rPr>
        <w:t>[Pre-U.S.] Conditions:</w:t>
      </w:r>
    </w:p>
    <w:p>
      <w:pPr>
        <w:pStyle w:val="ListNumber"/>
      </w:pPr>
      <w:r>
        <w:rPr>
          <w:b/>
        </w:rPr>
        <w:t>U.S. counsel review</w:t>
      </w:r>
      <w:r>
        <w:t xml:space="preserve"> of Illinois BIPA, Texas CUBI, Washington My Health My Data Act, and California CCPA/CPRA exposure, with a written compliance plan implemented.</w:t>
      </w:r>
    </w:p>
    <w:p>
      <w:r>
        <w:rPr>
          <w:b/>
        </w:rPr>
        <w:t>[Pre-Full-Rollout] Conditions:</w:t>
      </w:r>
    </w:p>
    <w:p>
      <w:pPr>
        <w:pStyle w:val="ListNumber"/>
      </w:pPr>
      <w:r>
        <w:rPr>
          <w:b/>
        </w:rPr>
        <w:t>Pilot retrospective</w:t>
      </w:r>
      <w:r>
        <w:t>: data from the pilot reviewed for false-positive rate, contestation outcomes, and operational issues; mitigations adjusted before scaling.</w:t>
      </w:r>
    </w:p>
    <w:p>
      <w:pPr>
        <w:pStyle w:val="ListNumber"/>
      </w:pPr>
      <w:r>
        <w:rPr>
          <w:b/>
        </w:rPr>
        <w:t>All conditions above re-confirmed at fleet scale.</w:t>
      </w:r>
    </w:p>
    <w:p>
      <w:pPr>
        <w:pStyle w:val="ListNumber"/>
      </w:pPr>
      <w:r>
        <w:rPr>
          <w:b/>
        </w:rPr>
        <w:t>Privacy notice and consent forms re-confirmed for any new jurisdictions</w:t>
      </w:r>
      <w:r>
        <w:t xml:space="preserve"> added to the rollout.</w:t>
      </w:r>
    </w:p>
    <w:p>
      <w:pPr>
        <w:pStyle w:val="Heading2"/>
      </w:pPr>
      <w:r>
        <w:t>9.3 Priority Actions</w:t>
      </w:r>
    </w:p>
    <w:tbl>
      <w:tblPr>
        <w:tblStyle w:val="LightGrid-Accent1"/>
        <w:tblW w:type="auto" w:w="0"/>
        <w:tblLayout w:type="autofit"/>
        <w:tblLook w:firstColumn="1" w:firstRow="1" w:lastColumn="0" w:lastRow="0" w:noHBand="0" w:noVBand="1" w:val="04A0"/>
      </w:tblPr>
      <w:tblGrid>
        <w:gridCol w:w="2412"/>
        <w:gridCol w:w="2412"/>
        <w:gridCol w:w="2412"/>
        <w:gridCol w:w="2412"/>
      </w:tblGrid>
      <w:tr>
        <w:tc>
          <w:tcPr>
            <w:tcW w:type="dxa" w:w="2412"/>
            <w:vAlign w:val="top"/>
            <w:shd w:val="clear" w:color="auto" w:fill="1F3864"/>
          </w:tcPr>
          <w:p>
            <w:r>
              <w:rPr>
                <w:b/>
                <w:color w:val="FFFFFF"/>
                <w:sz w:val="18"/>
              </w:rPr>
            </w:r>
            <w:r>
              <w:rPr>
                <w:b/>
                <w:color w:val="FFFFFF"/>
                <w:sz w:val="18"/>
              </w:rPr>
              <w:t>Priority</w:t>
            </w:r>
          </w:p>
        </w:tc>
        <w:tc>
          <w:tcPr>
            <w:tcW w:type="dxa" w:w="2412"/>
            <w:vAlign w:val="top"/>
            <w:shd w:val="clear" w:color="auto" w:fill="1F3864"/>
          </w:tcPr>
          <w:p>
            <w:r>
              <w:rPr>
                <w:b/>
                <w:color w:val="FFFFFF"/>
                <w:sz w:val="18"/>
              </w:rPr>
            </w:r>
            <w:r>
              <w:rPr>
                <w:b/>
                <w:color w:val="FFFFFF"/>
                <w:sz w:val="18"/>
              </w:rPr>
              <w:t>Action</w:t>
            </w:r>
          </w:p>
        </w:tc>
        <w:tc>
          <w:tcPr>
            <w:tcW w:type="dxa" w:w="2412"/>
            <w:vAlign w:val="top"/>
            <w:shd w:val="clear" w:color="auto" w:fill="1F3864"/>
          </w:tcPr>
          <w:p>
            <w:r>
              <w:rPr>
                <w:b/>
                <w:color w:val="FFFFFF"/>
                <w:sz w:val="18"/>
              </w:rPr>
            </w:r>
            <w:r>
              <w:rPr>
                <w:b/>
                <w:color w:val="FFFFFF"/>
                <w:sz w:val="18"/>
              </w:rPr>
              <w:t>Owner</w:t>
            </w:r>
          </w:p>
        </w:tc>
        <w:tc>
          <w:tcPr>
            <w:tcW w:type="dxa" w:w="2412"/>
            <w:vAlign w:val="top"/>
            <w:shd w:val="clear" w:color="auto" w:fill="1F3864"/>
          </w:tcPr>
          <w:p>
            <w:r>
              <w:rPr>
                <w:b/>
                <w:color w:val="FFFFFF"/>
                <w:sz w:val="18"/>
              </w:rPr>
            </w:r>
            <w:r>
              <w:rPr>
                <w:b/>
                <w:color w:val="FFFFFF"/>
                <w:sz w:val="18"/>
              </w:rPr>
              <w:t>Due Date</w:t>
            </w:r>
          </w:p>
        </w:tc>
      </w:tr>
      <w:tr>
        <w:tc>
          <w:tcPr>
            <w:tcW w:type="dxa" w:w="2412"/>
            <w:vAlign w:val="top"/>
          </w:tcPr>
          <w:p>
            <w:r>
              <w:rPr>
                <w:sz w:val="18"/>
              </w:rPr>
            </w:r>
            <w:r>
              <w:rPr>
                <w:b/>
                <w:sz w:val="18"/>
              </w:rPr>
              <w:t>Critical</w:t>
            </w:r>
          </w:p>
        </w:tc>
        <w:tc>
          <w:tcPr>
            <w:tcW w:type="dxa" w:w="2412"/>
            <w:vAlign w:val="top"/>
          </w:tcPr>
          <w:p>
            <w:r>
              <w:rPr>
                <w:sz w:val="18"/>
              </w:rPr>
            </w:r>
            <w:r>
              <w:rPr>
                <w:sz w:val="18"/>
              </w:rPr>
              <w:t>File CAI biometric-database declaration</w:t>
            </w:r>
          </w:p>
        </w:tc>
        <w:tc>
          <w:tcPr>
            <w:tcW w:type="dxa" w:w="2412"/>
            <w:vAlign w:val="top"/>
          </w:tcPr>
          <w:p>
            <w:r>
              <w:rPr>
                <w:sz w:val="18"/>
              </w:rPr>
            </w:r>
            <w:r>
              <w:rPr>
                <w:sz w:val="18"/>
              </w:rPr>
              <w:t>General Counsel</w:t>
            </w:r>
          </w:p>
        </w:tc>
        <w:tc>
          <w:tcPr>
            <w:tcW w:type="dxa" w:w="2412"/>
            <w:vAlign w:val="top"/>
          </w:tcPr>
          <w:p>
            <w:r>
              <w:rPr>
                <w:sz w:val="18"/>
              </w:rPr>
            </w:r>
            <w:r>
              <w:rPr>
                <w:sz w:val="18"/>
              </w:rPr>
              <w:t>≥ 60 days before any Quebec-driver data</w:t>
            </w:r>
          </w:p>
        </w:tc>
      </w:tr>
      <w:tr>
        <w:tc>
          <w:tcPr>
            <w:tcW w:type="dxa" w:w="2412"/>
            <w:vAlign w:val="top"/>
          </w:tcPr>
          <w:p>
            <w:r>
              <w:rPr>
                <w:sz w:val="18"/>
              </w:rPr>
            </w:r>
            <w:r>
              <w:rPr>
                <w:b/>
                <w:sz w:val="18"/>
              </w:rPr>
              <w:t>Critical</w:t>
            </w:r>
          </w:p>
        </w:tc>
        <w:tc>
          <w:tcPr>
            <w:tcW w:type="dxa" w:w="2412"/>
            <w:vAlign w:val="top"/>
          </w:tcPr>
          <w:p>
            <w:r>
              <w:rPr>
                <w:sz w:val="18"/>
              </w:rPr>
            </w:r>
            <w:r>
              <w:rPr>
                <w:sz w:val="18"/>
              </w:rPr>
              <w:t>Execute vendor contract with data-protection schedule</w:t>
            </w:r>
          </w:p>
        </w:tc>
        <w:tc>
          <w:tcPr>
            <w:tcW w:type="dxa" w:w="2412"/>
            <w:vAlign w:val="top"/>
          </w:tcPr>
          <w:p>
            <w:r>
              <w:rPr>
                <w:sz w:val="18"/>
              </w:rPr>
            </w:r>
            <w:r>
              <w:rPr>
                <w:sz w:val="18"/>
              </w:rPr>
              <w:t>General Counsel + Vendor Owner</w:t>
            </w:r>
          </w:p>
        </w:tc>
        <w:tc>
          <w:tcPr>
            <w:tcW w:type="dxa" w:w="2412"/>
            <w:vAlign w:val="top"/>
          </w:tcPr>
          <w:p>
            <w:r>
              <w:rPr>
                <w:sz w:val="18"/>
              </w:rPr>
            </w:r>
            <w:r>
              <w:rPr>
                <w:sz w:val="18"/>
              </w:rPr>
              <w:t>Before pilot launch</w:t>
            </w:r>
          </w:p>
        </w:tc>
      </w:tr>
      <w:tr>
        <w:tc>
          <w:tcPr>
            <w:tcW w:type="dxa" w:w="2412"/>
            <w:vAlign w:val="top"/>
          </w:tcPr>
          <w:p>
            <w:r>
              <w:rPr>
                <w:sz w:val="18"/>
              </w:rPr>
            </w:r>
            <w:r>
              <w:rPr>
                <w:b/>
                <w:sz w:val="18"/>
              </w:rPr>
              <w:t>Critical</w:t>
            </w:r>
          </w:p>
        </w:tc>
        <w:tc>
          <w:tcPr>
            <w:tcW w:type="dxa" w:w="2412"/>
            <w:vAlign w:val="top"/>
          </w:tcPr>
          <w:p>
            <w:r>
              <w:rPr>
                <w:sz w:val="18"/>
              </w:rPr>
            </w:r>
            <w:r>
              <w:rPr>
                <w:sz w:val="18"/>
              </w:rPr>
              <w:t>Implement human-in-the-loop review for disciplinary/contractual use</w:t>
            </w:r>
          </w:p>
        </w:tc>
        <w:tc>
          <w:tcPr>
            <w:tcW w:type="dxa" w:w="2412"/>
            <w:vAlign w:val="top"/>
          </w:tcPr>
          <w:p>
            <w:r>
              <w:rPr>
                <w:sz w:val="18"/>
              </w:rPr>
            </w:r>
            <w:r>
              <w:rPr>
                <w:sz w:val="18"/>
              </w:rPr>
              <w:t>General Counsel + HR + Project Manager</w:t>
            </w:r>
          </w:p>
        </w:tc>
        <w:tc>
          <w:tcPr>
            <w:tcW w:type="dxa" w:w="2412"/>
            <w:vAlign w:val="top"/>
          </w:tcPr>
          <w:p>
            <w:r>
              <w:rPr>
                <w:sz w:val="18"/>
              </w:rPr>
            </w:r>
            <w:r>
              <w:rPr>
                <w:sz w:val="18"/>
              </w:rPr>
              <w:t>Before pilot launch</w:t>
            </w:r>
          </w:p>
        </w:tc>
      </w:tr>
      <w:tr>
        <w:tc>
          <w:tcPr>
            <w:tcW w:type="dxa" w:w="2412"/>
            <w:vAlign w:val="top"/>
          </w:tcPr>
          <w:p>
            <w:r>
              <w:rPr>
                <w:sz w:val="18"/>
              </w:rPr>
            </w:r>
            <w:r>
              <w:rPr>
                <w:b/>
                <w:sz w:val="18"/>
              </w:rPr>
              <w:t>Critical</w:t>
            </w:r>
          </w:p>
        </w:tc>
        <w:tc>
          <w:tcPr>
            <w:tcW w:type="dxa" w:w="2412"/>
            <w:vAlign w:val="top"/>
          </w:tcPr>
          <w:p>
            <w:r>
              <w:rPr>
                <w:sz w:val="18"/>
              </w:rPr>
            </w:r>
            <w:r>
              <w:rPr>
                <w:sz w:val="18"/>
              </w:rPr>
              <w:t>Draft and publish privacy notice; obtain employee acknowledgement and contractor consent</w:t>
            </w:r>
          </w:p>
        </w:tc>
        <w:tc>
          <w:tcPr>
            <w:tcW w:type="dxa" w:w="2412"/>
            <w:vAlign w:val="top"/>
          </w:tcPr>
          <w:p>
            <w:r>
              <w:rPr>
                <w:sz w:val="18"/>
              </w:rPr>
            </w:r>
            <w:r>
              <w:rPr>
                <w:sz w:val="18"/>
              </w:rPr>
              <w:t>General Counsel + HR</w:t>
            </w:r>
          </w:p>
        </w:tc>
        <w:tc>
          <w:tcPr>
            <w:tcW w:type="dxa" w:w="2412"/>
            <w:vAlign w:val="top"/>
          </w:tcPr>
          <w:p>
            <w:r>
              <w:rPr>
                <w:sz w:val="18"/>
              </w:rPr>
            </w:r>
            <w:r>
              <w:rPr>
                <w:sz w:val="18"/>
              </w:rPr>
              <w:t>30–60 days before pilot launch</w:t>
            </w:r>
          </w:p>
        </w:tc>
      </w:tr>
      <w:tr>
        <w:tc>
          <w:tcPr>
            <w:tcW w:type="dxa" w:w="2412"/>
            <w:vAlign w:val="top"/>
          </w:tcPr>
          <w:p>
            <w:r>
              <w:rPr>
                <w:sz w:val="18"/>
              </w:rPr>
            </w:r>
            <w:r>
              <w:rPr>
                <w:b/>
                <w:sz w:val="18"/>
              </w:rPr>
              <w:t>High</w:t>
            </w:r>
          </w:p>
        </w:tc>
        <w:tc>
          <w:tcPr>
            <w:tcW w:type="dxa" w:w="2412"/>
            <w:vAlign w:val="top"/>
          </w:tcPr>
          <w:p>
            <w:r>
              <w:rPr>
                <w:sz w:val="18"/>
              </w:rPr>
            </w:r>
            <w:r>
              <w:rPr>
                <w:sz w:val="18"/>
              </w:rPr>
              <w:t>Engage U.S. counsel; implement BIPA-style baseline</w:t>
            </w:r>
          </w:p>
        </w:tc>
        <w:tc>
          <w:tcPr>
            <w:tcW w:type="dxa" w:w="2412"/>
            <w:vAlign w:val="top"/>
          </w:tcPr>
          <w:p>
            <w:r>
              <w:rPr>
                <w:sz w:val="18"/>
              </w:rPr>
            </w:r>
            <w:r>
              <w:rPr>
                <w:sz w:val="18"/>
              </w:rPr>
              <w:t>General Counsel + U.S. Counsel</w:t>
            </w:r>
          </w:p>
        </w:tc>
        <w:tc>
          <w:tcPr>
            <w:tcW w:type="dxa" w:w="2412"/>
            <w:vAlign w:val="top"/>
          </w:tcPr>
          <w:p>
            <w:r>
              <w:rPr>
                <w:sz w:val="18"/>
              </w:rPr>
            </w:r>
            <w:r>
              <w:rPr>
                <w:sz w:val="18"/>
              </w:rPr>
              <w:t>Before any U.S.-driver data</w:t>
            </w:r>
          </w:p>
        </w:tc>
      </w:tr>
      <w:tr>
        <w:tc>
          <w:tcPr>
            <w:tcW w:type="dxa" w:w="2412"/>
            <w:vAlign w:val="top"/>
          </w:tcPr>
          <w:p>
            <w:r>
              <w:rPr>
                <w:sz w:val="18"/>
              </w:rPr>
            </w:r>
            <w:r>
              <w:rPr>
                <w:b/>
                <w:sz w:val="18"/>
              </w:rPr>
              <w:t>High</w:t>
            </w:r>
          </w:p>
        </w:tc>
        <w:tc>
          <w:tcPr>
            <w:tcW w:type="dxa" w:w="2412"/>
            <w:vAlign w:val="top"/>
          </w:tcPr>
          <w:p>
            <w:r>
              <w:rPr>
                <w:sz w:val="18"/>
              </w:rPr>
            </w:r>
            <w:r>
              <w:rPr>
                <w:sz w:val="18"/>
              </w:rPr>
              <w:t>Appoint Security/IT Lead and complete threat model</w:t>
            </w:r>
          </w:p>
        </w:tc>
        <w:tc>
          <w:tcPr>
            <w:tcW w:type="dxa" w:w="2412"/>
            <w:vAlign w:val="top"/>
          </w:tcPr>
          <w:p>
            <w:r>
              <w:rPr>
                <w:sz w:val="18"/>
              </w:rPr>
            </w:r>
            <w:r>
              <w:rPr>
                <w:sz w:val="18"/>
              </w:rPr>
              <w:t>Executive Sponsor</w:t>
            </w:r>
          </w:p>
        </w:tc>
        <w:tc>
          <w:tcPr>
            <w:tcW w:type="dxa" w:w="2412"/>
            <w:vAlign w:val="top"/>
          </w:tcPr>
          <w:p>
            <w:r>
              <w:rPr>
                <w:sz w:val="18"/>
              </w:rPr>
            </w:r>
            <w:r>
              <w:rPr>
                <w:sz w:val="18"/>
              </w:rPr>
              <w:t>Before pilot launch</w:t>
            </w:r>
          </w:p>
        </w:tc>
      </w:tr>
      <w:tr>
        <w:tc>
          <w:tcPr>
            <w:tcW w:type="dxa" w:w="2412"/>
            <w:vAlign w:val="top"/>
          </w:tcPr>
          <w:p>
            <w:r>
              <w:rPr>
                <w:sz w:val="18"/>
              </w:rPr>
            </w:r>
            <w:r>
              <w:rPr>
                <w:b/>
                <w:sz w:val="18"/>
              </w:rPr>
              <w:t>High</w:t>
            </w:r>
          </w:p>
        </w:tc>
        <w:tc>
          <w:tcPr>
            <w:tcW w:type="dxa" w:w="2412"/>
            <w:vAlign w:val="top"/>
          </w:tcPr>
          <w:p>
            <w:r>
              <w:rPr>
                <w:sz w:val="18"/>
              </w:rPr>
            </w:r>
            <w:r>
              <w:rPr>
                <w:sz w:val="18"/>
              </w:rPr>
              <w:t>Adopt documented retention schedule</w:t>
            </w:r>
          </w:p>
        </w:tc>
        <w:tc>
          <w:tcPr>
            <w:tcW w:type="dxa" w:w="2412"/>
            <w:vAlign w:val="top"/>
          </w:tcPr>
          <w:p>
            <w:r>
              <w:rPr>
                <w:sz w:val="18"/>
              </w:rPr>
            </w:r>
            <w:r>
              <w:rPr>
                <w:sz w:val="18"/>
              </w:rPr>
              <w:t>General Counsel + Project Manager</w:t>
            </w:r>
          </w:p>
        </w:tc>
        <w:tc>
          <w:tcPr>
            <w:tcW w:type="dxa" w:w="2412"/>
            <w:vAlign w:val="top"/>
          </w:tcPr>
          <w:p>
            <w:r>
              <w:rPr>
                <w:sz w:val="18"/>
              </w:rPr>
            </w:r>
            <w:r>
              <w:rPr>
                <w:sz w:val="18"/>
              </w:rPr>
              <w:t>Before pilot launch</w:t>
            </w:r>
          </w:p>
        </w:tc>
      </w:tr>
      <w:tr>
        <w:tc>
          <w:tcPr>
            <w:tcW w:type="dxa" w:w="2412"/>
            <w:vAlign w:val="top"/>
          </w:tcPr>
          <w:p>
            <w:r>
              <w:rPr>
                <w:sz w:val="18"/>
              </w:rPr>
            </w:r>
            <w:r>
              <w:rPr>
                <w:b/>
                <w:sz w:val="18"/>
              </w:rPr>
              <w:t>High</w:t>
            </w:r>
          </w:p>
        </w:tc>
        <w:tc>
          <w:tcPr>
            <w:tcW w:type="dxa" w:w="2412"/>
            <w:vAlign w:val="top"/>
          </w:tcPr>
          <w:p>
            <w:r>
              <w:rPr>
                <w:sz w:val="18"/>
              </w:rPr>
            </w:r>
            <w:r>
              <w:rPr>
                <w:sz w:val="18"/>
              </w:rPr>
              <w:t>Document proportionality analysis</w:t>
            </w:r>
          </w:p>
        </w:tc>
        <w:tc>
          <w:tcPr>
            <w:tcW w:type="dxa" w:w="2412"/>
            <w:vAlign w:val="top"/>
          </w:tcPr>
          <w:p>
            <w:r>
              <w:rPr>
                <w:sz w:val="18"/>
              </w:rPr>
            </w:r>
            <w:r>
              <w:rPr>
                <w:sz w:val="18"/>
              </w:rPr>
              <w:t>General Counsel</w:t>
            </w:r>
          </w:p>
        </w:tc>
        <w:tc>
          <w:tcPr>
            <w:tcW w:type="dxa" w:w="2412"/>
            <w:vAlign w:val="top"/>
          </w:tcPr>
          <w:p>
            <w:r>
              <w:rPr>
                <w:sz w:val="18"/>
              </w:rPr>
            </w:r>
            <w:r>
              <w:rPr>
                <w:sz w:val="18"/>
              </w:rPr>
              <w:t>Before pilot launch</w:t>
            </w:r>
          </w:p>
        </w:tc>
      </w:tr>
      <w:tr>
        <w:tc>
          <w:tcPr>
            <w:tcW w:type="dxa" w:w="2412"/>
            <w:vAlign w:val="top"/>
          </w:tcPr>
          <w:p>
            <w:r>
              <w:rPr>
                <w:sz w:val="18"/>
              </w:rPr>
            </w:r>
            <w:r>
              <w:rPr>
                <w:b/>
                <w:sz w:val="18"/>
              </w:rPr>
              <w:t>High</w:t>
            </w:r>
          </w:p>
        </w:tc>
        <w:tc>
          <w:tcPr>
            <w:tcW w:type="dxa" w:w="2412"/>
            <w:vAlign w:val="top"/>
          </w:tcPr>
          <w:p>
            <w:r>
              <w:rPr>
                <w:sz w:val="18"/>
              </w:rPr>
            </w:r>
            <w:r>
              <w:rPr>
                <w:sz w:val="18"/>
              </w:rPr>
              <w:t>Vendor due-diligence: SOC 2/ISO 27001, encryption, IR plan, sub-processor list</w:t>
            </w:r>
          </w:p>
        </w:tc>
        <w:tc>
          <w:tcPr>
            <w:tcW w:type="dxa" w:w="2412"/>
            <w:vAlign w:val="top"/>
          </w:tcPr>
          <w:p>
            <w:r>
              <w:rPr>
                <w:sz w:val="18"/>
              </w:rPr>
            </w:r>
            <w:r>
              <w:rPr>
                <w:sz w:val="18"/>
              </w:rPr>
              <w:t>Vendor Owner + Security/IT Lead</w:t>
            </w:r>
          </w:p>
        </w:tc>
        <w:tc>
          <w:tcPr>
            <w:tcW w:type="dxa" w:w="2412"/>
            <w:vAlign w:val="top"/>
          </w:tcPr>
          <w:p>
            <w:r>
              <w:rPr>
                <w:sz w:val="18"/>
              </w:rPr>
            </w:r>
            <w:r>
              <w:rPr>
                <w:sz w:val="18"/>
              </w:rPr>
              <w:t>Before contract execution</w:t>
            </w:r>
          </w:p>
        </w:tc>
      </w:tr>
      <w:tr>
        <w:tc>
          <w:tcPr>
            <w:tcW w:type="dxa" w:w="2412"/>
            <w:vAlign w:val="top"/>
          </w:tcPr>
          <w:p>
            <w:r>
              <w:rPr>
                <w:sz w:val="18"/>
              </w:rPr>
            </w:r>
            <w:r>
              <w:rPr>
                <w:b/>
                <w:sz w:val="18"/>
              </w:rPr>
              <w:t>High</w:t>
            </w:r>
          </w:p>
        </w:tc>
        <w:tc>
          <w:tcPr>
            <w:tcW w:type="dxa" w:w="2412"/>
            <w:vAlign w:val="top"/>
          </w:tcPr>
          <w:p>
            <w:r>
              <w:rPr>
                <w:sz w:val="18"/>
              </w:rPr>
            </w:r>
            <w:r>
              <w:rPr>
                <w:sz w:val="18"/>
              </w:rPr>
              <w:t>Build false-positive / medical-exception process</w:t>
            </w:r>
          </w:p>
        </w:tc>
        <w:tc>
          <w:tcPr>
            <w:tcW w:type="dxa" w:w="2412"/>
            <w:vAlign w:val="top"/>
          </w:tcPr>
          <w:p>
            <w:r>
              <w:rPr>
                <w:sz w:val="18"/>
              </w:rPr>
            </w:r>
            <w:r>
              <w:rPr>
                <w:sz w:val="18"/>
              </w:rPr>
              <w:t>Medical / HR Lead</w:t>
            </w:r>
          </w:p>
        </w:tc>
        <w:tc>
          <w:tcPr>
            <w:tcW w:type="dxa" w:w="2412"/>
            <w:vAlign w:val="top"/>
          </w:tcPr>
          <w:p>
            <w:r>
              <w:rPr>
                <w:sz w:val="18"/>
              </w:rPr>
            </w:r>
            <w:r>
              <w:rPr>
                <w:sz w:val="18"/>
              </w:rPr>
              <w:t>Before pilot launch</w:t>
            </w:r>
          </w:p>
        </w:tc>
      </w:tr>
      <w:tr>
        <w:tc>
          <w:tcPr>
            <w:tcW w:type="dxa" w:w="2412"/>
            <w:vAlign w:val="top"/>
          </w:tcPr>
          <w:p>
            <w:r>
              <w:rPr>
                <w:sz w:val="18"/>
              </w:rPr>
            </w:r>
            <w:r>
              <w:rPr>
                <w:b/>
                <w:sz w:val="18"/>
              </w:rPr>
              <w:t>Medium</w:t>
            </w:r>
          </w:p>
        </w:tc>
        <w:tc>
          <w:tcPr>
            <w:tcW w:type="dxa" w:w="2412"/>
            <w:vAlign w:val="top"/>
          </w:tcPr>
          <w:p>
            <w:r>
              <w:rPr>
                <w:sz w:val="18"/>
              </w:rPr>
            </w:r>
            <w:r>
              <w:rPr>
                <w:sz w:val="18"/>
              </w:rPr>
              <w:t>Update general company privacy policy and Privacy Officer publication</w:t>
            </w:r>
          </w:p>
        </w:tc>
        <w:tc>
          <w:tcPr>
            <w:tcW w:type="dxa" w:w="2412"/>
            <w:vAlign w:val="top"/>
          </w:tcPr>
          <w:p>
            <w:r>
              <w:rPr>
                <w:sz w:val="18"/>
              </w:rPr>
            </w:r>
            <w:r>
              <w:rPr>
                <w:sz w:val="18"/>
              </w:rPr>
              <w:t>General Counsel</w:t>
            </w:r>
          </w:p>
        </w:tc>
        <w:tc>
          <w:tcPr>
            <w:tcW w:type="dxa" w:w="2412"/>
            <w:vAlign w:val="top"/>
          </w:tcPr>
          <w:p>
            <w:r>
              <w:rPr>
                <w:sz w:val="18"/>
              </w:rPr>
            </w:r>
            <w:r>
              <w:rPr>
                <w:sz w:val="18"/>
              </w:rPr>
              <w:t>Before pilot launch</w:t>
            </w:r>
          </w:p>
        </w:tc>
      </w:tr>
      <w:tr>
        <w:tc>
          <w:tcPr>
            <w:tcW w:type="dxa" w:w="2412"/>
            <w:vAlign w:val="top"/>
          </w:tcPr>
          <w:p>
            <w:r>
              <w:rPr>
                <w:sz w:val="18"/>
              </w:rPr>
            </w:r>
            <w:r>
              <w:rPr>
                <w:b/>
                <w:sz w:val="18"/>
              </w:rPr>
              <w:t>Medium</w:t>
            </w:r>
          </w:p>
        </w:tc>
        <w:tc>
          <w:tcPr>
            <w:tcW w:type="dxa" w:w="2412"/>
            <w:vAlign w:val="top"/>
          </w:tcPr>
          <w:p>
            <w:r>
              <w:rPr>
                <w:sz w:val="18"/>
              </w:rPr>
            </w:r>
            <w:r>
              <w:rPr>
                <w:sz w:val="18"/>
              </w:rPr>
              <w:t>Contractor MSA flow-down clauses</w:t>
            </w:r>
          </w:p>
        </w:tc>
        <w:tc>
          <w:tcPr>
            <w:tcW w:type="dxa" w:w="2412"/>
            <w:vAlign w:val="top"/>
          </w:tcPr>
          <w:p>
            <w:r>
              <w:rPr>
                <w:sz w:val="18"/>
              </w:rPr>
            </w:r>
            <w:r>
              <w:rPr>
                <w:sz w:val="18"/>
              </w:rPr>
              <w:t>Contractor Relationship Manager + General Counsel</w:t>
            </w:r>
          </w:p>
        </w:tc>
        <w:tc>
          <w:tcPr>
            <w:tcW w:type="dxa" w:w="2412"/>
            <w:vAlign w:val="top"/>
          </w:tcPr>
          <w:p>
            <w:r>
              <w:rPr>
                <w:sz w:val="18"/>
              </w:rPr>
            </w:r>
            <w:r>
              <w:rPr>
                <w:sz w:val="18"/>
              </w:rPr>
              <w:t>Before any contractor sub-employee in pilot</w:t>
            </w:r>
          </w:p>
        </w:tc>
      </w:tr>
    </w:tbl>
    <w:p>
      <w:pPr>
        <w:pStyle w:val="Heading2"/>
      </w:pPr>
      <w:r>
        <w:t>9.4 PIA Review Trigger</w:t>
      </w:r>
    </w:p>
    <w:p>
      <w:r>
        <w:t>This PIA must be revisited if any of the following occur:</w:t>
      </w:r>
    </w:p>
    <w:p>
      <w:pPr>
        <w:pStyle w:val="ListBullet"/>
      </w:pPr>
      <w:r>
        <w:t>Material change to the biometric modality, sampling rate, or sensor type;</w:t>
      </w:r>
    </w:p>
    <w:p>
      <w:pPr>
        <w:pStyle w:val="ListBullet"/>
      </w:pPr>
      <w:r>
        <w:t>Change of umbrella vendor or addition/change of sub-processors;</w:t>
      </w:r>
    </w:p>
    <w:p>
      <w:pPr>
        <w:pStyle w:val="ListBullet"/>
      </w:pPr>
      <w:r>
        <w:t>Expansion to a new jurisdiction not covered by this assessment;</w:t>
      </w:r>
    </w:p>
    <w:p>
      <w:pPr>
        <w:pStyle w:val="ListBullet"/>
      </w:pPr>
      <w:r>
        <w:t>Expansion of secondary use beyond the closed list approved under R6;</w:t>
      </w:r>
    </w:p>
    <w:p>
      <w:pPr>
        <w:pStyle w:val="ListBullet"/>
      </w:pPr>
      <w:r>
        <w:t>Any confidentiality incident affecting the system;</w:t>
      </w:r>
    </w:p>
    <w:p>
      <w:pPr>
        <w:pStyle w:val="ListBullet"/>
      </w:pPr>
      <w:r>
        <w:t>A change to the in-cab decision logic (e.g., adding new automated interventions);</w:t>
      </w:r>
    </w:p>
    <w:p>
      <w:pPr>
        <w:pStyle w:val="ListBullet"/>
      </w:pPr>
      <w:r>
        <w:t>Adoption of any model-training or data-monetization use of the data.</w:t>
      </w:r>
    </w:p>
    <w:p>
      <w:pPr>
        <w:pStyle w:val="ListBullet"/>
      </w:pPr>
      <w:r>
        <w:rPr>
          <w:b/>
        </w:rPr>
        <w:t>Scheduled review date: no later than 12 months from approval, and earlier upon any of the above triggers.</w:t>
      </w:r>
    </w:p>
    <w:p>
      <w:pPr>
        <w:pStyle w:val="Heading1"/>
      </w:pPr>
      <w:r>
        <w:t>Sign-Off</w:t>
      </w:r>
    </w:p>
    <w:tbl>
      <w:tblPr>
        <w:tblStyle w:val="LightGrid-Accent1"/>
        <w:tblW w:type="auto" w:w="0"/>
        <w:tblLayout w:type="autofit"/>
        <w:tblLook w:firstColumn="1" w:firstRow="1" w:lastColumn="0" w:lastRow="0" w:noHBand="0" w:noVBand="1" w:val="04A0"/>
      </w:tblPr>
      <w:tblGrid>
        <w:gridCol w:w="2412"/>
        <w:gridCol w:w="2412"/>
        <w:gridCol w:w="2412"/>
        <w:gridCol w:w="2412"/>
      </w:tblGrid>
      <w:tr>
        <w:tc>
          <w:tcPr>
            <w:tcW w:type="dxa" w:w="2412"/>
            <w:vAlign w:val="top"/>
            <w:shd w:val="clear" w:color="auto" w:fill="1F3864"/>
          </w:tcPr>
          <w:p>
            <w:r>
              <w:rPr>
                <w:b/>
                <w:color w:val="FFFFFF"/>
                <w:sz w:val="18"/>
              </w:rPr>
            </w:r>
            <w:r>
              <w:rPr>
                <w:b/>
                <w:color w:val="FFFFFF"/>
                <w:sz w:val="18"/>
              </w:rPr>
              <w:t>Role</w:t>
            </w:r>
          </w:p>
        </w:tc>
        <w:tc>
          <w:tcPr>
            <w:tcW w:type="dxa" w:w="2412"/>
            <w:vAlign w:val="top"/>
            <w:shd w:val="clear" w:color="auto" w:fill="1F3864"/>
          </w:tcPr>
          <w:p>
            <w:r>
              <w:rPr>
                <w:b/>
                <w:color w:val="FFFFFF"/>
                <w:sz w:val="18"/>
              </w:rPr>
            </w:r>
            <w:r>
              <w:rPr>
                <w:b/>
                <w:color w:val="FFFFFF"/>
                <w:sz w:val="18"/>
              </w:rPr>
              <w:t>Name</w:t>
            </w:r>
          </w:p>
        </w:tc>
        <w:tc>
          <w:tcPr>
            <w:tcW w:type="dxa" w:w="2412"/>
            <w:vAlign w:val="top"/>
            <w:shd w:val="clear" w:color="auto" w:fill="1F3864"/>
          </w:tcPr>
          <w:p>
            <w:r>
              <w:rPr>
                <w:b/>
                <w:color w:val="FFFFFF"/>
                <w:sz w:val="18"/>
              </w:rPr>
            </w:r>
            <w:r>
              <w:rPr>
                <w:b/>
                <w:color w:val="FFFFFF"/>
                <w:sz w:val="18"/>
              </w:rPr>
              <w:t>Signature / Approval</w:t>
            </w:r>
          </w:p>
        </w:tc>
        <w:tc>
          <w:tcPr>
            <w:tcW w:type="dxa" w:w="2412"/>
            <w:vAlign w:val="top"/>
            <w:shd w:val="clear" w:color="auto" w:fill="1F3864"/>
          </w:tcPr>
          <w:p>
            <w:r>
              <w:rPr>
                <w:b/>
                <w:color w:val="FFFFFF"/>
                <w:sz w:val="18"/>
              </w:rPr>
            </w:r>
            <w:r>
              <w:rPr>
                <w:b/>
                <w:color w:val="FFFFFF"/>
                <w:sz w:val="18"/>
              </w:rPr>
              <w:t>Date</w:t>
            </w:r>
          </w:p>
        </w:tc>
      </w:tr>
      <w:tr>
        <w:tc>
          <w:tcPr>
            <w:tcW w:type="dxa" w:w="2412"/>
            <w:vAlign w:val="top"/>
          </w:tcPr>
          <w:p>
            <w:r>
              <w:rPr>
                <w:sz w:val="18"/>
              </w:rPr>
            </w:r>
            <w:r>
              <w:rPr>
                <w:sz w:val="18"/>
              </w:rPr>
              <w:t>Privacy Officer (General Counsel, acting)</w:t>
            </w:r>
          </w:p>
        </w:tc>
        <w:tc>
          <w:tcPr>
            <w:tcW w:type="dxa" w:w="2412"/>
            <w:vAlign w:val="top"/>
          </w:tcPr>
          <w:p>
            <w:r>
              <w:rPr>
                <w:sz w:val="18"/>
              </w:rPr>
            </w:r>
          </w:p>
        </w:tc>
        <w:tc>
          <w:tcPr>
            <w:tcW w:type="dxa" w:w="2412"/>
            <w:vAlign w:val="top"/>
          </w:tcPr>
          <w:p>
            <w:r>
              <w:rPr>
                <w:sz w:val="18"/>
              </w:rPr>
            </w:r>
          </w:p>
        </w:tc>
        <w:tc>
          <w:tcPr>
            <w:tcW w:type="dxa" w:w="2412"/>
            <w:vAlign w:val="top"/>
          </w:tcPr>
          <w:p>
            <w:r>
              <w:rPr>
                <w:sz w:val="18"/>
              </w:rPr>
            </w:r>
          </w:p>
        </w:tc>
      </w:tr>
      <w:tr>
        <w:tc>
          <w:tcPr>
            <w:tcW w:type="dxa" w:w="2412"/>
            <w:vAlign w:val="top"/>
          </w:tcPr>
          <w:p>
            <w:r>
              <w:rPr>
                <w:sz w:val="18"/>
              </w:rPr>
            </w:r>
            <w:r>
              <w:rPr>
                <w:sz w:val="18"/>
              </w:rPr>
              <w:t>Legal Counsel</w:t>
            </w:r>
          </w:p>
        </w:tc>
        <w:tc>
          <w:tcPr>
            <w:tcW w:type="dxa" w:w="2412"/>
            <w:vAlign w:val="top"/>
          </w:tcPr>
          <w:p>
            <w:r>
              <w:rPr>
                <w:sz w:val="18"/>
              </w:rPr>
            </w:r>
          </w:p>
        </w:tc>
        <w:tc>
          <w:tcPr>
            <w:tcW w:type="dxa" w:w="2412"/>
            <w:vAlign w:val="top"/>
          </w:tcPr>
          <w:p>
            <w:r>
              <w:rPr>
                <w:sz w:val="18"/>
              </w:rPr>
            </w:r>
          </w:p>
        </w:tc>
        <w:tc>
          <w:tcPr>
            <w:tcW w:type="dxa" w:w="2412"/>
            <w:vAlign w:val="top"/>
          </w:tcPr>
          <w:p>
            <w:r>
              <w:rPr>
                <w:sz w:val="18"/>
              </w:rPr>
            </w:r>
          </w:p>
        </w:tc>
      </w:tr>
      <w:tr>
        <w:tc>
          <w:tcPr>
            <w:tcW w:type="dxa" w:w="2412"/>
            <w:vAlign w:val="top"/>
          </w:tcPr>
          <w:p>
            <w:r>
              <w:rPr>
                <w:sz w:val="18"/>
              </w:rPr>
            </w:r>
            <w:r>
              <w:rPr>
                <w:sz w:val="18"/>
              </w:rPr>
              <w:t>Business Sponsor (Project Manager)</w:t>
            </w:r>
          </w:p>
        </w:tc>
        <w:tc>
          <w:tcPr>
            <w:tcW w:type="dxa" w:w="2412"/>
            <w:vAlign w:val="top"/>
          </w:tcPr>
          <w:p>
            <w:r>
              <w:rPr>
                <w:sz w:val="18"/>
              </w:rPr>
            </w:r>
          </w:p>
        </w:tc>
        <w:tc>
          <w:tcPr>
            <w:tcW w:type="dxa" w:w="2412"/>
            <w:vAlign w:val="top"/>
          </w:tcPr>
          <w:p>
            <w:r>
              <w:rPr>
                <w:sz w:val="18"/>
              </w:rPr>
            </w:r>
          </w:p>
        </w:tc>
        <w:tc>
          <w:tcPr>
            <w:tcW w:type="dxa" w:w="2412"/>
            <w:vAlign w:val="top"/>
          </w:tcPr>
          <w:p>
            <w:r>
              <w:rPr>
                <w:sz w:val="18"/>
              </w:rPr>
            </w:r>
          </w:p>
        </w:tc>
      </w:tr>
      <w:tr>
        <w:tc>
          <w:tcPr>
            <w:tcW w:type="dxa" w:w="2412"/>
            <w:vAlign w:val="top"/>
          </w:tcPr>
          <w:p>
            <w:r>
              <w:rPr>
                <w:sz w:val="18"/>
              </w:rPr>
            </w:r>
            <w:r>
              <w:rPr>
                <w:sz w:val="18"/>
              </w:rPr>
              <w:t>Executive Sponsor (HIGH risk requires this sign-off)</w:t>
            </w:r>
          </w:p>
        </w:tc>
        <w:tc>
          <w:tcPr>
            <w:tcW w:type="dxa" w:w="2412"/>
            <w:vAlign w:val="top"/>
          </w:tcPr>
          <w:p>
            <w:r>
              <w:rPr>
                <w:sz w:val="18"/>
              </w:rPr>
            </w:r>
          </w:p>
        </w:tc>
        <w:tc>
          <w:tcPr>
            <w:tcW w:type="dxa" w:w="2412"/>
            <w:vAlign w:val="top"/>
          </w:tcPr>
          <w:p>
            <w:r>
              <w:rPr>
                <w:sz w:val="18"/>
              </w:rPr>
            </w:r>
          </w:p>
        </w:tc>
        <w:tc>
          <w:tcPr>
            <w:tcW w:type="dxa" w:w="2412"/>
            <w:vAlign w:val="top"/>
          </w:tcPr>
          <w:p>
            <w:r>
              <w:rPr>
                <w:sz w:val="18"/>
              </w:rPr>
            </w:r>
          </w:p>
        </w:tc>
      </w:tr>
      <w:tr>
        <w:tc>
          <w:tcPr>
            <w:tcW w:type="dxa" w:w="2412"/>
            <w:vAlign w:val="top"/>
          </w:tcPr>
          <w:p>
            <w:r>
              <w:rPr>
                <w:sz w:val="18"/>
              </w:rPr>
            </w:r>
            <w:r>
              <w:rPr>
                <w:sz w:val="18"/>
              </w:rPr>
              <w:t>Data Protection Authority — Quebec CAI</w:t>
            </w:r>
          </w:p>
        </w:tc>
        <w:tc>
          <w:tcPr>
            <w:tcW w:type="dxa" w:w="2412"/>
            <w:vAlign w:val="top"/>
          </w:tcPr>
          <w:p>
            <w:r>
              <w:rPr>
                <w:sz w:val="18"/>
              </w:rPr>
            </w:r>
          </w:p>
        </w:tc>
        <w:tc>
          <w:tcPr>
            <w:tcW w:type="dxa" w:w="2412"/>
            <w:vAlign w:val="top"/>
          </w:tcPr>
          <w:p>
            <w:r>
              <w:rPr>
                <w:sz w:val="18"/>
              </w:rPr>
            </w:r>
            <w:r>
              <w:rPr>
                <w:sz w:val="18"/>
              </w:rPr>
              <w:t>(s. 45 declaration reference)</w:t>
            </w:r>
          </w:p>
        </w:tc>
        <w:tc>
          <w:tcPr>
            <w:tcW w:type="dxa" w:w="2412"/>
            <w:vAlign w:val="top"/>
          </w:tcPr>
          <w:p>
            <w:r>
              <w:rPr>
                <w:sz w:val="18"/>
              </w:rPr>
            </w:r>
          </w:p>
        </w:tc>
      </w:tr>
    </w:tbl>
    <w:p>
      <w:r>
        <w:rPr>
          <w:i/>
        </w:rPr>
        <w:t>This Privacy Impact Assessment was prepared as a structured analysis tool using artificial intelligence. It does not constitute legal advice. The organization should obtain advice from qualified Canadian privacy counsel, U.S. counsel for state biometric-statute exposure, and should engage with the Commission d'accès à l'information (Quebec) as required, before proceeding with high-risk processing activities.</w:t>
      </w:r>
    </w:p>
    <w:p>
      <w:r>
        <w:rPr>
          <w:i/>
        </w:rPr>
        <w:t>Document version history should be maintained. Superseded versions should be archived, not deleted.</w:t>
      </w:r>
    </w:p>
    <w:p>
      <w:pPr>
        <w:pStyle w:val="Heading1"/>
      </w:pPr>
      <w:r>
        <w:t>Appendix A — Open Gaps Requiring Follow-Up</w:t>
      </w:r>
    </w:p>
    <w:tbl>
      <w:tblPr>
        <w:tblStyle w:val="LightGrid-Accent1"/>
        <w:tblW w:type="auto" w:w="0"/>
        <w:tblLayout w:type="autofit"/>
        <w:tblLook w:firstColumn="1" w:firstRow="1" w:lastColumn="0" w:lastRow="0" w:noHBand="0" w:noVBand="1" w:val="04A0"/>
      </w:tblPr>
      <w:tblGrid>
        <w:gridCol w:w="2412"/>
        <w:gridCol w:w="2412"/>
        <w:gridCol w:w="2412"/>
        <w:gridCol w:w="2412"/>
      </w:tblGrid>
      <w:tr>
        <w:tc>
          <w:tcPr>
            <w:tcW w:type="dxa" w:w="2412"/>
            <w:vAlign w:val="top"/>
            <w:shd w:val="clear" w:color="auto" w:fill="1F3864"/>
          </w:tcPr>
          <w:p>
            <w:r>
              <w:rPr>
                <w:b/>
                <w:color w:val="FFFFFF"/>
                <w:sz w:val="18"/>
              </w:rPr>
            </w:r>
            <w:r>
              <w:rPr>
                <w:b/>
                <w:color w:val="FFFFFF"/>
                <w:sz w:val="18"/>
              </w:rPr>
              <w:t>#</w:t>
            </w:r>
          </w:p>
        </w:tc>
        <w:tc>
          <w:tcPr>
            <w:tcW w:type="dxa" w:w="2412"/>
            <w:vAlign w:val="top"/>
            <w:shd w:val="clear" w:color="auto" w:fill="1F3864"/>
          </w:tcPr>
          <w:p>
            <w:r>
              <w:rPr>
                <w:b/>
                <w:color w:val="FFFFFF"/>
                <w:sz w:val="18"/>
              </w:rPr>
            </w:r>
            <w:r>
              <w:rPr>
                <w:b/>
                <w:color w:val="FFFFFF"/>
                <w:sz w:val="18"/>
              </w:rPr>
              <w:t>Gap</w:t>
            </w:r>
          </w:p>
        </w:tc>
        <w:tc>
          <w:tcPr>
            <w:tcW w:type="dxa" w:w="2412"/>
            <w:vAlign w:val="top"/>
            <w:shd w:val="clear" w:color="auto" w:fill="1F3864"/>
          </w:tcPr>
          <w:p>
            <w:r>
              <w:rPr>
                <w:b/>
                <w:color w:val="FFFFFF"/>
                <w:sz w:val="18"/>
              </w:rPr>
            </w:r>
            <w:r>
              <w:rPr>
                <w:b/>
                <w:color w:val="FFFFFF"/>
                <w:sz w:val="18"/>
              </w:rPr>
              <w:t>Owner</w:t>
            </w:r>
          </w:p>
        </w:tc>
        <w:tc>
          <w:tcPr>
            <w:tcW w:type="dxa" w:w="2412"/>
            <w:vAlign w:val="top"/>
            <w:shd w:val="clear" w:color="auto" w:fill="1F3864"/>
          </w:tcPr>
          <w:p>
            <w:r>
              <w:rPr>
                <w:b/>
                <w:color w:val="FFFFFF"/>
                <w:sz w:val="18"/>
              </w:rPr>
            </w:r>
            <w:r>
              <w:rPr>
                <w:b/>
                <w:color w:val="FFFFFF"/>
                <w:sz w:val="18"/>
              </w:rPr>
              <w:t>Target</w:t>
            </w:r>
          </w:p>
        </w:tc>
      </w:tr>
      <w:tr>
        <w:tc>
          <w:tcPr>
            <w:tcW w:type="dxa" w:w="2412"/>
            <w:vAlign w:val="top"/>
          </w:tcPr>
          <w:p>
            <w:r>
              <w:rPr>
                <w:sz w:val="18"/>
              </w:rPr>
            </w:r>
            <w:r>
              <w:rPr>
                <w:sz w:val="18"/>
              </w:rPr>
              <w:t>G1</w:t>
            </w:r>
          </w:p>
        </w:tc>
        <w:tc>
          <w:tcPr>
            <w:tcW w:type="dxa" w:w="2412"/>
            <w:vAlign w:val="top"/>
          </w:tcPr>
          <w:p>
            <w:r>
              <w:rPr>
                <w:sz w:val="18"/>
              </w:rPr>
            </w:r>
            <w:r>
              <w:rPr>
                <w:sz w:val="18"/>
              </w:rPr>
              <w:t>Confirm whether an insurance mandate or premium-reduction program drives this initiative</w:t>
            </w:r>
          </w:p>
        </w:tc>
        <w:tc>
          <w:tcPr>
            <w:tcW w:type="dxa" w:w="2412"/>
            <w:vAlign w:val="top"/>
          </w:tcPr>
          <w:p>
            <w:r>
              <w:rPr>
                <w:sz w:val="18"/>
              </w:rPr>
            </w:r>
            <w:r>
              <w:rPr>
                <w:sz w:val="18"/>
              </w:rPr>
              <w:t>Project Manager</w:t>
            </w:r>
          </w:p>
        </w:tc>
        <w:tc>
          <w:tcPr>
            <w:tcW w:type="dxa" w:w="2412"/>
            <w:vAlign w:val="top"/>
          </w:tcPr>
          <w:p>
            <w:r>
              <w:rPr>
                <w:sz w:val="18"/>
              </w:rPr>
            </w:r>
            <w:r>
              <w:rPr>
                <w:sz w:val="18"/>
              </w:rPr>
              <w:t>Pre-pilot</w:t>
            </w:r>
          </w:p>
        </w:tc>
      </w:tr>
      <w:tr>
        <w:tc>
          <w:tcPr>
            <w:tcW w:type="dxa" w:w="2412"/>
            <w:vAlign w:val="top"/>
          </w:tcPr>
          <w:p>
            <w:r>
              <w:rPr>
                <w:sz w:val="18"/>
              </w:rPr>
            </w:r>
            <w:r>
              <w:rPr>
                <w:sz w:val="18"/>
              </w:rPr>
              <w:t>G2</w:t>
            </w:r>
          </w:p>
        </w:tc>
        <w:tc>
          <w:tcPr>
            <w:tcW w:type="dxa" w:w="2412"/>
            <w:vAlign w:val="top"/>
          </w:tcPr>
          <w:p>
            <w:r>
              <w:rPr>
                <w:sz w:val="18"/>
              </w:rPr>
            </w:r>
            <w:r>
              <w:rPr>
                <w:sz w:val="18"/>
              </w:rPr>
              <w:t>Confirm Transport Canada / FMCSA driver/relevance</w:t>
            </w:r>
          </w:p>
        </w:tc>
        <w:tc>
          <w:tcPr>
            <w:tcW w:type="dxa" w:w="2412"/>
            <w:vAlign w:val="top"/>
          </w:tcPr>
          <w:p>
            <w:r>
              <w:rPr>
                <w:sz w:val="18"/>
              </w:rPr>
            </w:r>
            <w:r>
              <w:rPr>
                <w:sz w:val="18"/>
              </w:rPr>
              <w:t>Project Manager</w:t>
            </w:r>
          </w:p>
        </w:tc>
        <w:tc>
          <w:tcPr>
            <w:tcW w:type="dxa" w:w="2412"/>
            <w:vAlign w:val="top"/>
          </w:tcPr>
          <w:p>
            <w:r>
              <w:rPr>
                <w:sz w:val="18"/>
              </w:rPr>
            </w:r>
            <w:r>
              <w:rPr>
                <w:sz w:val="18"/>
              </w:rPr>
              <w:t>Pre-pilot</w:t>
            </w:r>
          </w:p>
        </w:tc>
      </w:tr>
      <w:tr>
        <w:tc>
          <w:tcPr>
            <w:tcW w:type="dxa" w:w="2412"/>
            <w:vAlign w:val="top"/>
          </w:tcPr>
          <w:p>
            <w:r>
              <w:rPr>
                <w:sz w:val="18"/>
              </w:rPr>
            </w:r>
            <w:r>
              <w:rPr>
                <w:sz w:val="18"/>
              </w:rPr>
              <w:t>G3</w:t>
            </w:r>
          </w:p>
        </w:tc>
        <w:tc>
          <w:tcPr>
            <w:tcW w:type="dxa" w:w="2412"/>
            <w:vAlign w:val="top"/>
          </w:tcPr>
          <w:p>
            <w:r>
              <w:rPr>
                <w:sz w:val="18"/>
              </w:rPr>
            </w:r>
            <w:r>
              <w:rPr>
                <w:sz w:val="18"/>
              </w:rPr>
              <w:t>Inventory existing fleet monitoring (dashcams, ELD, GPS, fatigue) for cumulative-monitoring proportionality analysis</w:t>
            </w:r>
          </w:p>
        </w:tc>
        <w:tc>
          <w:tcPr>
            <w:tcW w:type="dxa" w:w="2412"/>
            <w:vAlign w:val="top"/>
          </w:tcPr>
          <w:p>
            <w:r>
              <w:rPr>
                <w:sz w:val="18"/>
              </w:rPr>
            </w:r>
            <w:r>
              <w:rPr>
                <w:sz w:val="18"/>
              </w:rPr>
              <w:t>Project Manager</w:t>
            </w:r>
          </w:p>
        </w:tc>
        <w:tc>
          <w:tcPr>
            <w:tcW w:type="dxa" w:w="2412"/>
            <w:vAlign w:val="top"/>
          </w:tcPr>
          <w:p>
            <w:r>
              <w:rPr>
                <w:sz w:val="18"/>
              </w:rPr>
            </w:r>
            <w:r>
              <w:rPr>
                <w:sz w:val="18"/>
              </w:rPr>
              <w:t>Pre-pilot</w:t>
            </w:r>
          </w:p>
        </w:tc>
      </w:tr>
      <w:tr>
        <w:tc>
          <w:tcPr>
            <w:tcW w:type="dxa" w:w="2412"/>
            <w:vAlign w:val="top"/>
          </w:tcPr>
          <w:p>
            <w:r>
              <w:rPr>
                <w:sz w:val="18"/>
              </w:rPr>
            </w:r>
            <w:r>
              <w:rPr>
                <w:sz w:val="18"/>
              </w:rPr>
              <w:t>G4</w:t>
            </w:r>
          </w:p>
        </w:tc>
        <w:tc>
          <w:tcPr>
            <w:tcW w:type="dxa" w:w="2412"/>
            <w:vAlign w:val="top"/>
          </w:tcPr>
          <w:p>
            <w:r>
              <w:rPr>
                <w:sz w:val="18"/>
              </w:rPr>
            </w:r>
            <w:r>
              <w:rPr>
                <w:sz w:val="18"/>
              </w:rPr>
              <w:t>Confirm exact sensor outputs stored per event (raw signal, score, threshold flag, GPS, telematics)</w:t>
            </w:r>
          </w:p>
        </w:tc>
        <w:tc>
          <w:tcPr>
            <w:tcW w:type="dxa" w:w="2412"/>
            <w:vAlign w:val="top"/>
          </w:tcPr>
          <w:p>
            <w:r>
              <w:rPr>
                <w:sz w:val="18"/>
              </w:rPr>
            </w:r>
            <w:r>
              <w:rPr>
                <w:sz w:val="18"/>
              </w:rPr>
              <w:t>Vendor Owner</w:t>
            </w:r>
          </w:p>
        </w:tc>
        <w:tc>
          <w:tcPr>
            <w:tcW w:type="dxa" w:w="2412"/>
            <w:vAlign w:val="top"/>
          </w:tcPr>
          <w:p>
            <w:r>
              <w:rPr>
                <w:sz w:val="18"/>
              </w:rPr>
            </w:r>
            <w:r>
              <w:rPr>
                <w:sz w:val="18"/>
              </w:rPr>
              <w:t>Pre-contract</w:t>
            </w:r>
          </w:p>
        </w:tc>
      </w:tr>
      <w:tr>
        <w:tc>
          <w:tcPr>
            <w:tcW w:type="dxa" w:w="2412"/>
            <w:vAlign w:val="top"/>
          </w:tcPr>
          <w:p>
            <w:r>
              <w:rPr>
                <w:sz w:val="18"/>
              </w:rPr>
            </w:r>
            <w:r>
              <w:rPr>
                <w:sz w:val="18"/>
              </w:rPr>
              <w:t>G5</w:t>
            </w:r>
          </w:p>
        </w:tc>
        <w:tc>
          <w:tcPr>
            <w:tcW w:type="dxa" w:w="2412"/>
            <w:vAlign w:val="top"/>
          </w:tcPr>
          <w:p>
            <w:r>
              <w:rPr>
                <w:sz w:val="18"/>
              </w:rPr>
            </w:r>
            <w:r>
              <w:rPr>
                <w:sz w:val="18"/>
              </w:rPr>
              <w:t>Confirm whether vendor stores data identifiably or only event flags</w:t>
            </w:r>
          </w:p>
        </w:tc>
        <w:tc>
          <w:tcPr>
            <w:tcW w:type="dxa" w:w="2412"/>
            <w:vAlign w:val="top"/>
          </w:tcPr>
          <w:p>
            <w:r>
              <w:rPr>
                <w:sz w:val="18"/>
              </w:rPr>
            </w:r>
            <w:r>
              <w:rPr>
                <w:sz w:val="18"/>
              </w:rPr>
              <w:t>Vendor Owner</w:t>
            </w:r>
          </w:p>
        </w:tc>
        <w:tc>
          <w:tcPr>
            <w:tcW w:type="dxa" w:w="2412"/>
            <w:vAlign w:val="top"/>
          </w:tcPr>
          <w:p>
            <w:r>
              <w:rPr>
                <w:sz w:val="18"/>
              </w:rPr>
            </w:r>
            <w:r>
              <w:rPr>
                <w:sz w:val="18"/>
              </w:rPr>
              <w:t>Pre-contract</w:t>
            </w:r>
          </w:p>
        </w:tc>
      </w:tr>
      <w:tr>
        <w:tc>
          <w:tcPr>
            <w:tcW w:type="dxa" w:w="2412"/>
            <w:vAlign w:val="top"/>
          </w:tcPr>
          <w:p>
            <w:r>
              <w:rPr>
                <w:sz w:val="18"/>
              </w:rPr>
            </w:r>
            <w:r>
              <w:rPr>
                <w:sz w:val="18"/>
              </w:rPr>
              <w:t>G6</w:t>
            </w:r>
          </w:p>
        </w:tc>
        <w:tc>
          <w:tcPr>
            <w:tcW w:type="dxa" w:w="2412"/>
            <w:vAlign w:val="top"/>
          </w:tcPr>
          <w:p>
            <w:r>
              <w:rPr>
                <w:sz w:val="18"/>
              </w:rPr>
            </w:r>
            <w:r>
              <w:rPr>
                <w:sz w:val="18"/>
              </w:rPr>
              <w:t>Confirm vendor security posture (SOC 2 / ISO 27001, encryption, MFA, logging, IR plan)</w:t>
            </w:r>
          </w:p>
        </w:tc>
        <w:tc>
          <w:tcPr>
            <w:tcW w:type="dxa" w:w="2412"/>
            <w:vAlign w:val="top"/>
          </w:tcPr>
          <w:p>
            <w:r>
              <w:rPr>
                <w:sz w:val="18"/>
              </w:rPr>
            </w:r>
            <w:r>
              <w:rPr>
                <w:sz w:val="18"/>
              </w:rPr>
              <w:t>Security/IT Lead</w:t>
            </w:r>
          </w:p>
        </w:tc>
        <w:tc>
          <w:tcPr>
            <w:tcW w:type="dxa" w:w="2412"/>
            <w:vAlign w:val="top"/>
          </w:tcPr>
          <w:p>
            <w:r>
              <w:rPr>
                <w:sz w:val="18"/>
              </w:rPr>
            </w:r>
            <w:r>
              <w:rPr>
                <w:sz w:val="18"/>
              </w:rPr>
              <w:t>Pre-contract</w:t>
            </w:r>
          </w:p>
        </w:tc>
      </w:tr>
      <w:tr>
        <w:tc>
          <w:tcPr>
            <w:tcW w:type="dxa" w:w="2412"/>
            <w:vAlign w:val="top"/>
          </w:tcPr>
          <w:p>
            <w:r>
              <w:rPr>
                <w:sz w:val="18"/>
              </w:rPr>
            </w:r>
            <w:r>
              <w:rPr>
                <w:sz w:val="18"/>
              </w:rPr>
              <w:t>G7</w:t>
            </w:r>
          </w:p>
        </w:tc>
        <w:tc>
          <w:tcPr>
            <w:tcW w:type="dxa" w:w="2412"/>
            <w:vAlign w:val="top"/>
          </w:tcPr>
          <w:p>
            <w:r>
              <w:rPr>
                <w:sz w:val="18"/>
              </w:rPr>
            </w:r>
            <w:r>
              <w:rPr>
                <w:sz w:val="18"/>
              </w:rPr>
              <w:t>Define retention rules for raw signal, scores, flagged events, and identity linkage</w:t>
            </w:r>
          </w:p>
        </w:tc>
        <w:tc>
          <w:tcPr>
            <w:tcW w:type="dxa" w:w="2412"/>
            <w:vAlign w:val="top"/>
          </w:tcPr>
          <w:p>
            <w:r>
              <w:rPr>
                <w:sz w:val="18"/>
              </w:rPr>
            </w:r>
            <w:r>
              <w:rPr>
                <w:sz w:val="18"/>
              </w:rPr>
              <w:t>General Counsel</w:t>
            </w:r>
          </w:p>
        </w:tc>
        <w:tc>
          <w:tcPr>
            <w:tcW w:type="dxa" w:w="2412"/>
            <w:vAlign w:val="top"/>
          </w:tcPr>
          <w:p>
            <w:r>
              <w:rPr>
                <w:sz w:val="18"/>
              </w:rPr>
            </w:r>
            <w:r>
              <w:rPr>
                <w:sz w:val="18"/>
              </w:rPr>
              <w:t>Pre-pilot</w:t>
            </w:r>
          </w:p>
        </w:tc>
      </w:tr>
      <w:tr>
        <w:tc>
          <w:tcPr>
            <w:tcW w:type="dxa" w:w="2412"/>
            <w:vAlign w:val="top"/>
          </w:tcPr>
          <w:p>
            <w:r>
              <w:rPr>
                <w:sz w:val="18"/>
              </w:rPr>
            </w:r>
            <w:r>
              <w:rPr>
                <w:sz w:val="18"/>
              </w:rPr>
              <w:t>G8</w:t>
            </w:r>
          </w:p>
        </w:tc>
        <w:tc>
          <w:tcPr>
            <w:tcW w:type="dxa" w:w="2412"/>
            <w:vAlign w:val="top"/>
          </w:tcPr>
          <w:p>
            <w:r>
              <w:rPr>
                <w:sz w:val="18"/>
              </w:rPr>
            </w:r>
            <w:r>
              <w:rPr>
                <w:sz w:val="18"/>
              </w:rPr>
              <w:t>Confirm whether vendor model training is contemplated and whether it is to be permitted at all</w:t>
            </w:r>
          </w:p>
        </w:tc>
        <w:tc>
          <w:tcPr>
            <w:tcW w:type="dxa" w:w="2412"/>
            <w:vAlign w:val="top"/>
          </w:tcPr>
          <w:p>
            <w:r>
              <w:rPr>
                <w:sz w:val="18"/>
              </w:rPr>
            </w:r>
            <w:r>
              <w:rPr>
                <w:sz w:val="18"/>
              </w:rPr>
              <w:t>General Counsel + Vendor Owner</w:t>
            </w:r>
          </w:p>
        </w:tc>
        <w:tc>
          <w:tcPr>
            <w:tcW w:type="dxa" w:w="2412"/>
            <w:vAlign w:val="top"/>
          </w:tcPr>
          <w:p>
            <w:r>
              <w:rPr>
                <w:sz w:val="18"/>
              </w:rPr>
            </w:r>
            <w:r>
              <w:rPr>
                <w:sz w:val="18"/>
              </w:rPr>
              <w:t>Pre-contract</w:t>
            </w:r>
          </w:p>
        </w:tc>
      </w:tr>
      <w:tr>
        <w:tc>
          <w:tcPr>
            <w:tcW w:type="dxa" w:w="2412"/>
            <w:vAlign w:val="top"/>
          </w:tcPr>
          <w:p>
            <w:r>
              <w:rPr>
                <w:sz w:val="18"/>
              </w:rPr>
            </w:r>
            <w:r>
              <w:rPr>
                <w:sz w:val="18"/>
              </w:rPr>
              <w:t>G9</w:t>
            </w:r>
          </w:p>
        </w:tc>
        <w:tc>
          <w:tcPr>
            <w:tcW w:type="dxa" w:w="2412"/>
            <w:vAlign w:val="top"/>
          </w:tcPr>
          <w:p>
            <w:r>
              <w:rPr>
                <w:sz w:val="18"/>
              </w:rPr>
            </w:r>
            <w:r>
              <w:rPr>
                <w:sz w:val="18"/>
              </w:rPr>
              <w:t>Identify the Project Manager, Security/IT Lead, Vendor Owner, and Contractor Relationship Manager by name</w:t>
            </w:r>
          </w:p>
        </w:tc>
        <w:tc>
          <w:tcPr>
            <w:tcW w:type="dxa" w:w="2412"/>
            <w:vAlign w:val="top"/>
          </w:tcPr>
          <w:p>
            <w:r>
              <w:rPr>
                <w:sz w:val="18"/>
              </w:rPr>
            </w:r>
            <w:r>
              <w:rPr>
                <w:sz w:val="18"/>
              </w:rPr>
              <w:t>Executive Sponsor</w:t>
            </w:r>
          </w:p>
        </w:tc>
        <w:tc>
          <w:tcPr>
            <w:tcW w:type="dxa" w:w="2412"/>
            <w:vAlign w:val="top"/>
          </w:tcPr>
          <w:p>
            <w:r>
              <w:rPr>
                <w:sz w:val="18"/>
              </w:rPr>
            </w:r>
            <w:r>
              <w:rPr>
                <w:sz w:val="18"/>
              </w:rPr>
              <w:t>Pre-pilot</w:t>
            </w:r>
          </w:p>
        </w:tc>
      </w:tr>
      <w:tr>
        <w:tc>
          <w:tcPr>
            <w:tcW w:type="dxa" w:w="2412"/>
            <w:vAlign w:val="top"/>
          </w:tcPr>
          <w:p>
            <w:r>
              <w:rPr>
                <w:sz w:val="18"/>
              </w:rPr>
            </w:r>
            <w:r>
              <w:rPr>
                <w:sz w:val="18"/>
              </w:rPr>
              <w:t>G10</w:t>
            </w:r>
          </w:p>
        </w:tc>
        <w:tc>
          <w:tcPr>
            <w:tcW w:type="dxa" w:w="2412"/>
            <w:vAlign w:val="top"/>
          </w:tcPr>
          <w:p>
            <w:r>
              <w:rPr>
                <w:sz w:val="18"/>
              </w:rPr>
            </w:r>
            <w:r>
              <w:rPr>
                <w:sz w:val="18"/>
              </w:rPr>
              <w:t>Confirm publication of Privacy Officer name and contact on website</w:t>
            </w:r>
          </w:p>
        </w:tc>
        <w:tc>
          <w:tcPr>
            <w:tcW w:type="dxa" w:w="2412"/>
            <w:vAlign w:val="top"/>
          </w:tcPr>
          <w:p>
            <w:r>
              <w:rPr>
                <w:sz w:val="18"/>
              </w:rPr>
            </w:r>
            <w:r>
              <w:rPr>
                <w:sz w:val="18"/>
              </w:rPr>
              <w:t>General Counsel</w:t>
            </w:r>
          </w:p>
        </w:tc>
        <w:tc>
          <w:tcPr>
            <w:tcW w:type="dxa" w:w="2412"/>
            <w:vAlign w:val="top"/>
          </w:tcPr>
          <w:p>
            <w:r>
              <w:rPr>
                <w:sz w:val="18"/>
              </w:rPr>
            </w:r>
            <w:r>
              <w:rPr>
                <w:sz w:val="18"/>
              </w:rPr>
              <w:t>Pre-pilot</w:t>
            </w:r>
          </w:p>
        </w:tc>
      </w:tr>
      <w:tr>
        <w:tc>
          <w:tcPr>
            <w:tcW w:type="dxa" w:w="2412"/>
            <w:vAlign w:val="top"/>
          </w:tcPr>
          <w:p>
            <w:r>
              <w:rPr>
                <w:sz w:val="18"/>
              </w:rPr>
            </w:r>
            <w:r>
              <w:rPr>
                <w:sz w:val="18"/>
              </w:rPr>
              <w:t>G11</w:t>
            </w:r>
          </w:p>
        </w:tc>
        <w:tc>
          <w:tcPr>
            <w:tcW w:type="dxa" w:w="2412"/>
            <w:vAlign w:val="top"/>
          </w:tcPr>
          <w:p>
            <w:r>
              <w:rPr>
                <w:sz w:val="18"/>
              </w:rPr>
            </w:r>
            <w:r>
              <w:rPr>
                <w:sz w:val="18"/>
              </w:rPr>
              <w:t>Identify and assess any U.S. driver-residency in Illinois, Texas, Washington, California (drives BIPA/CUBI/MyHealth/CPRA)</w:t>
            </w:r>
          </w:p>
        </w:tc>
        <w:tc>
          <w:tcPr>
            <w:tcW w:type="dxa" w:w="2412"/>
            <w:vAlign w:val="top"/>
          </w:tcPr>
          <w:p>
            <w:r>
              <w:rPr>
                <w:sz w:val="18"/>
              </w:rPr>
            </w:r>
            <w:r>
              <w:rPr>
                <w:sz w:val="18"/>
              </w:rPr>
              <w:t>HR + U.S. Counsel</w:t>
            </w:r>
          </w:p>
        </w:tc>
        <w:tc>
          <w:tcPr>
            <w:tcW w:type="dxa" w:w="2412"/>
            <w:vAlign w:val="top"/>
          </w:tcPr>
          <w:p>
            <w:r>
              <w:rPr>
                <w:sz w:val="18"/>
              </w:rPr>
            </w:r>
            <w:r>
              <w:rPr>
                <w:sz w:val="18"/>
              </w:rPr>
              <w:t>Pre-U.S.</w:t>
            </w:r>
          </w:p>
        </w:tc>
      </w:tr>
      <w:tr>
        <w:tc>
          <w:tcPr>
            <w:tcW w:type="dxa" w:w="2412"/>
            <w:vAlign w:val="top"/>
          </w:tcPr>
          <w:p>
            <w:r>
              <w:rPr>
                <w:sz w:val="18"/>
              </w:rPr>
            </w:r>
            <w:r>
              <w:rPr>
                <w:sz w:val="18"/>
              </w:rPr>
              <w:t>G12</w:t>
            </w:r>
          </w:p>
        </w:tc>
        <w:tc>
          <w:tcPr>
            <w:tcW w:type="dxa" w:w="2412"/>
            <w:vAlign w:val="top"/>
          </w:tcPr>
          <w:p>
            <w:r>
              <w:rPr>
                <w:sz w:val="18"/>
              </w:rPr>
            </w:r>
            <w:r>
              <w:rPr>
                <w:sz w:val="18"/>
              </w:rPr>
              <w:t>Identify and assess fleet operations in additional Canadian provinces requiring substantively-similar review (BC, AB ancillary applicability)</w:t>
            </w:r>
          </w:p>
        </w:tc>
        <w:tc>
          <w:tcPr>
            <w:tcW w:type="dxa" w:w="2412"/>
            <w:vAlign w:val="top"/>
          </w:tcPr>
          <w:p>
            <w:r>
              <w:rPr>
                <w:sz w:val="18"/>
              </w:rPr>
            </w:r>
            <w:r>
              <w:rPr>
                <w:sz w:val="18"/>
              </w:rPr>
              <w:t>General Counsel</w:t>
            </w:r>
          </w:p>
        </w:tc>
        <w:tc>
          <w:tcPr>
            <w:tcW w:type="dxa" w:w="2412"/>
            <w:vAlign w:val="top"/>
          </w:tcPr>
          <w:p>
            <w:r>
              <w:rPr>
                <w:sz w:val="18"/>
              </w:rPr>
            </w:r>
            <w:r>
              <w:rPr>
                <w:sz w:val="18"/>
              </w:rPr>
              <w:t>Pre-pilot</w:t>
            </w:r>
          </w:p>
        </w:tc>
      </w:tr>
      <w:tr>
        <w:tc>
          <w:tcPr>
            <w:tcW w:type="dxa" w:w="2412"/>
            <w:vAlign w:val="top"/>
          </w:tcPr>
          <w:p>
            <w:r>
              <w:rPr>
                <w:sz w:val="18"/>
              </w:rPr>
            </w:r>
            <w:r>
              <w:rPr>
                <w:sz w:val="18"/>
              </w:rPr>
              <w:t>G13</w:t>
            </w:r>
          </w:p>
        </w:tc>
        <w:tc>
          <w:tcPr>
            <w:tcW w:type="dxa" w:w="2412"/>
            <w:vAlign w:val="top"/>
          </w:tcPr>
          <w:p>
            <w:r>
              <w:rPr>
                <w:sz w:val="18"/>
              </w:rPr>
            </w:r>
            <w:r>
              <w:rPr>
                <w:sz w:val="18"/>
              </w:rPr>
              <w:t>Confirm whether driver access portal is read-only, and whether it returns all categories required under PIPEDA Sch. 1 Principle 4.9</w:t>
            </w:r>
          </w:p>
        </w:tc>
        <w:tc>
          <w:tcPr>
            <w:tcW w:type="dxa" w:w="2412"/>
            <w:vAlign w:val="top"/>
          </w:tcPr>
          <w:p>
            <w:r>
              <w:rPr>
                <w:sz w:val="18"/>
              </w:rPr>
            </w:r>
            <w:r>
              <w:rPr>
                <w:sz w:val="18"/>
              </w:rPr>
              <w:t>Vendor Owner</w:t>
            </w:r>
          </w:p>
        </w:tc>
        <w:tc>
          <w:tcPr>
            <w:tcW w:type="dxa" w:w="2412"/>
            <w:vAlign w:val="top"/>
          </w:tcPr>
          <w:p>
            <w:r>
              <w:rPr>
                <w:sz w:val="18"/>
              </w:rPr>
            </w:r>
            <w:r>
              <w:rPr>
                <w:sz w:val="18"/>
              </w:rPr>
              <w:t>Pre-pilot</w:t>
            </w:r>
          </w:p>
        </w:tc>
      </w:tr>
      <w:tr>
        <w:tc>
          <w:tcPr>
            <w:tcW w:type="dxa" w:w="2412"/>
            <w:vAlign w:val="top"/>
          </w:tcPr>
          <w:p>
            <w:r>
              <w:rPr>
                <w:sz w:val="18"/>
              </w:rPr>
            </w:r>
            <w:r>
              <w:rPr>
                <w:sz w:val="18"/>
              </w:rPr>
              <w:t>G14</w:t>
            </w:r>
          </w:p>
        </w:tc>
        <w:tc>
          <w:tcPr>
            <w:tcW w:type="dxa" w:w="2412"/>
            <w:vAlign w:val="top"/>
          </w:tcPr>
          <w:p>
            <w:r>
              <w:rPr>
                <w:sz w:val="18"/>
              </w:rPr>
            </w:r>
            <w:r>
              <w:rPr>
                <w:sz w:val="18"/>
              </w:rPr>
              <w:t>Define formal incident-response and breach-notification process integrated with vendor obligations</w:t>
            </w:r>
          </w:p>
        </w:tc>
        <w:tc>
          <w:tcPr>
            <w:tcW w:type="dxa" w:w="2412"/>
            <w:vAlign w:val="top"/>
          </w:tcPr>
          <w:p>
            <w:r>
              <w:rPr>
                <w:sz w:val="18"/>
              </w:rPr>
            </w:r>
            <w:r>
              <w:rPr>
                <w:sz w:val="18"/>
              </w:rPr>
              <w:t>Security/IT Lead</w:t>
            </w:r>
          </w:p>
        </w:tc>
        <w:tc>
          <w:tcPr>
            <w:tcW w:type="dxa" w:w="2412"/>
            <w:vAlign w:val="top"/>
          </w:tcPr>
          <w:p>
            <w:r>
              <w:rPr>
                <w:sz w:val="18"/>
              </w:rPr>
            </w:r>
            <w:r>
              <w:rPr>
                <w:sz w:val="18"/>
              </w:rPr>
              <w:t>Pre-pilot</w:t>
            </w:r>
          </w:p>
        </w:tc>
      </w:tr>
      <w:tr>
        <w:tc>
          <w:tcPr>
            <w:tcW w:type="dxa" w:w="2412"/>
            <w:vAlign w:val="top"/>
          </w:tcPr>
          <w:p>
            <w:r>
              <w:rPr>
                <w:sz w:val="18"/>
              </w:rPr>
            </w:r>
            <w:r>
              <w:rPr>
                <w:sz w:val="18"/>
              </w:rPr>
              <w:t>G15</w:t>
            </w:r>
          </w:p>
        </w:tc>
        <w:tc>
          <w:tcPr>
            <w:tcW w:type="dxa" w:w="2412"/>
            <w:vAlign w:val="top"/>
          </w:tcPr>
          <w:p>
            <w:r>
              <w:rPr>
                <w:sz w:val="18"/>
              </w:rPr>
            </w:r>
            <w:r>
              <w:rPr>
                <w:sz w:val="18"/>
              </w:rPr>
              <w:t xml:space="preserve">Document the proportionality analysis under </w:t>
            </w:r>
            <w:r>
              <w:rPr>
                <w:i/>
                <w:sz w:val="18"/>
              </w:rPr>
              <w:t>Eastmond</w:t>
            </w:r>
            <w:r>
              <w:rPr>
                <w:sz w:val="18"/>
              </w:rPr>
              <w:t xml:space="preserve"> and OPC workplace-monitoring guidance</w:t>
            </w:r>
          </w:p>
        </w:tc>
        <w:tc>
          <w:tcPr>
            <w:tcW w:type="dxa" w:w="2412"/>
            <w:vAlign w:val="top"/>
          </w:tcPr>
          <w:p>
            <w:r>
              <w:rPr>
                <w:sz w:val="18"/>
              </w:rPr>
            </w:r>
            <w:r>
              <w:rPr>
                <w:sz w:val="18"/>
              </w:rPr>
              <w:t>General Counsel</w:t>
            </w:r>
          </w:p>
        </w:tc>
        <w:tc>
          <w:tcPr>
            <w:tcW w:type="dxa" w:w="2412"/>
            <w:vAlign w:val="top"/>
          </w:tcPr>
          <w:p>
            <w:r>
              <w:rPr>
                <w:sz w:val="18"/>
              </w:rPr>
            </w:r>
            <w:r>
              <w:rPr>
                <w:sz w:val="18"/>
              </w:rPr>
              <w:t>Pre-pilot</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