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Guion</w:t>
      </w:r>
      <w:r>
        <w:t xml:space="preserve"> </w:t>
      </w:r>
      <w:r>
        <w:t xml:space="preserve">de</w:t>
      </w:r>
      <w:r>
        <w:t xml:space="preserve"> </w:t>
      </w:r>
      <w:r>
        <w:t xml:space="preserve">defensa</w:t>
      </w:r>
      <w:r>
        <w:t xml:space="preserve"> </w:t>
      </w:r>
      <w:r>
        <w:t xml:space="preserve">(10</w:t>
      </w:r>
      <w:r>
        <w:t xml:space="preserve"> </w:t>
      </w:r>
      <w:r>
        <w:t xml:space="preserve">min)</w:t>
      </w:r>
      <w:r>
        <w:t xml:space="preserve"> </w:t>
      </w:r>
      <w:r>
        <w:t xml:space="preserve">—</w:t>
      </w:r>
      <w:r>
        <w:t xml:space="preserve"> </w:t>
      </w:r>
      <w:r>
        <w:t xml:space="preserve">RETO</w:t>
      </w:r>
      <w:r>
        <w:t xml:space="preserve"> </w:t>
      </w:r>
      <w:r>
        <w:t xml:space="preserve">14</w:t>
      </w:r>
      <w:r>
        <w:t xml:space="preserve"> </w:t>
      </w:r>
      <w:r>
        <w:t xml:space="preserve">·</w:t>
      </w:r>
      <w:r>
        <w:t xml:space="preserve"> </w:t>
      </w:r>
      <w:r>
        <w:t xml:space="preserve">Equipo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Días</w:t>
      </w:r>
      <w:r>
        <w:t xml:space="preserve"> </w:t>
      </w:r>
      <w:r>
        <w:t xml:space="preserve">de</w:t>
      </w:r>
      <w:r>
        <w:t xml:space="preserve"> </w:t>
      </w:r>
      <w:r>
        <w:t xml:space="preserve">tormenta</w:t>
      </w:r>
      <w:r>
        <w:t xml:space="preserve"> </w:t>
      </w:r>
      <w:r>
        <w:t xml:space="preserve">·</w:t>
      </w:r>
      <w:r>
        <w:t xml:space="preserve"> </w:t>
      </w:r>
      <w:r>
        <w:t xml:space="preserve">Decrecimiento</w:t>
      </w:r>
      <w:r>
        <w:t xml:space="preserve"> </w:t>
      </w:r>
      <w:r>
        <w:t xml:space="preserve">Forbush</w:t>
      </w:r>
      <w:r>
        <w:t xml:space="preserve"> </w:t>
      </w:r>
      <w:r>
        <w:t xml:space="preserve">del</w:t>
      </w:r>
      <w:r>
        <w:t xml:space="preserve"> </w:t>
      </w:r>
      <w:r>
        <w:t xml:space="preserve">19–21</w:t>
      </w:r>
      <w:r>
        <w:t xml:space="preserve"> </w:t>
      </w:r>
      <w:r>
        <w:t xml:space="preserve">de</w:t>
      </w:r>
      <w:r>
        <w:t xml:space="preserve"> </w:t>
      </w:r>
      <w:r>
        <w:t xml:space="preserve">enero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Date"/>
      </w:pPr>
      <w:r>
        <w:t xml:space="preserve">Junio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</w:rPr>
        <w:t xml:space="preserve">Cómo usar este guion.</w:t>
      </w:r>
      <w:r>
        <w:t xml:space="preserve"> </w:t>
      </w:r>
      <w:r>
        <w:t xml:space="preserve">Cada bloque = una diapositiva de</w:t>
      </w:r>
      <w:r>
        <w:t xml:space="preserve"> </w:t>
      </w:r>
      <w:r>
        <w:rPr>
          <w:rStyle w:val="VerbatimChar"/>
        </w:rPr>
        <w:t xml:space="preserve">Presentacion_Reto14.html</w:t>
      </w:r>
      <w:r>
        <w:t xml:space="preserve"> </w:t>
      </w:r>
      <w:r>
        <w:t xml:space="preserve">(mismo texto incrustado como notas: tecla</w:t>
      </w:r>
      <w:r>
        <w:t xml:space="preserve"> </w:t>
      </w:r>
      <w:r>
        <w:rPr>
          <w:b/>
        </w:rPr>
        <w:t xml:space="preserve">S</w:t>
      </w:r>
      <w:r>
        <w:t xml:space="preserve"> </w:t>
      </w:r>
      <w:r>
        <w:t xml:space="preserve">para la vista del ponente con cronómetro). El reto pide defender 5 puntos:</w:t>
      </w:r>
      <w:r>
        <w:t xml:space="preserve"> </w:t>
      </w:r>
      <w:r>
        <w:rPr>
          <w:i/>
        </w:rPr>
        <w:t xml:space="preserve">forma de abordar, cómo se hizo, resultados, qué entregaron y conclusiones.</w:t>
      </w:r>
      <w:r>
        <w:t xml:space="preserve"> </w:t>
      </w:r>
      <w:r>
        <w:t xml:space="preserve">La presentación está organizada exactamente en ese orden.</w:t>
      </w:r>
    </w:p>
    <w:p>
      <w:pPr>
        <w:pStyle w:val="Heading2"/>
      </w:pPr>
      <w:bookmarkStart w:id="20" w:name="reparto-sugerido-y-tiempos-10-min"/>
      <w:r>
        <w:t xml:space="preserve">Reparto sugerido y tiempos (≈10 min)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Diapositivas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Tiempo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Portada + planteamiento</w:t>
            </w:r>
          </w:p>
        </w:tc>
        <w:tc>
          <w:p>
            <w:pPr>
              <w:pStyle w:val="Compact"/>
              <w:jc w:val="left"/>
            </w:pPr>
            <w:r>
              <w:t xml:space="preserve">Portada, 1.1</w:t>
            </w:r>
          </w:p>
        </w:tc>
        <w:tc>
          <w:p>
            <w:pPr>
              <w:pStyle w:val="Compact"/>
              <w:jc w:val="left"/>
            </w:pPr>
            <w:r>
              <w:t xml:space="preserve">Aguilar Ochoa</w:t>
            </w:r>
          </w:p>
        </w:tc>
        <w:tc>
          <w:p>
            <w:pPr>
              <w:pStyle w:val="Compact"/>
              <w:jc w:val="left"/>
            </w:pPr>
            <w:r>
              <w:t xml:space="preserve">Honduras</w:t>
            </w:r>
          </w:p>
        </w:tc>
        <w:tc>
          <w:p>
            <w:pPr>
              <w:pStyle w:val="Compact"/>
              <w:jc w:val="center"/>
            </w:pPr>
            <w:r>
              <w:t xml:space="preserve">1:30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Física (sin imprecisiones)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Tojil Jiménez</w:t>
            </w:r>
          </w:p>
        </w:tc>
        <w:tc>
          <w:p>
            <w:pPr>
              <w:pStyle w:val="Compact"/>
              <w:jc w:val="left"/>
            </w:pPr>
            <w:r>
              <w:t xml:space="preserve">Guatemala</w:t>
            </w:r>
          </w:p>
        </w:tc>
        <w:tc>
          <w:p>
            <w:pPr>
              <w:pStyle w:val="Compact"/>
              <w:jc w:val="center"/>
            </w:pPr>
            <w:r>
              <w:t xml:space="preserve">1:00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Instrumentos + MuNRA</w:t>
            </w:r>
          </w:p>
        </w:tc>
        <w:tc>
          <w:p>
            <w:pPr>
              <w:pStyle w:val="Compact"/>
              <w:jc w:val="left"/>
            </w:pPr>
            <w:r>
              <w:t xml:space="preserve">2.1, 2.2</w:t>
            </w:r>
          </w:p>
        </w:tc>
        <w:tc>
          <w:p>
            <w:pPr>
              <w:pStyle w:val="Compact"/>
              <w:jc w:val="left"/>
            </w:pPr>
            <w:r>
              <w:t xml:space="preserve">Perez Antaurco</w:t>
            </w:r>
          </w:p>
        </w:tc>
        <w:tc>
          <w:p>
            <w:pPr>
              <w:pStyle w:val="Compact"/>
              <w:jc w:val="left"/>
            </w:pPr>
            <w:r>
              <w:t xml:space="preserve">Perú</w:t>
            </w:r>
          </w:p>
        </w:tc>
        <w:tc>
          <w:p>
            <w:pPr>
              <w:pStyle w:val="Compact"/>
              <w:jc w:val="center"/>
            </w:pPr>
            <w:r>
              <w:t xml:space="preserve">2:00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Metodología de correlación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Coloma Yépez</w:t>
            </w:r>
          </w:p>
        </w:tc>
        <w:tc>
          <w:p>
            <w:pPr>
              <w:pStyle w:val="Compact"/>
              <w:jc w:val="left"/>
            </w:pPr>
            <w:r>
              <w:t xml:space="preserve">Perú</w:t>
            </w:r>
          </w:p>
        </w:tc>
        <w:tc>
          <w:p>
            <w:pPr>
              <w:pStyle w:val="Compact"/>
              <w:jc w:val="center"/>
            </w:pPr>
            <w:r>
              <w:t xml:space="preserve">1:00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Resultados MuNRA / EZIE</w:t>
            </w:r>
          </w:p>
        </w:tc>
        <w:tc>
          <w:p>
            <w:pPr>
              <w:pStyle w:val="Compact"/>
              <w:jc w:val="left"/>
            </w:pPr>
            <w:r>
              <w:t xml:space="preserve">3.1, 3.2</w:t>
            </w:r>
          </w:p>
        </w:tc>
        <w:tc>
          <w:p>
            <w:pPr>
              <w:pStyle w:val="Compact"/>
              <w:jc w:val="left"/>
            </w:pPr>
            <w:r>
              <w:t xml:space="preserve">Cely Rodríguez</w:t>
            </w:r>
          </w:p>
        </w:tc>
        <w:tc>
          <w:p>
            <w:pPr>
              <w:pStyle w:val="Compact"/>
              <w:jc w:val="left"/>
            </w:pPr>
            <w:r>
              <w:t xml:space="preserve">Colombia</w:t>
            </w:r>
          </w:p>
        </w:tc>
        <w:tc>
          <w:p>
            <w:pPr>
              <w:pStyle w:val="Compact"/>
              <w:jc w:val="center"/>
            </w:pPr>
            <w:r>
              <w:t xml:space="preserve">2:00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Resultados globales + cierre</w:t>
            </w:r>
          </w:p>
        </w:tc>
        <w:tc>
          <w:p>
            <w:pPr>
              <w:pStyle w:val="Compact"/>
              <w:jc w:val="left"/>
            </w:pPr>
            <w:r>
              <w:t xml:space="preserve">3.3, 3.4, 4, 5</w:t>
            </w:r>
          </w:p>
        </w:tc>
        <w:tc>
          <w:p>
            <w:pPr>
              <w:pStyle w:val="Compact"/>
              <w:jc w:val="left"/>
            </w:pPr>
            <w:r>
              <w:t xml:space="preserve">Jovel Hernández</w:t>
            </w:r>
          </w:p>
        </w:tc>
        <w:tc>
          <w:p>
            <w:pPr>
              <w:pStyle w:val="Compact"/>
              <w:jc w:val="left"/>
            </w:pPr>
            <w:r>
              <w:t xml:space="preserve">El Salvador</w:t>
            </w:r>
          </w:p>
        </w:tc>
        <w:tc>
          <w:p>
            <w:pPr>
              <w:pStyle w:val="Compact"/>
              <w:jc w:val="center"/>
            </w:pPr>
            <w:r>
              <w:t xml:space="preserve">2:00</w:t>
            </w:r>
          </w:p>
        </w:tc>
      </w:tr>
    </w:tbl>
    <w:p>
      <w:pPr>
        <w:pStyle w:val="BlockText"/>
      </w:pPr>
      <w:r>
        <w:t xml:space="preserve">Así cada integrante domina su parte y puede responder en el ciclo de preguntas. Dejen ~30 s de margen.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portada"/>
      <w:r>
        <w:t xml:space="preserve">Portada</w:t>
      </w:r>
      <w:bookmarkEnd w:id="21"/>
    </w:p>
    <w:p>
      <w:pPr>
        <w:pStyle w:val="FirstParagraph"/>
      </w:pPr>
      <w:r>
        <w:t xml:space="preserve">“</w:t>
      </w:r>
      <w:r>
        <w:t xml:space="preserve">Buenas. Somos el</w:t>
      </w:r>
      <w:r>
        <w:t xml:space="preserve"> </w:t>
      </w:r>
      <w:r>
        <w:rPr>
          <w:b/>
        </w:rPr>
        <w:t xml:space="preserve">Equipo 1</w:t>
      </w:r>
      <w:r>
        <w:t xml:space="preserve"> </w:t>
      </w:r>
      <w:r>
        <w:t xml:space="preserve">y defendemos la parte de</w:t>
      </w:r>
      <w:r>
        <w:t xml:space="preserve"> </w:t>
      </w:r>
      <w:r>
        <w:rPr>
          <w:b/>
        </w:rPr>
        <w:t xml:space="preserve">días de tormenta</w:t>
      </w:r>
      <w:r>
        <w:t xml:space="preserve">: el decrecimiento Forbush y la respuesta geomagnética durante la tormenta del 19 al 21 de enero de 2026. Somos seis integrantes de Honduras, Colombia, Perú, El Salvador y Guatemala. El otro equipo presentará los días calmos. Cada uno expondrá una parte.</w:t>
      </w:r>
      <w:r>
        <w:t xml:space="preserve">”</w:t>
      </w:r>
    </w:p>
    <w:p>
      <w:pPr>
        <w:pStyle w:val="Heading1"/>
      </w:pPr>
      <w:bookmarkStart w:id="22" w:name="forma-de-abordar-el-problema"/>
      <w:r>
        <w:t xml:space="preserve">1 · Forma de abordar el problema</w:t>
      </w:r>
      <w:bookmarkEnd w:id="22"/>
    </w:p>
    <w:p>
      <w:pPr>
        <w:pStyle w:val="Heading2"/>
      </w:pPr>
      <w:bookmarkStart w:id="23" w:name="X9bc1bd31d392f9165d89627cb395ee552d7091a"/>
      <w:r>
        <w:t xml:space="preserve">1.1 El problema y nuestro enfoque —</w:t>
      </w:r>
      <w:r>
        <w:t xml:space="preserve"> </w:t>
      </w:r>
      <w:r>
        <w:rPr>
          <w:i/>
        </w:rPr>
        <w:t xml:space="preserve">Aguilar (Honduras)</w:t>
      </w:r>
      <w:bookmarkEnd w:id="23"/>
    </w:p>
    <w:p>
      <w:pPr>
        <w:pStyle w:val="FirstParagraph"/>
      </w:pPr>
      <w:r>
        <w:t xml:space="preserve">“</w:t>
      </w:r>
      <w:r>
        <w:t xml:space="preserve">El objetivo de nuestro equipo es caracterizar el decrecimiento Forbush y la respuesta geomagnética durante la tormenta del 19 al 21 de enero de 2026. La estrategia fue</w:t>
      </w:r>
      <w:r>
        <w:t xml:space="preserve"> </w:t>
      </w:r>
      <w:r>
        <w:rPr>
          <w:b/>
        </w:rPr>
        <w:t xml:space="preserve">multi-instrumental</w:t>
      </w:r>
      <w:r>
        <w:t xml:space="preserve">: cruzar rayos cósmicos, campo magnético y viento solar para ordenar la secuencia causal. La hipótesis de trabajo es que la caída de rayos cósmicos y la depresión del campo son dos caras del mismo forzamiento: la CME.</w:t>
      </w:r>
      <w:r>
        <w:t xml:space="preserve">”</w:t>
      </w:r>
    </w:p>
    <w:p>
      <w:pPr>
        <w:pStyle w:val="Heading2"/>
      </w:pPr>
      <w:bookmarkStart w:id="24" w:name="X980049a50a506706725c75e8f227a35728348b5"/>
      <w:r>
        <w:t xml:space="preserve">1.2 Física necesaria, sin imprecisiones —</w:t>
      </w:r>
      <w:r>
        <w:t xml:space="preserve"> </w:t>
      </w:r>
      <w:r>
        <w:rPr>
          <w:i/>
        </w:rPr>
        <w:t xml:space="preserve">Tojil (Guatemala)</w:t>
      </w:r>
      <w:bookmarkEnd w:id="24"/>
    </w:p>
    <w:p>
      <w:pPr>
        <w:pStyle w:val="FirstParagraph"/>
      </w:pPr>
      <w:r>
        <w:t xml:space="preserve">“</w:t>
      </w:r>
      <w:r>
        <w:t xml:space="preserve">La física mínima, cuidando una imprecisión frecuente:</w:t>
      </w:r>
      <w:r>
        <w:t xml:space="preserve"> </w:t>
      </w:r>
      <w:r>
        <w:rPr>
          <w:b/>
        </w:rPr>
        <w:t xml:space="preserve">la llamarada y la CME no son lo mismo</w:t>
      </w:r>
      <w:r>
        <w:t xml:space="preserve">. La llamarada X1.95 del 18 de enero es radiación —rayos X y ultravioleta—; afecta la ionosfera, pero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deprime el campo geomagnético. Lo que causó la tormenta fue la</w:t>
      </w:r>
      <w:r>
        <w:t xml:space="preserve"> </w:t>
      </w:r>
      <w:r>
        <w:rPr>
          <w:b/>
        </w:rPr>
        <w:t xml:space="preserve">CME</w:t>
      </w:r>
      <w:r>
        <w:t xml:space="preserve"> </w:t>
      </w:r>
      <w:r>
        <w:t xml:space="preserve">asociada, el plasma magnetizado. El decrecimiento Forbush ocurre porque esa CME barre los rayos cósmicos de menor rigidez. La tormenta tiene tres fases: inicio súbito, fase principal con Bz al sur que forma la corriente anular, y recuperación. Nuestro evento alcanzó</w:t>
      </w:r>
      <w:r>
        <w:t xml:space="preserve"> </w:t>
      </w:r>
      <w:r>
        <w:rPr>
          <w:b/>
        </w:rPr>
        <w:t xml:space="preserve">Kp ≈ 8 (G4)</w:t>
      </w:r>
      <w:r>
        <w:t xml:space="preserve"> </w:t>
      </w:r>
      <w:r>
        <w:t xml:space="preserve">y un</w:t>
      </w:r>
      <w:r>
        <w:t xml:space="preserve"> </w:t>
      </w:r>
      <w:r>
        <w:rPr>
          <w:b/>
        </w:rPr>
        <w:t xml:space="preserve">Dst mínimo de −236 nT</w:t>
      </w:r>
      <w:r>
        <w:t xml:space="preserve">, categoría extrema.</w:t>
      </w:r>
      <w:r>
        <w:t xml:space="preserve">”</w:t>
      </w:r>
    </w:p>
    <w:p>
      <w:pPr>
        <w:pStyle w:val="BlockText"/>
      </w:pPr>
      <w:r>
        <w:rPr>
          <w:i/>
        </w:rPr>
        <w:t xml:space="preserve">Si preguntan por la escala:</w:t>
      </w:r>
      <w:r>
        <w:t xml:space="preserve"> </w:t>
      </w:r>
      <w:r>
        <w:t xml:space="preserve">la escala G de NOAA se define con el Kp; el Dst es otra escala (depresión del campo). Por eso reportamos ambos por separado y no como</w:t>
      </w:r>
      <w:r>
        <w:t xml:space="preserve"> </w:t>
      </w:r>
      <w:r>
        <w:t xml:space="preserve">“</w:t>
      </w:r>
      <w:r>
        <w:t xml:space="preserve">G4 = −236 nT</w:t>
      </w:r>
      <w:r>
        <w:t xml:space="preserve">”</w:t>
      </w:r>
      <w:r>
        <w:t xml:space="preserve">.</w:t>
      </w:r>
    </w:p>
    <w:p>
      <w:pPr>
        <w:pStyle w:val="Heading1"/>
      </w:pPr>
      <w:bookmarkStart w:id="25" w:name="cómo-se-hizo"/>
      <w:r>
        <w:t xml:space="preserve">2 · ¿Cómo se hizo?</w:t>
      </w:r>
      <w:bookmarkEnd w:id="25"/>
    </w:p>
    <w:p>
      <w:pPr>
        <w:pStyle w:val="Heading2"/>
      </w:pPr>
      <w:bookmarkStart w:id="26" w:name="instrumentos-y-datos-perez-perú"/>
      <w:r>
        <w:t xml:space="preserve">2.1 Instrumentos y datos —</w:t>
      </w:r>
      <w:r>
        <w:t xml:space="preserve"> </w:t>
      </w:r>
      <w:r>
        <w:rPr>
          <w:i/>
        </w:rPr>
        <w:t xml:space="preserve">Perez (Perú)</w:t>
      </w:r>
      <w:bookmarkEnd w:id="26"/>
    </w:p>
    <w:p>
      <w:pPr>
        <w:pStyle w:val="FirstParagraph"/>
      </w:pPr>
      <w:r>
        <w:t xml:space="preserve">“</w:t>
      </w:r>
      <w:r>
        <w:t xml:space="preserve">Usamos cinco instrumentos: el detector de muones</w:t>
      </w:r>
      <w:r>
        <w:t xml:space="preserve"> </w:t>
      </w:r>
      <w:r>
        <w:rPr>
          <w:b/>
        </w:rPr>
        <w:t xml:space="preserve">MuNRA</w:t>
      </w:r>
      <w:r>
        <w:t xml:space="preserve"> </w:t>
      </w:r>
      <w:r>
        <w:t xml:space="preserve">en Tegucigalpa y los monitores de neutrones</w:t>
      </w:r>
      <w:r>
        <w:t xml:space="preserve"> </w:t>
      </w:r>
      <w:r>
        <w:rPr>
          <w:b/>
        </w:rPr>
        <w:t xml:space="preserve">NMDB</w:t>
      </w:r>
      <w:r>
        <w:t xml:space="preserve"> </w:t>
      </w:r>
      <w:r>
        <w:t xml:space="preserve">(México, Newark, Calgary) para los rayos cósmicos; el magnetómetro</w:t>
      </w:r>
      <w:r>
        <w:t xml:space="preserve"> </w:t>
      </w:r>
      <w:r>
        <w:rPr>
          <w:b/>
        </w:rPr>
        <w:t xml:space="preserve">EZIE-Mag</w:t>
      </w:r>
      <w:r>
        <w:t xml:space="preserve"> </w:t>
      </w:r>
      <w:r>
        <w:t xml:space="preserve">en Honduras y el observatorio</w:t>
      </w:r>
      <w:r>
        <w:t xml:space="preserve"> </w:t>
      </w:r>
      <w:r>
        <w:rPr>
          <w:b/>
        </w:rPr>
        <w:t xml:space="preserve">Coeneo</w:t>
      </w:r>
      <w:r>
        <w:t xml:space="preserve"> </w:t>
      </w:r>
      <w:r>
        <w:t xml:space="preserve">en México para el campo; y</w:t>
      </w:r>
      <w:r>
        <w:t xml:space="preserve"> </w:t>
      </w:r>
      <w:r>
        <w:rPr>
          <w:b/>
        </w:rPr>
        <w:t xml:space="preserve">OMNIWeb</w:t>
      </w:r>
      <w:r>
        <w:t xml:space="preserve"> </w:t>
      </w:r>
      <w:r>
        <w:t xml:space="preserve">para el viento solar en L1. Definimos dos períodos: P1 antes de la tormenta (línea base) y P2 durante el evento. A la derecha, la línea base estable del MuNRA.</w:t>
      </w:r>
      <w:r>
        <w:t xml:space="preserve">”</w:t>
      </w:r>
    </w:p>
    <w:p>
      <w:pPr>
        <w:pStyle w:val="Heading2"/>
      </w:pPr>
      <w:bookmarkStart w:id="27" w:name="calibración-del-munra-perez-perú"/>
      <w:r>
        <w:t xml:space="preserve">2.2 Calibración del MuNRA —</w:t>
      </w:r>
      <w:r>
        <w:t xml:space="preserve"> </w:t>
      </w:r>
      <w:r>
        <w:rPr>
          <w:i/>
        </w:rPr>
        <w:t xml:space="preserve">Perez (Perú)</w:t>
      </w:r>
      <w:bookmarkEnd w:id="27"/>
    </w:p>
    <w:p>
      <w:pPr>
        <w:pStyle w:val="FirstParagraph"/>
      </w:pPr>
      <w:r>
        <w:t xml:space="preserve">“</w:t>
      </w:r>
      <w:r>
        <w:t xml:space="preserve">Sobre el MuNRA hicimos un pipeline de calibración propio. Discretizamos los eventos en intervalos de 60 segundos y corregimos por</w:t>
      </w:r>
      <w:r>
        <w:t xml:space="preserve"> </w:t>
      </w:r>
      <w:r>
        <w:rPr>
          <w:b/>
        </w:rPr>
        <w:t xml:space="preserve">tiempo vivo</w:t>
      </w:r>
      <w:r>
        <w:t xml:space="preserve">, porque el tiempo muerto es de ~10 % y, sin corregir, subestimaría el flujo. Luego modelamos los efectos ambientales de presión y temperatura; como en Tegucigalpa están muy correlacionadas, una covarianza simple da signos erróneos, así que usamos</w:t>
      </w:r>
      <w:r>
        <w:t xml:space="preserve"> </w:t>
      </w:r>
      <w:r>
        <w:rPr>
          <w:b/>
        </w:rPr>
        <w:t xml:space="preserve">regresión múltiple (Cramer)</w:t>
      </w:r>
      <w:r>
        <w:t xml:space="preserve"> </w:t>
      </w:r>
      <w:r>
        <w:t xml:space="preserve">para desacoplar los coeficientes. Obtuvimos una tasa base de</w:t>
      </w:r>
      <w:r>
        <w:t xml:space="preserve"> </w:t>
      </w:r>
      <w:r>
        <w:rPr>
          <w:b/>
        </w:rPr>
        <w:t xml:space="preserve">4,39 cuentas por segundo</w:t>
      </w:r>
      <w:r>
        <w:t xml:space="preserve"> </w:t>
      </w:r>
      <w:r>
        <w:t xml:space="preserve">y coeficientes barométrico y térmico negativos, que aplicamos a la serie de la tormenta.</w:t>
      </w:r>
      <w:r>
        <w:t xml:space="preserve">”</w:t>
      </w:r>
    </w:p>
    <w:p>
      <w:pPr>
        <w:pStyle w:val="Heading2"/>
      </w:pPr>
      <w:bookmarkStart w:id="28" w:name="metodología-de-correlación-coloma-perú"/>
      <w:r>
        <w:t xml:space="preserve">2.3 Metodología de correlación —</w:t>
      </w:r>
      <w:r>
        <w:t xml:space="preserve"> </w:t>
      </w:r>
      <w:r>
        <w:rPr>
          <w:i/>
        </w:rPr>
        <w:t xml:space="preserve">Coloma (Perú)</w:t>
      </w:r>
      <w:bookmarkEnd w:id="28"/>
    </w:p>
    <w:p>
      <w:pPr>
        <w:pStyle w:val="FirstParagraph"/>
      </w:pPr>
      <w:r>
        <w:t xml:space="preserve">“</w:t>
      </w:r>
      <w:r>
        <w:t xml:space="preserve">Sincronizamos los instrumentos por vecino más cercano con tolerancia de 5 minutos, dejando las brechas como huecos sin interpolar. Calculamos correlaciones de Pearson diarias estabilizadas con la</w:t>
      </w:r>
      <w:r>
        <w:t xml:space="preserve"> </w:t>
      </w:r>
      <w:r>
        <w:rPr>
          <w:b/>
        </w:rPr>
        <w:t xml:space="preserve">transformada de Fisher</w:t>
      </w:r>
      <w:r>
        <w:t xml:space="preserve">;</w:t>
      </w:r>
      <w:r>
        <w:t xml:space="preserve"> </w:t>
      </w:r>
      <w:r>
        <w:rPr>
          <w:b/>
        </w:rPr>
        <w:t xml:space="preserve">correlación cruzada con retardo</w:t>
      </w:r>
      <w:r>
        <w:t xml:space="preserve"> </w:t>
      </w:r>
      <w:r>
        <w:t xml:space="preserve">para ver qué señal adelanta a cuál; y</w:t>
      </w:r>
      <w:r>
        <w:t xml:space="preserve"> </w:t>
      </w:r>
      <w:r>
        <w:rPr>
          <w:b/>
        </w:rPr>
        <w:t xml:space="preserve">correlación móvil</w:t>
      </w:r>
      <w:r>
        <w:t xml:space="preserve"> </w:t>
      </w:r>
      <w:r>
        <w:t xml:space="preserve">con ventanas de 12 a 24 horas para seguir el acoplamiento fase a fase.</w:t>
      </w:r>
      <w:r>
        <w:t xml:space="preserve">”</w:t>
      </w:r>
    </w:p>
    <w:p>
      <w:pPr>
        <w:pStyle w:val="Heading1"/>
      </w:pPr>
      <w:bookmarkStart w:id="29" w:name="resultados"/>
      <w:r>
        <w:t xml:space="preserve">3 · Resultados</w:t>
      </w:r>
      <w:bookmarkEnd w:id="29"/>
    </w:p>
    <w:p>
      <w:pPr>
        <w:pStyle w:val="Heading2"/>
      </w:pPr>
      <w:bookmarkStart w:id="30" w:name="munra-durante-la-tormenta-cely-colombia"/>
      <w:r>
        <w:t xml:space="preserve">3.1 MuNRA durante la tormenta —</w:t>
      </w:r>
      <w:r>
        <w:t xml:space="preserve"> </w:t>
      </w:r>
      <w:r>
        <w:rPr>
          <w:i/>
        </w:rPr>
        <w:t xml:space="preserve">Cely (Colombia)</w:t>
      </w:r>
      <w:bookmarkEnd w:id="30"/>
    </w:p>
    <w:p>
      <w:pPr>
        <w:pStyle w:val="FirstParagraph"/>
      </w:pPr>
      <w:r>
        <w:t xml:space="preserve">“</w:t>
      </w:r>
      <w:r>
        <w:t xml:space="preserve">En el MuNRA se ve la caída del flujo al iniciar el evento, pero también un</w:t>
      </w:r>
      <w:r>
        <w:t xml:space="preserve"> </w:t>
      </w:r>
      <w:r>
        <w:rPr>
          <w:b/>
        </w:rPr>
        <w:t xml:space="preserve">vacío de 42,68 horas</w:t>
      </w:r>
      <w:r>
        <w:t xml:space="preserve">: la caída del campo a las 13:00 coincide al minuto con la desconexión del detector a las 13:06. Lo atribuimos a saturación del búfer por las corrientes que induce la CME. Es una limitación: con el MuNRA no cubrimos el mínimo del Forbush, y por eso nos apoyamos en los neutrones.</w:t>
      </w:r>
      <w:r>
        <w:t xml:space="preserve">”</w:t>
      </w:r>
    </w:p>
    <w:p>
      <w:pPr>
        <w:pStyle w:val="Heading2"/>
      </w:pPr>
      <w:bookmarkStart w:id="31" w:name="Xa55f4d33a72fcf45c8dc091e14a944627cb2d53"/>
      <w:r>
        <w:t xml:space="preserve">3.2 Acoplamiento EZIE-Mag ↔ MuNRA —</w:t>
      </w:r>
      <w:r>
        <w:t xml:space="preserve"> </w:t>
      </w:r>
      <w:r>
        <w:rPr>
          <w:i/>
        </w:rPr>
        <w:t xml:space="preserve">Cely (Colombia)</w:t>
      </w:r>
      <w:bookmarkEnd w:id="31"/>
    </w:p>
    <w:p>
      <w:pPr>
        <w:pStyle w:val="FirstParagraph"/>
      </w:pPr>
      <w:r>
        <w:t xml:space="preserve">“</w:t>
      </w:r>
      <w:r>
        <w:t xml:space="preserve">Con la correlación móvil, las ventanas cortas dan ruido, pero al ampliar a 12–24 horas aparece</w:t>
      </w:r>
      <w:r>
        <w:t xml:space="preserve"> </w:t>
      </w:r>
      <w:r>
        <w:rPr>
          <w:b/>
        </w:rPr>
        <w:t xml:space="preserve">r &gt; 0,6</w:t>
      </w:r>
      <w:r>
        <w:t xml:space="preserve"> </w:t>
      </w:r>
      <w:r>
        <w:t xml:space="preserve">en la recuperación: el restablecimiento del campo y el del flujo son la misma respuesta. Entre los dos magnetómetros, Honduras y México, la correlación es</w:t>
      </w:r>
      <w:r>
        <w:t xml:space="preserve"> </w:t>
      </w:r>
      <w:r>
        <w:rPr>
          <w:b/>
        </w:rPr>
        <w:t xml:space="preserve">0,97 con desfase cero</w:t>
      </w:r>
      <w:r>
        <w:t xml:space="preserve">, pese a 620 km de separación: la perturbación fue coherente a gran escala.</w:t>
      </w:r>
      <w:r>
        <w:t xml:space="preserve">”</w:t>
      </w:r>
    </w:p>
    <w:p>
      <w:pPr>
        <w:pStyle w:val="Heading2"/>
      </w:pPr>
      <w:bookmarkStart w:id="32" w:name="Xb155b391e2a19c76ec8443b70bb897c9112c58f"/>
      <w:r>
        <w:t xml:space="preserve">3.3 Evolución global de la tormenta —</w:t>
      </w:r>
      <w:r>
        <w:t xml:space="preserve"> </w:t>
      </w:r>
      <w:r>
        <w:rPr>
          <w:i/>
        </w:rPr>
        <w:t xml:space="preserve">Jovel (El Salvador)</w:t>
      </w:r>
      <w:bookmarkEnd w:id="32"/>
    </w:p>
    <w:p>
      <w:pPr>
        <w:pStyle w:val="FirstParagraph"/>
      </w:pPr>
      <w:r>
        <w:t xml:space="preserve">“</w:t>
      </w:r>
      <w:r>
        <w:t xml:space="preserve">La visión global: inicio súbito hacia las 16 UT del 19 de enero; la fase principal lleva el Dst a unos −230 y el Kp por encima de 8; coincide con viento solar de más de 1000 km/s y campo interplanetario al sur, que habilita la reconexión. La recuperación dura varios días. Todo encaja con la llegada de la CME.</w:t>
      </w:r>
      <w:r>
        <w:t xml:space="preserve">”</w:t>
      </w:r>
    </w:p>
    <w:p>
      <w:pPr>
        <w:pStyle w:val="Heading2"/>
      </w:pPr>
      <w:bookmarkStart w:id="33" w:name="Xbd41809a10d44b0dd630842a0918b6a8ec5390e"/>
      <w:r>
        <w:t xml:space="preserve">3.4 Forbush en neutrones y qué lo controla —</w:t>
      </w:r>
      <w:r>
        <w:t xml:space="preserve"> </w:t>
      </w:r>
      <w:r>
        <w:rPr>
          <w:i/>
        </w:rPr>
        <w:t xml:space="preserve">Jovel (El Salvador)</w:t>
      </w:r>
      <w:bookmarkEnd w:id="33"/>
    </w:p>
    <w:p>
      <w:pPr>
        <w:pStyle w:val="FirstParagraph"/>
      </w:pPr>
      <w:r>
        <w:t xml:space="preserve">“</w:t>
      </w:r>
      <w:r>
        <w:t xml:space="preserve">Los neutrones sí cubren el mínimo: las tres estaciones marcan decrecimientos más profundos a mayor latitud —16,7 % en México, 20,4 en Newark, 22,2 en Calgary—. La matriz de correlación señala la</w:t>
      </w:r>
      <w:r>
        <w:t xml:space="preserve"> </w:t>
      </w:r>
      <w:r>
        <w:rPr>
          <w:b/>
        </w:rPr>
        <w:t xml:space="preserve">velocidad del viento solar (−0,86)</w:t>
      </w:r>
      <w:r>
        <w:t xml:space="preserve"> </w:t>
      </w:r>
      <w:r>
        <w:t xml:space="preserve">y el</w:t>
      </w:r>
      <w:r>
        <w:t xml:space="preserve"> </w:t>
      </w:r>
      <w:r>
        <w:rPr>
          <w:b/>
        </w:rPr>
        <w:t xml:space="preserve">Dst (0,83)</w:t>
      </w:r>
      <w:r>
        <w:t xml:space="preserve"> </w:t>
      </w:r>
      <w:r>
        <w:t xml:space="preserve">como factores dominantes, con retardos cercanos a cero: respuesta casi simultánea.</w:t>
      </w:r>
      <w:r>
        <w:t xml:space="preserve">”</w:t>
      </w:r>
    </w:p>
    <w:p>
      <w:pPr>
        <w:pStyle w:val="Heading1"/>
      </w:pPr>
      <w:bookmarkStart w:id="34" w:name="qué-entregamos"/>
      <w:r>
        <w:t xml:space="preserve">4 · ¿Qué entregamos?</w:t>
      </w:r>
      <w:bookmarkEnd w:id="34"/>
    </w:p>
    <w:p>
      <w:pPr>
        <w:pStyle w:val="FirstParagraph"/>
      </w:pPr>
      <w:r>
        <w:rPr>
          <w:i/>
        </w:rPr>
        <w:t xml:space="preserve">(Jovel u otro integrante, ~45 s)</w:t>
      </w:r>
    </w:p>
    <w:p>
      <w:pPr>
        <w:pStyle w:val="BodyText"/>
      </w:pPr>
      <w:r>
        <w:t xml:space="preserve">“</w:t>
      </w:r>
      <w:r>
        <w:t xml:space="preserve">Entregamos: el</w:t>
      </w:r>
      <w:r>
        <w:t xml:space="preserve"> </w:t>
      </w:r>
      <w:r>
        <w:rPr>
          <w:b/>
        </w:rPr>
        <w:t xml:space="preserve">informe científico</w:t>
      </w:r>
      <w:r>
        <w:t xml:space="preserve"> </w:t>
      </w:r>
      <w:r>
        <w:t xml:space="preserve">del evento de tormenta con las correcciones de física; un</w:t>
      </w:r>
      <w:r>
        <w:t xml:space="preserve"> </w:t>
      </w:r>
      <w:r>
        <w:rPr>
          <w:b/>
        </w:rPr>
        <w:t xml:space="preserve">pipeline de calibración del MuNRA</w:t>
      </w:r>
      <w:r>
        <w:t xml:space="preserve"> </w:t>
      </w:r>
      <w:r>
        <w:t xml:space="preserve">en Python (tiempo vivo y corrección barométrica/térmica); las</w:t>
      </w:r>
      <w:r>
        <w:t xml:space="preserve"> </w:t>
      </w:r>
      <w:r>
        <w:rPr>
          <w:b/>
        </w:rPr>
        <w:t xml:space="preserve">series sincronizadas y el análisis de correlación</w:t>
      </w:r>
      <w:r>
        <w:t xml:space="preserve"> </w:t>
      </w:r>
      <w:r>
        <w:t xml:space="preserve">entre los cuatro instrumentos; y el conjunto de</w:t>
      </w:r>
      <w:r>
        <w:t xml:space="preserve"> </w:t>
      </w:r>
      <w:r>
        <w:rPr>
          <w:b/>
        </w:rPr>
        <w:t xml:space="preserve">figuras y tablas</w:t>
      </w:r>
      <w:r>
        <w:t xml:space="preserve"> </w:t>
      </w:r>
      <w:r>
        <w:t xml:space="preserve">que sustentan los resultados.</w:t>
      </w:r>
      <w:r>
        <w:t xml:space="preserve">”</w:t>
      </w:r>
    </w:p>
    <w:p>
      <w:pPr>
        <w:pStyle w:val="Heading1"/>
      </w:pPr>
      <w:bookmarkStart w:id="35" w:name="conclusiones"/>
      <w:r>
        <w:t xml:space="preserve">5 · Conclusiones</w:t>
      </w:r>
      <w:bookmarkEnd w:id="35"/>
    </w:p>
    <w:p>
      <w:pPr>
        <w:pStyle w:val="FirstParagraph"/>
      </w:pPr>
      <w:r>
        <w:rPr>
          <w:i/>
        </w:rPr>
        <w:t xml:space="preserve">(Jovel, ~45 s)</w:t>
      </w:r>
    </w:p>
    <w:p>
      <w:pPr>
        <w:pStyle w:val="BodyText"/>
      </w:pPr>
      <w:r>
        <w:t xml:space="preserve">“</w:t>
      </w:r>
      <w:r>
        <w:t xml:space="preserve">La tormenta del 19 al 21 de enero, originada por una</w:t>
      </w:r>
      <w:r>
        <w:t xml:space="preserve"> </w:t>
      </w:r>
      <w:r>
        <w:rPr>
          <w:b/>
        </w:rPr>
        <w:t xml:space="preserve">CME</w:t>
      </w:r>
      <w:r>
        <w:t xml:space="preserve">, produjo un Forbush de hasta</w:t>
      </w:r>
      <w:r>
        <w:t xml:space="preserve"> </w:t>
      </w:r>
      <w:r>
        <w:rPr>
          <w:b/>
        </w:rPr>
        <w:t xml:space="preserve">22 %</w:t>
      </w:r>
      <w:r>
        <w:t xml:space="preserve"> </w:t>
      </w:r>
      <w:r>
        <w:t xml:space="preserve">y una depresión geomagnética coherente entre estaciones. Confirmamos el</w:t>
      </w:r>
      <w:r>
        <w:t xml:space="preserve"> </w:t>
      </w:r>
      <w:r>
        <w:rPr>
          <w:b/>
        </w:rPr>
        <w:t xml:space="preserve">acoplamiento campo–rayos cósmicos</w:t>
      </w:r>
      <w:r>
        <w:t xml:space="preserve"> </w:t>
      </w:r>
      <w:r>
        <w:t xml:space="preserve">a escala de 12–24 horas, siendo el viento solar y el Dst los mejores predictores. Y dejamos el</w:t>
      </w:r>
      <w:r>
        <w:t xml:space="preserve"> </w:t>
      </w:r>
      <w:r>
        <w:rPr>
          <w:b/>
        </w:rPr>
        <w:t xml:space="preserve">MuNRA calibrado y validado</w:t>
      </w:r>
      <w:r>
        <w:t xml:space="preserve">; su vacío de 43 horas marca la mejora de hardware más urgente. Gracias, quedamos atentos a sus preguntas.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apéndice-posibles-preguntas-del-jurado"/>
      <w:r>
        <w:t xml:space="preserve">Apéndice — posibles preguntas del jurado</w:t>
      </w:r>
      <w:bookmarkEnd w:id="3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¿Por qué la CME y no la llamarada?</w:t>
      </w:r>
      <w:r>
        <w:t xml:space="preserve"> </w:t>
      </w:r>
      <w:r>
        <w:t xml:space="preserve">La llamarada es radiación (efecto ionosférico inmediato, escala R); no transporta el plasma ni el campo que deprimen la magnetosfera. La depresión del Dst la produce la corriente anular alimentada por la CME.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¿Por qué se va a cero el MuNRA?</w:t>
      </w:r>
      <w:r>
        <w:t xml:space="preserve"> </w:t>
      </w:r>
      <w:r>
        <w:t xml:space="preserve">Saturación del búfer serial coincidente con las corrientes inducidas por la CME y, en otros tramos, cortes del suministro eléctrico; es nuestra principal limitación y línea de mejora.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¿Por qué usar muones y neutrones a la vez?</w:t>
      </w:r>
      <w:r>
        <w:t xml:space="preserve"> </w:t>
      </w:r>
      <w:r>
        <w:t xml:space="preserve">El MuNRA da resolución local pero tuvo el vacío de 42,68 h; los neutrones NMDB cubren el mínimo del Forbush y permiten la estadística entre latitudes.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¿Por qué Fisher / correlación móvil?</w:t>
      </w:r>
      <w:r>
        <w:t xml:space="preserve"> </w:t>
      </w:r>
      <w:r>
        <w:t xml:space="preserve">Fisher estabiliza la varianza cuando r→1; la correlación móvil evita que el ruido de Poisson (ventanas cortas) oculte el acoplamiento físico de baja frecuencia.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¿Por qué Bz sale débil (r=−0,27)?</w:t>
      </w:r>
      <w:r>
        <w:t xml:space="preserve"> </w:t>
      </w:r>
      <w:r>
        <w:t xml:space="preserve">Su efecto es disparar la reconexión (timing del SSC), no tanto fijar la</w:t>
      </w:r>
      <w:r>
        <w:t xml:space="preserve"> </w:t>
      </w:r>
      <w:r>
        <w:rPr>
          <w:i/>
        </w:rPr>
        <w:t xml:space="preserve">profundidad</w:t>
      </w:r>
      <w:r>
        <w:t xml:space="preserve"> </w:t>
      </w:r>
      <w:r>
        <w:t xml:space="preserve">del Forbush, que responde más a Vsw y al campo interplanetario total.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defensa (10 min) — RETO 14 · Equipo 1</dc:title>
  <dc:creator/>
  <dc:language>es</dc:language>
  <cp:keywords/>
  <dcterms:created xsi:type="dcterms:W3CDTF">2026-06-24T14:02:22Z</dcterms:created>
  <dcterms:modified xsi:type="dcterms:W3CDTF">2026-06-24T14:02:22Z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Junio de 2026</vt:lpwstr>
  </property>
  <property fmtid="{D5CDD505-2E9C-101B-9397-08002B2CF9AE}" pid="3" name="subtitle">
    <vt:lpwstr>Días de tormenta · Decrecimiento Forbush del 19–21 de enero de 2026</vt:lpwstr>
  </property>
</Properties>
</file>