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i/>
          <w:iCs/>
          <w:color w:val="595959"/>
          <w:sz w:val="22"/>
          <w:szCs w:val="22"/>
        </w:rPr>
        <w:t xml:space="preserve">PPM Analysis Report</w:t>
      </w:r>
    </w:p>
    <w:p>
      <w:pPr>
        <w:spacing w:after="240"/>
        <w:jc w:val="center"/>
      </w:pPr>
      <w:r>
        <w:rPr>
          <w:b/>
          <w:bCs/>
          <w:sz w:val="36"/>
          <w:szCs w:val="36"/>
        </w:rPr>
        <w:t xml:space="preserve">PPM Analysis Report</w:t>
      </w:r>
    </w:p>
    <w:p>
      <w:pPr>
        <w:spacing w:after="60"/>
        <w:jc w:val="center"/>
      </w:pPr>
      <w:r>
        <w:rPr>
          <w:b/>
          <w:bCs/>
          <w:sz w:val="28"/>
          <w:szCs w:val="28"/>
        </w:rPr>
        <w:t xml:space="preserve">Acme Asia Opportunities (USTE) Fund Ltd.</w:t>
      </w:r>
    </w:p>
    <w:p>
      <w:pPr>
        <w:spacing w:after="60"/>
        <w:jc w:val="center"/>
      </w:pPr>
      <w:r>
        <w:rPr>
          <w:sz w:val="24"/>
          <w:szCs w:val="24"/>
        </w:rPr>
        <w:t xml:space="preserve">Master Fund: Acme Asia Master Fund Ltd.</w:t>
      </w:r>
    </w:p>
    <w:p>
      <w:pPr>
        <w:spacing w:after="360"/>
        <w:jc w:val="center"/>
      </w:pPr>
      <w:r>
        <w:rPr>
          <w:i/>
          <w:iCs/>
          <w:color w:val="595959"/>
          <w:sz w:val="22"/>
          <w:szCs w:val="22"/>
        </w:rPr>
        <w:t xml:space="preserve">PPM dated 1 January 2026</w:t>
      </w:r>
    </w:p>
    <w:p>
      <w:pPr>
        <w:spacing w:after="60"/>
        <w:jc w:val="center"/>
      </w:pPr>
      <w:r>
        <w:rPr>
          <w:b/>
          <w:bCs/>
          <w:color w:val="C00000"/>
          <w:sz w:val="22"/>
          <w:szCs w:val="22"/>
        </w:rPr>
        <w:t xml:space="preserve">⚠ EXAMPLE OUTPUT — FICTIONAL FUND ⚠</w:t>
      </w:r>
    </w:p>
    <w:p>
      <w:pPr>
        <w:spacing w:after="360"/>
        <w:jc w:val="center"/>
      </w:pPr>
      <w:r>
        <w:rPr>
          <w:i/>
          <w:iCs/>
          <w:color w:val="595959"/>
          <w:sz w:val="18"/>
          <w:szCs w:val="18"/>
        </w:rPr>
        <w:t xml:space="preserve">This is a sanitized illustrative example produced by the analyzing-fund-ppm skill. All fund names, manager names, key persons, and specific terms below are fictional. Service provider firms shown reflect typical industry choices but are not endorsements. Use this as a guide to what your real output will look like.</w:t>
      </w:r>
    </w:p>
    <w:p>
      <w:pPr>
        <w:pStyle w:val="Heading1"/>
        <w:spacing w:after="180" w:before="360"/>
      </w:pPr>
      <w:r>
        <w:rPr>
          <w:b/>
          <w:bCs/>
        </w:rPr>
        <w:t xml:space="preserve">1. Fund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Fund Name</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Acme Asia Opportunities (USTE) Fund Ltd.</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Master Fund</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Acme Asia Master Fund Ltd.</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Domicile</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Cayman Islands</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Structure</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Master-Feeder; open-ended exempted company</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Currency</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USD</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Financial Year End</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31 December</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Investment Objective</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Capital appreciation via Asia long/short equity</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Strategy</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Long/short equities — companies positioned to benefit from structural shifts in Asian economies</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Leverage</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No formal limit; full IM discretion</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Denominations</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USD, SGD, JPY (varies by Series)</w:t>
            </w:r>
          </w:p>
        </w:tc>
      </w:tr>
    </w:tbl>
    <w:p>
      <w:pPr>
        <w:spacing w:after="120"/>
      </w:pPr>
      <w:r>
        <w:t xml:space="preserve"/>
      </w:r>
    </w:p>
    <w:p>
      <w:pPr>
        <w:pStyle w:val="Heading1"/>
        <w:spacing w:after="180" w:before="360"/>
      </w:pPr>
      <w:r>
        <w:rPr>
          <w:b/>
          <w:bCs/>
        </w:rPr>
        <w:t xml:space="preserve">2. Share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4C7E7" w:sz="4"/>
              <w:left w:val="single" w:color="B4C7E7" w:sz="4"/>
              <w:bottom w:val="single" w:color="B4C7E7" w:sz="4"/>
              <w:right w:val="single" w:color="B4C7E7" w:sz="4"/>
            </w:tcBorders>
            <w:shd w:fill="1F4E78" w:val="clear"/>
            <w:tcMar>
              <w:top w:type="dxa" w:w="80"/>
              <w:left w:type="dxa" w:w="120"/>
              <w:bottom w:type="dxa" w:w="80"/>
              <w:right w:type="dxa" w:w="120"/>
            </w:tcMar>
          </w:tcPr>
          <w:p>
            <w:pPr>
              <w:jc w:val="center"/>
            </w:pPr>
            <w:r>
              <w:rPr>
                <w:b/>
                <w:bCs/>
                <w:color w:val="FFFFFF"/>
              </w:rPr>
              <w:t xml:space="preserve">Feature</w:t>
            </w:r>
          </w:p>
        </w:tc>
        <w:tc>
          <w:tcPr>
            <w:tcW w:type="dxa" w:w="1560"/>
            <w:tcBorders>
              <w:top w:val="single" w:color="B4C7E7" w:sz="4"/>
              <w:left w:val="single" w:color="B4C7E7" w:sz="4"/>
              <w:bottom w:val="single" w:color="B4C7E7" w:sz="4"/>
              <w:right w:val="single" w:color="B4C7E7" w:sz="4"/>
            </w:tcBorders>
            <w:shd w:fill="1F4E78" w:val="clear"/>
            <w:tcMar>
              <w:top w:type="dxa" w:w="80"/>
              <w:left w:type="dxa" w:w="120"/>
              <w:bottom w:type="dxa" w:w="80"/>
              <w:right w:type="dxa" w:w="120"/>
            </w:tcMar>
          </w:tcPr>
          <w:p>
            <w:pPr>
              <w:jc w:val="center"/>
            </w:pPr>
            <w:r>
              <w:rPr>
                <w:b/>
                <w:bCs/>
                <w:color w:val="FFFFFF"/>
              </w:rPr>
              <w:t xml:space="preserve">Series A</w:t>
            </w:r>
          </w:p>
        </w:tc>
        <w:tc>
          <w:tcPr>
            <w:tcW w:type="dxa" w:w="1560"/>
            <w:tcBorders>
              <w:top w:val="single" w:color="B4C7E7" w:sz="4"/>
              <w:left w:val="single" w:color="B4C7E7" w:sz="4"/>
              <w:bottom w:val="single" w:color="B4C7E7" w:sz="4"/>
              <w:right w:val="single" w:color="B4C7E7" w:sz="4"/>
            </w:tcBorders>
            <w:shd w:fill="1F4E78" w:val="clear"/>
            <w:tcMar>
              <w:top w:type="dxa" w:w="80"/>
              <w:left w:type="dxa" w:w="120"/>
              <w:bottom w:type="dxa" w:w="80"/>
              <w:right w:type="dxa" w:w="120"/>
            </w:tcMar>
          </w:tcPr>
          <w:p>
            <w:pPr>
              <w:jc w:val="center"/>
            </w:pPr>
            <w:r>
              <w:rPr>
                <w:b/>
                <w:bCs/>
                <w:color w:val="FFFFFF"/>
              </w:rPr>
              <w:t xml:space="preserve">Series B</w:t>
            </w:r>
          </w:p>
        </w:tc>
        <w:tc>
          <w:tcPr>
            <w:tcW w:type="dxa" w:w="1560"/>
            <w:tcBorders>
              <w:top w:val="single" w:color="B4C7E7" w:sz="4"/>
              <w:left w:val="single" w:color="B4C7E7" w:sz="4"/>
              <w:bottom w:val="single" w:color="B4C7E7" w:sz="4"/>
              <w:right w:val="single" w:color="B4C7E7" w:sz="4"/>
            </w:tcBorders>
            <w:shd w:fill="1F4E78" w:val="clear"/>
            <w:tcMar>
              <w:top w:type="dxa" w:w="80"/>
              <w:left w:type="dxa" w:w="120"/>
              <w:bottom w:type="dxa" w:w="80"/>
              <w:right w:type="dxa" w:w="120"/>
            </w:tcMar>
          </w:tcPr>
          <w:p>
            <w:pPr>
              <w:jc w:val="center"/>
            </w:pPr>
            <w:r>
              <w:rPr>
                <w:b/>
                <w:bCs/>
                <w:color w:val="FFFFFF"/>
              </w:rPr>
              <w:t xml:space="preserve">Series F</w:t>
            </w:r>
          </w:p>
        </w:tc>
        <w:tc>
          <w:tcPr>
            <w:tcW w:type="dxa" w:w="1560"/>
            <w:tcBorders>
              <w:top w:val="single" w:color="B4C7E7" w:sz="4"/>
              <w:left w:val="single" w:color="B4C7E7" w:sz="4"/>
              <w:bottom w:val="single" w:color="B4C7E7" w:sz="4"/>
              <w:right w:val="single" w:color="B4C7E7" w:sz="4"/>
            </w:tcBorders>
            <w:shd w:fill="1F4E78" w:val="clear"/>
            <w:tcMar>
              <w:top w:type="dxa" w:w="80"/>
              <w:left w:type="dxa" w:w="120"/>
              <w:bottom w:type="dxa" w:w="80"/>
              <w:right w:type="dxa" w:w="120"/>
            </w:tcMar>
          </w:tcPr>
          <w:p>
            <w:pPr>
              <w:jc w:val="center"/>
            </w:pPr>
            <w:r>
              <w:rPr>
                <w:b/>
                <w:bCs/>
                <w:color w:val="FFFFFF"/>
              </w:rPr>
              <w:t xml:space="preserve">Series I</w:t>
            </w:r>
          </w:p>
        </w:tc>
        <w:tc>
          <w:tcPr>
            <w:tcW w:type="dxa" w:w="1560"/>
            <w:tcBorders>
              <w:top w:val="single" w:color="B4C7E7" w:sz="4"/>
              <w:left w:val="single" w:color="B4C7E7" w:sz="4"/>
              <w:bottom w:val="single" w:color="B4C7E7" w:sz="4"/>
              <w:right w:val="single" w:color="B4C7E7" w:sz="4"/>
            </w:tcBorders>
            <w:shd w:fill="1F4E78" w:val="clear"/>
            <w:tcMar>
              <w:top w:type="dxa" w:w="80"/>
              <w:left w:type="dxa" w:w="120"/>
              <w:bottom w:type="dxa" w:w="80"/>
              <w:right w:type="dxa" w:w="120"/>
            </w:tcMar>
          </w:tcPr>
          <w:p>
            <w:pPr>
              <w:jc w:val="center"/>
            </w:pPr>
            <w:r>
              <w:rPr>
                <w:b/>
                <w:bCs/>
                <w:color w:val="FFFFFF"/>
              </w:rPr>
              <w:t xml:space="preserve">Series J</w:t>
            </w:r>
          </w:p>
        </w:tc>
      </w:tr>
      <w:tr>
        <w:tc>
          <w:tcPr>
            <w:tcW w:type="dxa" w:w="156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Availability</w:t>
            </w:r>
          </w:p>
        </w:tc>
        <w:tc>
          <w:tcPr>
            <w:tcW w:type="dxa" w:w="156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Eligible Investors</w:t>
            </w:r>
          </w:p>
        </w:tc>
        <w:tc>
          <w:tcPr>
            <w:tcW w:type="dxa" w:w="156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Eligible Investors</w:t>
            </w:r>
          </w:p>
        </w:tc>
        <w:tc>
          <w:tcPr>
            <w:tcW w:type="dxa" w:w="156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Founders (closed)</w:t>
            </w:r>
          </w:p>
        </w:tc>
        <w:tc>
          <w:tcPr>
            <w:tcW w:type="dxa" w:w="156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Institutional</w:t>
            </w:r>
          </w:p>
        </w:tc>
        <w:tc>
          <w:tcPr>
            <w:tcW w:type="dxa" w:w="156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Eligible Investors</w:t>
            </w:r>
          </w:p>
        </w:tc>
      </w:tr>
      <w:tr>
        <w:tc>
          <w:tcPr>
            <w:tcW w:type="dxa" w:w="156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Denominations</w:t>
            </w:r>
          </w:p>
        </w:tc>
        <w:tc>
          <w:tcPr>
            <w:tcW w:type="dxa" w:w="156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USD, SGD</w:t>
            </w:r>
          </w:p>
        </w:tc>
        <w:tc>
          <w:tcPr>
            <w:tcW w:type="dxa" w:w="156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USD</w:t>
            </w:r>
          </w:p>
        </w:tc>
        <w:tc>
          <w:tcPr>
            <w:tcW w:type="dxa" w:w="156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USD</w:t>
            </w:r>
          </w:p>
        </w:tc>
        <w:tc>
          <w:tcPr>
            <w:tcW w:type="dxa" w:w="156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USD, JPY, SGD</w:t>
            </w:r>
          </w:p>
        </w:tc>
        <w:tc>
          <w:tcPr>
            <w:tcW w:type="dxa" w:w="156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USD, SGD</w:t>
            </w:r>
          </w:p>
        </w:tc>
      </w:tr>
      <w:tr>
        <w:tc>
          <w:tcPr>
            <w:tcW w:type="dxa" w:w="156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Management Fee</w:t>
            </w:r>
          </w:p>
        </w:tc>
        <w:tc>
          <w:tcPr>
            <w:tcW w:type="dxa" w:w="156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2.0% p.a.</w:t>
            </w:r>
          </w:p>
        </w:tc>
        <w:tc>
          <w:tcPr>
            <w:tcW w:type="dxa" w:w="156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2.25% p.a.</w:t>
            </w:r>
          </w:p>
        </w:tc>
        <w:tc>
          <w:tcPr>
            <w:tcW w:type="dxa" w:w="156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1.5% p.a.</w:t>
            </w:r>
          </w:p>
        </w:tc>
        <w:tc>
          <w:tcPr>
            <w:tcW w:type="dxa" w:w="156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1.5% p.a.</w:t>
            </w:r>
          </w:p>
        </w:tc>
        <w:tc>
          <w:tcPr>
            <w:tcW w:type="dxa" w:w="156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1.0% p.a.</w:t>
            </w:r>
          </w:p>
        </w:tc>
      </w:tr>
      <w:tr>
        <w:tc>
          <w:tcPr>
            <w:tcW w:type="dxa" w:w="156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Performance Fee</w:t>
            </w:r>
          </w:p>
        </w:tc>
        <w:tc>
          <w:tcPr>
            <w:tcW w:type="dxa" w:w="156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20%, HWM</w:t>
            </w:r>
          </w:p>
        </w:tc>
        <w:tc>
          <w:tcPr>
            <w:tcW w:type="dxa" w:w="156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17.5%, HWM</w:t>
            </w:r>
          </w:p>
        </w:tc>
        <w:tc>
          <w:tcPr>
            <w:tcW w:type="dxa" w:w="156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15%, HWM</w:t>
            </w:r>
          </w:p>
        </w:tc>
        <w:tc>
          <w:tcPr>
            <w:tcW w:type="dxa" w:w="156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17.5%, HWM</w:t>
            </w:r>
          </w:p>
        </w:tc>
        <w:tc>
          <w:tcPr>
            <w:tcW w:type="dxa" w:w="156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25%, HWM</w:t>
            </w:r>
          </w:p>
        </w:tc>
      </w:tr>
      <w:tr>
        <w:tc>
          <w:tcPr>
            <w:tcW w:type="dxa" w:w="156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Lock-up</w:t>
            </w:r>
          </w:p>
        </w:tc>
        <w:tc>
          <w:tcPr>
            <w:tcW w:type="dxa" w:w="156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None</w:t>
            </w:r>
          </w:p>
        </w:tc>
        <w:tc>
          <w:tcPr>
            <w:tcW w:type="dxa" w:w="156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None</w:t>
            </w:r>
          </w:p>
        </w:tc>
        <w:tc>
          <w:tcPr>
            <w:tcW w:type="dxa" w:w="156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None</w:t>
            </w:r>
          </w:p>
        </w:tc>
        <w:tc>
          <w:tcPr>
            <w:tcW w:type="dxa" w:w="156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None</w:t>
            </w:r>
          </w:p>
        </w:tc>
        <w:tc>
          <w:tcPr>
            <w:tcW w:type="dxa" w:w="156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None</w:t>
            </w:r>
          </w:p>
        </w:tc>
      </w:tr>
      <w:tr>
        <w:tc>
          <w:tcPr>
            <w:tcW w:type="dxa" w:w="156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Redemption</w:t>
            </w:r>
          </w:p>
        </w:tc>
        <w:tc>
          <w:tcPr>
            <w:tcW w:type="dxa" w:w="156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Monthly</w:t>
            </w:r>
          </w:p>
        </w:tc>
        <w:tc>
          <w:tcPr>
            <w:tcW w:type="dxa" w:w="156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Monthly</w:t>
            </w:r>
          </w:p>
        </w:tc>
        <w:tc>
          <w:tcPr>
            <w:tcW w:type="dxa" w:w="156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Monthly</w:t>
            </w:r>
          </w:p>
        </w:tc>
        <w:tc>
          <w:tcPr>
            <w:tcW w:type="dxa" w:w="156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Monthly</w:t>
            </w:r>
          </w:p>
        </w:tc>
        <w:tc>
          <w:tcPr>
            <w:tcW w:type="dxa" w:w="156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Monthly</w:t>
            </w:r>
          </w:p>
        </w:tc>
      </w:tr>
      <w:tr>
        <w:tc>
          <w:tcPr>
            <w:tcW w:type="dxa" w:w="156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Notice</w:t>
            </w:r>
          </w:p>
        </w:tc>
        <w:tc>
          <w:tcPr>
            <w:tcW w:type="dxa" w:w="156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30 cal days</w:t>
            </w:r>
          </w:p>
        </w:tc>
        <w:tc>
          <w:tcPr>
            <w:tcW w:type="dxa" w:w="156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30 cal days</w:t>
            </w:r>
          </w:p>
        </w:tc>
        <w:tc>
          <w:tcPr>
            <w:tcW w:type="dxa" w:w="156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30 cal days</w:t>
            </w:r>
          </w:p>
        </w:tc>
        <w:tc>
          <w:tcPr>
            <w:tcW w:type="dxa" w:w="156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30 cal days</w:t>
            </w:r>
          </w:p>
        </w:tc>
        <w:tc>
          <w:tcPr>
            <w:tcW w:type="dxa" w:w="156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30 cal days</w:t>
            </w:r>
          </w:p>
        </w:tc>
      </w:tr>
    </w:tbl>
    <w:p>
      <w:pPr>
        <w:spacing w:after="120"/>
      </w:pPr>
      <w:r>
        <w:t xml:space="preserve"/>
      </w:r>
    </w:p>
    <w:p>
      <w:pPr>
        <w:spacing w:after="60" w:before="120"/>
      </w:pPr>
      <w:r>
        <w:rPr>
          <w:b/>
          <w:bCs/>
        </w:rPr>
        <w:t xml:space="preserve">Minimum Subscription &amp; Holding by Sub-Series: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4C7E7" w:sz="4"/>
              <w:left w:val="single" w:color="B4C7E7" w:sz="4"/>
              <w:bottom w:val="single" w:color="B4C7E7" w:sz="4"/>
              <w:right w:val="single" w:color="B4C7E7" w:sz="4"/>
            </w:tcBorders>
            <w:shd w:fill="1F4E78" w:val="clear"/>
            <w:tcMar>
              <w:top w:type="dxa" w:w="80"/>
              <w:left w:type="dxa" w:w="120"/>
              <w:bottom w:type="dxa" w:w="80"/>
              <w:right w:type="dxa" w:w="120"/>
            </w:tcMar>
          </w:tcPr>
          <w:p>
            <w:pPr>
              <w:jc w:val="center"/>
            </w:pPr>
            <w:r>
              <w:rPr>
                <w:b/>
                <w:bCs/>
                <w:color w:val="FFFFFF"/>
              </w:rPr>
              <w:t xml:space="preserve">Sub-Series</w:t>
            </w:r>
          </w:p>
        </w:tc>
        <w:tc>
          <w:tcPr>
            <w:tcW w:type="dxa" w:w="2340"/>
            <w:tcBorders>
              <w:top w:val="single" w:color="B4C7E7" w:sz="4"/>
              <w:left w:val="single" w:color="B4C7E7" w:sz="4"/>
              <w:bottom w:val="single" w:color="B4C7E7" w:sz="4"/>
              <w:right w:val="single" w:color="B4C7E7" w:sz="4"/>
            </w:tcBorders>
            <w:shd w:fill="1F4E78" w:val="clear"/>
            <w:tcMar>
              <w:top w:type="dxa" w:w="80"/>
              <w:left w:type="dxa" w:w="120"/>
              <w:bottom w:type="dxa" w:w="80"/>
              <w:right w:type="dxa" w:w="120"/>
            </w:tcMar>
          </w:tcPr>
          <w:p>
            <w:pPr>
              <w:jc w:val="center"/>
            </w:pPr>
            <w:r>
              <w:rPr>
                <w:b/>
                <w:bCs/>
                <w:color w:val="FFFFFF"/>
              </w:rPr>
              <w:t xml:space="preserve">Min Initial</w:t>
            </w:r>
          </w:p>
        </w:tc>
        <w:tc>
          <w:tcPr>
            <w:tcW w:type="dxa" w:w="2340"/>
            <w:tcBorders>
              <w:top w:val="single" w:color="B4C7E7" w:sz="4"/>
              <w:left w:val="single" w:color="B4C7E7" w:sz="4"/>
              <w:bottom w:val="single" w:color="B4C7E7" w:sz="4"/>
              <w:right w:val="single" w:color="B4C7E7" w:sz="4"/>
            </w:tcBorders>
            <w:shd w:fill="1F4E78" w:val="clear"/>
            <w:tcMar>
              <w:top w:type="dxa" w:w="80"/>
              <w:left w:type="dxa" w:w="120"/>
              <w:bottom w:type="dxa" w:w="80"/>
              <w:right w:type="dxa" w:w="120"/>
            </w:tcMar>
          </w:tcPr>
          <w:p>
            <w:pPr>
              <w:jc w:val="center"/>
            </w:pPr>
            <w:r>
              <w:rPr>
                <w:b/>
                <w:bCs/>
                <w:color w:val="FFFFFF"/>
              </w:rPr>
              <w:t xml:space="preserve">Min Additional</w:t>
            </w:r>
          </w:p>
        </w:tc>
        <w:tc>
          <w:tcPr>
            <w:tcW w:type="dxa" w:w="2340"/>
            <w:tcBorders>
              <w:top w:val="single" w:color="B4C7E7" w:sz="4"/>
              <w:left w:val="single" w:color="B4C7E7" w:sz="4"/>
              <w:bottom w:val="single" w:color="B4C7E7" w:sz="4"/>
              <w:right w:val="single" w:color="B4C7E7" w:sz="4"/>
            </w:tcBorders>
            <w:shd w:fill="1F4E78" w:val="clear"/>
            <w:tcMar>
              <w:top w:type="dxa" w:w="80"/>
              <w:left w:type="dxa" w:w="120"/>
              <w:bottom w:type="dxa" w:w="80"/>
              <w:right w:type="dxa" w:w="120"/>
            </w:tcMar>
          </w:tcPr>
          <w:p>
            <w:pPr>
              <w:jc w:val="center"/>
            </w:pPr>
            <w:r>
              <w:rPr>
                <w:b/>
                <w:bCs/>
                <w:color w:val="FFFFFF"/>
              </w:rPr>
              <w:t xml:space="preserve">Min Holding</w:t>
            </w:r>
          </w:p>
        </w:tc>
      </w:tr>
      <w:tr>
        <w:tc>
          <w:tcPr>
            <w:tcW w:type="dxa" w:w="234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A (USD)</w:t>
            </w:r>
          </w:p>
        </w:tc>
        <w:tc>
          <w:tcPr>
            <w:tcW w:type="dxa" w:w="234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US$100,000</w:t>
            </w:r>
          </w:p>
        </w:tc>
        <w:tc>
          <w:tcPr>
            <w:tcW w:type="dxa" w:w="234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US$10,000</w:t>
            </w:r>
          </w:p>
        </w:tc>
        <w:tc>
          <w:tcPr>
            <w:tcW w:type="dxa" w:w="234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US$100,000</w:t>
            </w:r>
          </w:p>
        </w:tc>
      </w:tr>
      <w:tr>
        <w:tc>
          <w:tcPr>
            <w:tcW w:type="dxa" w:w="234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A (SGD)</w:t>
            </w:r>
          </w:p>
        </w:tc>
        <w:tc>
          <w:tcPr>
            <w:tcW w:type="dxa" w:w="234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S$130,000</w:t>
            </w:r>
          </w:p>
        </w:tc>
        <w:tc>
          <w:tcPr>
            <w:tcW w:type="dxa" w:w="234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S$13,000</w:t>
            </w:r>
          </w:p>
        </w:tc>
        <w:tc>
          <w:tcPr>
            <w:tcW w:type="dxa" w:w="234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S$130,000</w:t>
            </w:r>
          </w:p>
        </w:tc>
      </w:tr>
      <w:tr>
        <w:tc>
          <w:tcPr>
            <w:tcW w:type="dxa" w:w="234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B (USD)</w:t>
            </w:r>
          </w:p>
        </w:tc>
        <w:tc>
          <w:tcPr>
            <w:tcW w:type="dxa" w:w="234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US$100,000</w:t>
            </w:r>
          </w:p>
        </w:tc>
        <w:tc>
          <w:tcPr>
            <w:tcW w:type="dxa" w:w="234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US$10,000</w:t>
            </w:r>
          </w:p>
        </w:tc>
        <w:tc>
          <w:tcPr>
            <w:tcW w:type="dxa" w:w="234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US$100,000</w:t>
            </w:r>
          </w:p>
        </w:tc>
      </w:tr>
      <w:tr>
        <w:tc>
          <w:tcPr>
            <w:tcW w:type="dxa" w:w="234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F (USD)</w:t>
            </w:r>
          </w:p>
        </w:tc>
        <w:tc>
          <w:tcPr>
            <w:tcW w:type="dxa" w:w="234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US$2,000,000</w:t>
            </w:r>
          </w:p>
        </w:tc>
        <w:tc>
          <w:tcPr>
            <w:tcW w:type="dxa" w:w="234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US$200,000</w:t>
            </w:r>
          </w:p>
        </w:tc>
        <w:tc>
          <w:tcPr>
            <w:tcW w:type="dxa" w:w="234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US$200,000</w:t>
            </w:r>
          </w:p>
        </w:tc>
      </w:tr>
      <w:tr>
        <w:tc>
          <w:tcPr>
            <w:tcW w:type="dxa" w:w="234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I (USD)</w:t>
            </w:r>
          </w:p>
        </w:tc>
        <w:tc>
          <w:tcPr>
            <w:tcW w:type="dxa" w:w="234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US$10,000,000</w:t>
            </w:r>
          </w:p>
        </w:tc>
        <w:tc>
          <w:tcPr>
            <w:tcW w:type="dxa" w:w="234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US$200,000</w:t>
            </w:r>
          </w:p>
        </w:tc>
        <w:tc>
          <w:tcPr>
            <w:tcW w:type="dxa" w:w="234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US$200,000</w:t>
            </w:r>
          </w:p>
        </w:tc>
      </w:tr>
      <w:tr>
        <w:tc>
          <w:tcPr>
            <w:tcW w:type="dxa" w:w="234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I (JPY)</w:t>
            </w:r>
          </w:p>
        </w:tc>
        <w:tc>
          <w:tcPr>
            <w:tcW w:type="dxa" w:w="234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¥1,500,000,000</w:t>
            </w:r>
          </w:p>
        </w:tc>
        <w:tc>
          <w:tcPr>
            <w:tcW w:type="dxa" w:w="234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¥30,000,000</w:t>
            </w:r>
          </w:p>
        </w:tc>
        <w:tc>
          <w:tcPr>
            <w:tcW w:type="dxa" w:w="234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¥30,000,000</w:t>
            </w:r>
          </w:p>
        </w:tc>
      </w:tr>
      <w:tr>
        <w:tc>
          <w:tcPr>
            <w:tcW w:type="dxa" w:w="234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I (SGD)</w:t>
            </w:r>
          </w:p>
        </w:tc>
        <w:tc>
          <w:tcPr>
            <w:tcW w:type="dxa" w:w="234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S$13,000,000</w:t>
            </w:r>
          </w:p>
        </w:tc>
        <w:tc>
          <w:tcPr>
            <w:tcW w:type="dxa" w:w="234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S$260,000</w:t>
            </w:r>
          </w:p>
        </w:tc>
        <w:tc>
          <w:tcPr>
            <w:tcW w:type="dxa" w:w="234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S$260,000</w:t>
            </w:r>
          </w:p>
        </w:tc>
      </w:tr>
      <w:tr>
        <w:tc>
          <w:tcPr>
            <w:tcW w:type="dxa" w:w="234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J (USD)</w:t>
            </w:r>
          </w:p>
        </w:tc>
        <w:tc>
          <w:tcPr>
            <w:tcW w:type="dxa" w:w="234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US$100,000</w:t>
            </w:r>
          </w:p>
        </w:tc>
        <w:tc>
          <w:tcPr>
            <w:tcW w:type="dxa" w:w="234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US$100,000</w:t>
            </w:r>
          </w:p>
        </w:tc>
        <w:tc>
          <w:tcPr>
            <w:tcW w:type="dxa" w:w="2340"/>
            <w:tcBorders>
              <w:top w:val="single" w:color="B4C7E7" w:sz="4"/>
              <w:left w:val="single" w:color="B4C7E7" w:sz="4"/>
              <w:bottom w:val="single" w:color="B4C7E7" w:sz="4"/>
              <w:right w:val="single" w:color="B4C7E7" w:sz="4"/>
            </w:tcBorders>
            <w:shd w:fill="EAF1F8" w:val="clear"/>
            <w:tcMar>
              <w:top w:type="dxa" w:w="80"/>
              <w:left w:type="dxa" w:w="120"/>
              <w:bottom w:type="dxa" w:w="80"/>
              <w:right w:type="dxa" w:w="120"/>
            </w:tcMar>
          </w:tcPr>
          <w:p>
            <w:r>
              <w:t xml:space="preserve">US$100,000</w:t>
            </w:r>
          </w:p>
        </w:tc>
      </w:tr>
      <w:tr>
        <w:tc>
          <w:tcPr>
            <w:tcW w:type="dxa" w:w="234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J (SGD)</w:t>
            </w:r>
          </w:p>
        </w:tc>
        <w:tc>
          <w:tcPr>
            <w:tcW w:type="dxa" w:w="234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S$130,000</w:t>
            </w:r>
          </w:p>
        </w:tc>
        <w:tc>
          <w:tcPr>
            <w:tcW w:type="dxa" w:w="234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S$130,000</w:t>
            </w:r>
          </w:p>
        </w:tc>
        <w:tc>
          <w:tcPr>
            <w:tcW w:type="dxa" w:w="234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S$130,000</w:t>
            </w:r>
          </w:p>
        </w:tc>
      </w:tr>
    </w:tbl>
    <w:p>
      <w:pPr>
        <w:spacing w:after="120"/>
      </w:pPr>
      <w:r>
        <w:t xml:space="preserve"/>
      </w:r>
    </w:p>
    <w:p>
      <w:pPr>
        <w:pStyle w:val="Heading1"/>
        <w:spacing w:after="180" w:before="360"/>
      </w:pPr>
      <w:r>
        <w:rPr>
          <w:b/>
          <w:bCs/>
        </w:rPr>
        <w:t xml:space="preserve">3. Subscription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Subscription Day</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Monthly (1st BD)</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Dealing Deadline</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2 BD prior to Subscription Day</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Valuation Day</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Last BD of each month</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Subscription Charge</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Not specified</w:t>
            </w:r>
          </w:p>
        </w:tc>
      </w:tr>
    </w:tbl>
    <w:p>
      <w:pPr>
        <w:spacing w:after="120"/>
      </w:pPr>
      <w:r>
        <w:t xml:space="preserve"/>
      </w:r>
    </w:p>
    <w:p>
      <w:pPr>
        <w:pStyle w:val="Heading1"/>
        <w:spacing w:after="180" w:before="360"/>
      </w:pPr>
      <w:r>
        <w:rPr>
          <w:b/>
          <w:bCs/>
        </w:rPr>
        <w:t xml:space="preserve">4. Redemption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Redemption Day</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Monthly (1st BD)</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Notice Period</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30 calendar days</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Lock-up</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None (all Series)</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Redemption Charge</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Not specified</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Gate</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No explicit % gate; Directors may suspend at discretion</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Payment</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Within 15 BD; if NAV not finalised, within 30 days of finalisation</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Withholding</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Up to 2% pending year-end audit; balance within 30 BD of audit completion</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In-Kind</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Board discretion</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Dislocated Assets</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Board may designate &amp; side-pocket illiquid/hard-to-value assets</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Suspension</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Broad Board discretion (market disruption, illiquidity, force majeure, best interest)</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Orderly Realisation</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Directors may effect managed wind-down without formal dissolution</w:t>
            </w:r>
          </w:p>
        </w:tc>
      </w:tr>
    </w:tbl>
    <w:p>
      <w:pPr>
        <w:spacing w:after="120"/>
      </w:pPr>
      <w:r>
        <w:t xml:space="preserve"/>
      </w:r>
    </w:p>
    <w:p>
      <w:pPr>
        <w:pStyle w:val="Heading1"/>
        <w:spacing w:after="180" w:before="360"/>
      </w:pPr>
      <w:r>
        <w:rPr>
          <w:b/>
          <w:bCs/>
        </w:rPr>
        <w:t xml:space="preserve">5. Key Person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Key Person</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Alex Chen</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Trigger</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Ceases to devote majority of professional time for 60 consecutive days; death; permanent incapacitation; termination</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Notification</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Written notice to shareholders within 5 BD</w:t>
            </w:r>
          </w:p>
        </w:tc>
      </w:tr>
    </w:tbl>
    <w:p>
      <w:pPr>
        <w:spacing w:after="120"/>
      </w:pPr>
      <w:r>
        <w:t xml:space="preserve"/>
      </w:r>
    </w:p>
    <w:p>
      <w:pPr>
        <w:pStyle w:val="Heading1"/>
        <w:spacing w:after="180" w:before="360"/>
      </w:pPr>
      <w:r>
        <w:rPr>
          <w:b/>
          <w:bCs/>
        </w:rPr>
        <w:t xml:space="preserve">6. Fee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Management Fee</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1.0% – 2.25% p.a. (varies by Series), monthly in arrears</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Performance Fee</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15% – 25% (varies by Series), HWM, annual crystallisation</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Hurdle Rate</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None</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Equalisation</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Sub-Series mechanism; exchange into Reference Series after performance fee payment</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Operating Expenses</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Borne by Master Fund (PB, audit, admin, legal, directors, insurance, brokerage)</w:t>
            </w:r>
          </w:p>
        </w:tc>
      </w:tr>
    </w:tbl>
    <w:p>
      <w:pPr>
        <w:spacing w:after="120"/>
      </w:pPr>
      <w:r>
        <w:t xml:space="preserve"/>
      </w:r>
    </w:p>
    <w:p>
      <w:pPr>
        <w:pStyle w:val="Heading1"/>
        <w:spacing w:after="180" w:before="360"/>
      </w:pPr>
      <w:r>
        <w:rPr>
          <w:b/>
          <w:bCs/>
        </w:rPr>
        <w:t xml:space="preserve">7. Service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Investment Manager</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Acme Capital Management Pte. Ltd. — Singapore, MAS licensed</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Administrator</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[Major bank-owned fund services arm] — Cayman branch</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Prime Brokers</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Multiple top-tier global investment banks (London-based PB units)</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Custodian</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[Global trust bank] — New York</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Auditor</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[Big-Four firm] — Cayman Islands</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Legal (Cayman)</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[Top-tier offshore firm] — Cayman/Hong Kong office</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Legal (Singapore)</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[Magic Circle firm] — Singapore</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Legal (US)</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[Magic Circle firm] — New York</w:t>
            </w:r>
          </w:p>
        </w:tc>
      </w:tr>
    </w:tbl>
    <w:p>
      <w:pPr>
        <w:spacing w:after="120"/>
      </w:pPr>
      <w:r>
        <w:t xml:space="preserve"/>
      </w:r>
    </w:p>
    <w:p>
      <w:pPr>
        <w:pStyle w:val="Heading1"/>
        <w:spacing w:after="180" w:before="360"/>
      </w:pPr>
      <w:r>
        <w:rPr>
          <w:b/>
          <w:bCs/>
        </w:rPr>
        <w:t xml:space="preserve">8. Key Personnel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Alex Chen</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Founding Partner &amp; CIO — Key Person</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Jane Doe</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Independent Director</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Dr. Robert Smith</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Independent Director</w:t>
            </w:r>
          </w:p>
        </w:tc>
      </w:tr>
    </w:tbl>
    <w:p>
      <w:pPr>
        <w:spacing w:after="120"/>
      </w:pPr>
      <w:r>
        <w:t xml:space="preserve"/>
      </w:r>
    </w:p>
    <w:p>
      <w:pPr>
        <w:pStyle w:val="Heading1"/>
        <w:spacing w:after="180" w:before="360"/>
      </w:pPr>
      <w:r>
        <w:rPr>
          <w:b/>
          <w:bCs/>
        </w:rPr>
        <w:t xml:space="preserve">9. Special Provisions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Key Person Event</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Alex Chen; 60-day trigger → notification within 5 BD</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Dislocated Assets</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Board may side-pocket illiquid / hard-to-value investments</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Orderly Realisation</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Managed wind-down at Board discretion, not formal dissolution</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Side Letters</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Permitted (fee adjustments, MFN rights, information access); no obligation to notify other shareholders</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Affected Shareholders</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Board may restructure Series for ESG / Shariah / sanctions restrictions</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New Issues (FINRA)</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Rules 5130/5131 compliant; Restricted Persons excluded from new issue profits</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Investment Restrictions</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No formal diversification or leverage limits</w:t>
            </w:r>
          </w:p>
        </w:tc>
      </w:tr>
    </w:tbl>
    <w:p>
      <w:pPr>
        <w:spacing w:after="120"/>
      </w:pPr>
      <w:r>
        <w:t xml:space="preserve"/>
      </w:r>
    </w:p>
    <w:p>
      <w:pPr>
        <w:pStyle w:val="Heading1"/>
        <w:spacing w:after="180" w:before="360"/>
      </w:pPr>
      <w:r>
        <w:rPr>
          <w:b/>
          <w:bCs/>
        </w:rPr>
        <w:t xml:space="preserve">10. Regulatory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Fund Registration</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CIMA — Mutual Funds Act</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IM Licence</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MAS — Capital Markets Services (Fund Management)</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US Status</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Exempt reporting adviser; CFTC CPO exempt (Rule 4.13(a)(3)); CTA exempt (Rule 4.14(a)(5))</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Investor Restrictions</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Non-US Persons or Permitted US Persons (accredited + qualified purchaser); Singapore: accredited / institutional</w:t>
            </w:r>
          </w:p>
        </w:tc>
      </w:tr>
      <w:tr>
        <w:tc>
          <w:tcPr>
            <w:tcW w:type="dxa" w:w="2880"/>
            <w:tcBorders>
              <w:top w:val="single" w:color="B4C7E7" w:sz="4"/>
              <w:left w:val="single" w:color="B4C7E7" w:sz="4"/>
              <w:bottom w:val="single" w:color="B4C7E7" w:sz="4"/>
              <w:right w:val="single" w:color="B4C7E7" w:sz="4"/>
            </w:tcBorders>
            <w:shd w:fill="D9E2F3" w:val="clear"/>
            <w:tcMar>
              <w:top w:type="dxa" w:w="80"/>
              <w:left w:type="dxa" w:w="120"/>
              <w:bottom w:type="dxa" w:w="80"/>
              <w:right w:type="dxa" w:w="120"/>
            </w:tcMar>
          </w:tcPr>
          <w:p>
            <w:r>
              <w:rPr>
                <w:b/>
                <w:bCs/>
              </w:rPr>
              <w:t xml:space="preserve">FATCA / CRS</w:t>
            </w:r>
          </w:p>
        </w:tc>
        <w:tc>
          <w:tcPr>
            <w:tcW w:type="dxa" w:w="6480"/>
            <w:tcBorders>
              <w:top w:val="single" w:color="B4C7E7" w:sz="4"/>
              <w:left w:val="single" w:color="B4C7E7" w:sz="4"/>
              <w:bottom w:val="single" w:color="B4C7E7" w:sz="4"/>
              <w:right w:val="single" w:color="B4C7E7" w:sz="4"/>
            </w:tcBorders>
            <w:tcMar>
              <w:top w:type="dxa" w:w="80"/>
              <w:left w:type="dxa" w:w="120"/>
              <w:bottom w:type="dxa" w:w="80"/>
              <w:right w:type="dxa" w:w="120"/>
            </w:tcMar>
          </w:tcPr>
          <w:p>
            <w:r>
              <w:t xml:space="preserve">Compliant</w:t>
            </w:r>
          </w:p>
        </w:tc>
      </w:tr>
    </w:tbl>
    <w:p>
      <w:pPr>
        <w:spacing w:after="120"/>
      </w:pPr>
      <w:r>
        <w:t xml:space="preserve"/>
      </w:r>
    </w:p>
    <w:p>
      <w:pPr>
        <w:spacing w:after="60" w:before="360"/>
      </w:pPr>
      <w:r>
        <w:rPr>
          <w:b/>
          <w:bCs/>
          <w:i/>
          <w:iCs/>
          <w:color w:val="595959"/>
          <w:sz w:val="18"/>
          <w:szCs w:val="18"/>
        </w:rPr>
        <w:t xml:space="preserve">Disclaimer: </w:t>
      </w:r>
      <w:r>
        <w:rPr>
          <w:i/>
          <w:iCs/>
          <w:color w:val="595959"/>
          <w:sz w:val="18"/>
          <w:szCs w:val="18"/>
        </w:rPr>
        <w:t xml:space="preserve">This is a sanitized illustrative example produced by the analyzing-fund-ppm skill. Acme Asia Opportunities (USTE) Fund Ltd. and Acme Capital Management Pte. Ltd. are fictional entities used for demonstration purposes only. Any resemblance to real funds, managers, or persons is coincidental. This document does not constitute investment advice. When the skill is run on a real PPM, all entity names, persons, dates, fees, and terms in the output reflect that PPM's actual contents.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PPM Analysis — Example Output</dc:title>
  <dc:creator>claude-fund-research</dc:creator>
  <dc:description>Sanitized example output from analyzing-fund-ppm skill</dc:description>
  <cp:lastModifiedBy>Un-named</cp:lastModifiedBy>
  <cp:revision>1</cp:revision>
  <dcterms:created xsi:type="dcterms:W3CDTF">2026-05-07T15:54:38.536Z</dcterms:created>
  <dcterms:modified xsi:type="dcterms:W3CDTF">2026-05-07T15:54:38.537Z</dcterms:modified>
</cp:coreProperties>
</file>

<file path=docProps/custom.xml><?xml version="1.0" encoding="utf-8"?>
<Properties xmlns="http://schemas.openxmlformats.org/officeDocument/2006/custom-properties" xmlns:vt="http://schemas.openxmlformats.org/officeDocument/2006/docPropsVTypes"/>
</file>