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Inter" w:cs="Inter" w:eastAsia="Inter" w:hAnsi="Inter"/>
          <w:b/>
          <w:bCs/>
          <w:color w:val="D4A017"/>
          <w:sz w:val="20"/>
          <w:szCs w:val="20"/>
        </w:rPr>
        <w:t xml:space="preserve">2026 FUNDRAISING CAMPAIGN</w:t>
      </w:r>
    </w:p>
    <w:p>
      <w:pPr>
        <w:spacing w:after="80"/>
      </w:pPr>
      <w:r>
        <w:rPr>
          <w:rFonts w:ascii="Playfair Display" w:cs="Playfair Display" w:eastAsia="Playfair Display" w:hAnsi="Playfair Display"/>
          <w:b/>
          <w:bCs/>
          <w:color w:val="0B1F3B"/>
          <w:sz w:val="44"/>
          <w:szCs w:val="44"/>
        </w:rPr>
        <w:t xml:space="preserve">Juba &amp; Bor Outreach + </w:t>
      </w:r>
      <w:r>
        <w:rPr>
          <w:rFonts w:ascii="Playfair Display" w:cs="Playfair Display" w:eastAsia="Playfair Display" w:hAnsi="Playfair Display"/>
          <w:b/>
          <w:bCs/>
          <w:i/>
          <w:iCs/>
          <w:color w:val="D4A017"/>
          <w:sz w:val="44"/>
          <w:szCs w:val="44"/>
        </w:rPr>
        <w:t xml:space="preserve">Discipleship Follow-Up</w:t>
      </w:r>
    </w:p>
    <w:p>
      <w:pPr>
        <w:pBdr>
          <w:bottom w:val="single" w:color="D4A017" w:sz="6" w:space="8"/>
        </w:pBdr>
        <w:spacing w:after="240"/>
      </w:pPr>
      <w:r>
        <w:rPr>
          <w:rFonts w:ascii="Inter" w:cs="Inter" w:eastAsia="Inter" w:hAnsi="Inter"/>
          <w:i/>
          <w:iCs/>
          <w:color w:val="5A5955"/>
          <w:sz w:val="22"/>
          <w:szCs w:val="22"/>
        </w:rPr>
        <w:t xml:space="preserve">A targeted, accountable plan to reach South Sudanese youth in Juba and Bor — and walk with them long after the camp ends.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B" w:sz="1"/>
              <w:left w:val="single" w:color="0B1F3B" w:sz="1"/>
              <w:bottom w:val="single" w:color="0B1F3B" w:sz="1"/>
              <w:right w:val="single" w:color="0B1F3B" w:sz="1"/>
            </w:tcBorders>
            <w:shd w:fill="0B1F3B" w:val="clear"/>
            <w:tcMar>
              <w:top w:type="dxa" w:w="280"/>
              <w:left w:type="dxa" w:w="280"/>
              <w:bottom w:type="dxa" w:w="280"/>
              <w:right w:type="dxa" w:w="280"/>
            </w:tcMar>
          </w:tcPr>
          <w:p>
            <w:pPr>
              <w:spacing w:after="80"/>
              <w:jc w:val="center"/>
            </w:pPr>
            <w:r>
              <w:rPr>
                <w:rFonts w:ascii="Inter" w:cs="Inter" w:eastAsia="Inter" w:hAnsi="Inter"/>
                <w:b/>
                <w:bCs/>
                <w:color w:val="D4A017"/>
                <w:sz w:val="20"/>
                <w:szCs w:val="20"/>
              </w:rPr>
              <w:t xml:space="preserve">2026 CAMPAIGN GOAL</w:t>
            </w:r>
          </w:p>
          <w:p>
            <w:pPr>
              <w:spacing w:after="80"/>
              <w:jc w:val="center"/>
            </w:pPr>
            <w:r>
              <w:rPr>
                <w:rFonts w:ascii="Playfair Display" w:cs="Playfair Display" w:eastAsia="Playfair Display" w:hAnsi="Playfair Display"/>
                <w:b/>
                <w:bCs/>
                <w:color w:val="FFFFFF"/>
                <w:sz w:val="72"/>
                <w:szCs w:val="72"/>
              </w:rPr>
              <w:t xml:space="preserve">$41,000</w:t>
            </w:r>
          </w:p>
          <w:p>
            <w:pPr>
              <w:jc w:val="center"/>
            </w:pPr>
            <w:r>
              <w:rPr>
                <w:rFonts w:ascii="Inter" w:cs="Inter" w:eastAsia="Inter" w:hAnsi="Inter"/>
                <w:i/>
                <w:iCs/>
                <w:color w:val="FFFFFF"/>
                <w:sz w:val="20"/>
                <w:szCs w:val="20"/>
              </w:rPr>
              <w:t xml:space="preserve">Raised between January and December 2026 — every dollar restricted to the Juba &amp; Bor mission.</w:t>
            </w:r>
          </w:p>
        </w:tc>
      </w:tr>
    </w:tbl>
    <w:p>
      <w:pPr>
        <w:spacing w:after="240"/>
      </w:pPr>
    </w:p>
    <w:p>
      <w:pPr>
        <w:pStyle w:val="Heading2"/>
      </w:pPr>
      <w:r>
        <w:rPr>
          <w:rFonts w:ascii="Playfair Display" w:cs="Playfair Display" w:eastAsia="Playfair Display" w:hAnsi="Playfair Display"/>
          <w:b/>
          <w:bCs/>
          <w:color w:val="0B1F3B"/>
          <w:sz w:val="28"/>
          <w:szCs w:val="28"/>
        </w:rPr>
        <w:t xml:space="preserve">Why this campaign, why now</w:t>
      </w:r>
    </w:p>
    <w:p>
      <w:pPr>
        <w:spacing w:after="200" w:line="320"/>
      </w:pPr>
      <w:r>
        <w:rPr>
          <w:rFonts w:ascii="Inter" w:cs="Inter" w:eastAsia="Inter" w:hAnsi="Inter"/>
          <w:color w:val="2B2B2B"/>
          <w:sz w:val="24"/>
          <w:szCs w:val="24"/>
        </w:rPr>
        <w:t xml:space="preserve">South Sudanese youth in Juba and Bor are growing up amid the longest stretch of conflict and displacement in the country’s modern history. They are ready to lead — but they need anchored teaching, trusted mentors, and tangible support to do it. Y.E.T. Compassion has spent two decades building the trust, the local relationships, and the operational discipline required to serve these communities well. 2026 is the year we put a focused plan against that opportunity.</w:t>
      </w:r>
    </w:p>
    <w:p>
      <w:pPr>
        <w:spacing w:after="240" w:before="120" w:line="300"/>
        <w:ind w:left="360" w:right="360"/>
      </w:pPr>
      <w:r>
        <w:rPr>
          <w:rFonts w:ascii="Cormorant Garamond" w:cs="Cormorant Garamond" w:eastAsia="Cormorant Garamond" w:hAnsi="Cormorant Garamond"/>
          <w:i/>
          <w:iCs/>
          <w:color w:val="0B1F3B"/>
          <w:sz w:val="24"/>
          <w:szCs w:val="24"/>
        </w:rPr>
        <w:t xml:space="preserve">“Train up a child in the way he should go; even when he is old he will not depart from it.” </w:t>
      </w:r>
      <w:r>
        <w:rPr>
          <w:rFonts w:ascii="Inter" w:cs="Inter" w:eastAsia="Inter" w:hAnsi="Inter"/>
          <w:color w:val="5A5955"/>
          <w:sz w:val="18"/>
          <w:szCs w:val="18"/>
        </w:rPr>
        <w:t xml:space="preserve">— Proverbs 22:6</w:t>
      </w:r>
    </w:p>
    <w:p>
      <w:pPr>
        <w:pStyle w:val="Heading2"/>
      </w:pPr>
      <w:r>
        <w:rPr>
          <w:rFonts w:ascii="Playfair Display" w:cs="Playfair Display" w:eastAsia="Playfair Display" w:hAnsi="Playfair Display"/>
          <w:b/>
          <w:bCs/>
          <w:color w:val="0B1F3B"/>
          <w:sz w:val="28"/>
          <w:szCs w:val="28"/>
        </w:rPr>
        <w:t xml:space="preserve">The plan, in one paragraph</w:t>
      </w:r>
    </w:p>
    <w:p>
      <w:pPr>
        <w:spacing w:after="200" w:line="320"/>
      </w:pPr>
      <w:r>
        <w:rPr>
          <w:rFonts w:ascii="Inter" w:cs="Inter" w:eastAsia="Inter" w:hAnsi="Inter"/>
          <w:color w:val="2B2B2B"/>
          <w:sz w:val="24"/>
          <w:szCs w:val="24"/>
        </w:rPr>
        <w:t xml:space="preserve">Two camp sites — Juba and Bor — running concurrently for two weeks of intensive teaching, leadership formation, and community service. After the camp, our coordinator stays on the ground for four months to walk alongside the local churches and schools who hosted us, turning the camp from an event into a discipleship pipeline.</w:t>
      </w:r>
    </w:p>
    <w:p>
      <w:pPr>
        <w:pStyle w:val="Heading3"/>
      </w:pPr>
      <w:r>
        <w:rPr>
          <w:rFonts w:ascii="Inter" w:cs="Inter" w:eastAsia="Inter" w:hAnsi="Inter"/>
          <w:b/>
          <w:bCs/>
          <w:color w:val="2B2B2B"/>
          <w:sz w:val="24"/>
          <w:szCs w:val="24"/>
        </w:rPr>
        <w:t xml:space="preserve">What the campaign funds</w:t>
      </w:r>
    </w:p>
    <w:p>
      <w:pPr>
        <w:pStyle w:val="ListParagraph"/>
        <w:numPr>
          <w:ilvl w:val="0"/>
          <w:numId w:val="2"/>
        </w:numPr>
        <w:spacing w:after="80" w:line="300"/>
      </w:pPr>
      <w:r>
        <w:rPr>
          <w:rFonts w:ascii="Inter" w:cs="Inter" w:eastAsia="Inter" w:hAnsi="Inter"/>
          <w:color w:val="2B2B2B"/>
          <w:sz w:val="22"/>
          <w:szCs w:val="22"/>
        </w:rPr>
        <w:t xml:space="preserve">Two-week camp outreach across Juba and Bor — meals, venues, equipment, and trained facilitators.</w:t>
      </w:r>
    </w:p>
    <w:p>
      <w:pPr>
        <w:pStyle w:val="ListParagraph"/>
        <w:numPr>
          <w:ilvl w:val="0"/>
          <w:numId w:val="2"/>
        </w:numPr>
        <w:spacing w:after="80" w:line="300"/>
      </w:pPr>
      <w:r>
        <w:rPr>
          <w:rFonts w:ascii="Inter" w:cs="Inter" w:eastAsia="Inter" w:hAnsi="Inter"/>
          <w:color w:val="2B2B2B"/>
          <w:sz w:val="22"/>
          <w:szCs w:val="22"/>
        </w:rPr>
        <w:t xml:space="preserve">Ministry materials in the hands of every participant — Bibles, study guides, leadership workbooks, and educational resources.</w:t>
      </w:r>
    </w:p>
    <w:p>
      <w:pPr>
        <w:pStyle w:val="ListParagraph"/>
        <w:numPr>
          <w:ilvl w:val="0"/>
          <w:numId w:val="2"/>
        </w:numPr>
        <w:spacing w:after="80" w:line="300"/>
      </w:pPr>
      <w:r>
        <w:rPr>
          <w:rFonts w:ascii="Inter" w:cs="Inter" w:eastAsia="Inter" w:hAnsi="Inter"/>
          <w:color w:val="2B2B2B"/>
          <w:sz w:val="22"/>
          <w:szCs w:val="22"/>
        </w:rPr>
        <w:t xml:space="preserve">Four months of post-camp follow-up — sustained mentorship inside partner churches and schools so the work compounds.</w:t>
      </w:r>
    </w:p>
    <w:p>
      <w:pPr>
        <w:pStyle w:val="ListParagraph"/>
        <w:numPr>
          <w:ilvl w:val="0"/>
          <w:numId w:val="2"/>
        </w:numPr>
        <w:spacing w:after="80" w:line="300"/>
      </w:pPr>
      <w:r>
        <w:rPr>
          <w:rFonts w:ascii="Inter" w:cs="Inter" w:eastAsia="Inter" w:hAnsi="Inter"/>
          <w:color w:val="2B2B2B"/>
          <w:sz w:val="22"/>
          <w:szCs w:val="22"/>
        </w:rPr>
        <w:t xml:space="preserve">Mission coordinator logistics — flights, ground transport, and visas to keep boots on the ground.</w:t>
      </w:r>
    </w:p>
    <w:p>
      <w:pPr>
        <w:pStyle w:val="ListParagraph"/>
        <w:numPr>
          <w:ilvl w:val="0"/>
          <w:numId w:val="2"/>
        </w:numPr>
        <w:spacing w:after="80" w:line="300"/>
      </w:pPr>
      <w:r>
        <w:rPr>
          <w:rFonts w:ascii="Inter" w:cs="Inter" w:eastAsia="Inter" w:hAnsi="Inter"/>
          <w:color w:val="2B2B2B"/>
          <w:sz w:val="22"/>
          <w:szCs w:val="22"/>
        </w:rPr>
        <w:t xml:space="preserve">A modest reserve so that the unexpected doesn’t derail the mission.</w:t>
      </w:r>
    </w:p>
    <w:p>
      <w:pPr>
        <w:pStyle w:val="Heading2"/>
      </w:pPr>
      <w:r>
        <w:rPr>
          <w:rFonts w:ascii="Playfair Display" w:cs="Playfair Display" w:eastAsia="Playfair Display" w:hAnsi="Playfair Display"/>
          <w:b/>
          <w:bCs/>
          <w:color w:val="0B1F3B"/>
          <w:sz w:val="28"/>
          <w:szCs w:val="28"/>
        </w:rPr>
        <w:t xml:space="preserve">Budget breakdown</w:t>
      </w:r>
    </w:p>
    <w:p>
      <w:pPr>
        <w:spacing w:after="200" w:line="320"/>
      </w:pPr>
      <w:r>
        <w:rPr>
          <w:rFonts w:ascii="Inter" w:cs="Inter" w:eastAsia="Inter" w:hAnsi="Inter"/>
          <w:color w:val="2B2B2B"/>
          <w:sz w:val="24"/>
          <w:szCs w:val="24"/>
        </w:rPr>
        <w:t xml:space="preserve">Every line below maps to a specific operational need. There are no administrative overhead allocations in this budget — 100% of funds raised are deployed to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0B1F3B" w:sz="1"/>
              <w:left w:val="single" w:color="0B1F3B" w:sz="1"/>
              <w:bottom w:val="single" w:color="0B1F3B" w:sz="1"/>
              <w:right w:val="single" w:color="0B1F3B" w:sz="1"/>
            </w:tcBorders>
            <w:shd w:fill="0B1F3B" w:val="clear"/>
            <w:tcMar>
              <w:top w:type="dxa" w:w="140"/>
              <w:left w:type="dxa" w:w="160"/>
              <w:bottom w:type="dxa" w:w="140"/>
              <w:right w:type="dxa" w:w="160"/>
            </w:tcMar>
          </w:tcPr>
          <w:p>
            <w:r>
              <w:rPr>
                <w:rFonts w:ascii="Inter" w:cs="Inter" w:eastAsia="Inter" w:hAnsi="Inter"/>
                <w:b/>
                <w:bCs/>
                <w:color w:val="FFFFFF"/>
                <w:sz w:val="22"/>
                <w:szCs w:val="22"/>
              </w:rPr>
              <w:t xml:space="preserve">Description</w:t>
            </w:r>
          </w:p>
        </w:tc>
        <w:tc>
          <w:tcPr>
            <w:tcW w:type="dxa" w:w="2880"/>
            <w:tcBorders>
              <w:top w:val="single" w:color="0B1F3B" w:sz="1"/>
              <w:left w:val="single" w:color="0B1F3B" w:sz="1"/>
              <w:bottom w:val="single" w:color="0B1F3B" w:sz="1"/>
              <w:right w:val="single" w:color="0B1F3B" w:sz="1"/>
            </w:tcBorders>
            <w:shd w:fill="0B1F3B" w:val="clear"/>
            <w:tcMar>
              <w:top w:type="dxa" w:w="140"/>
              <w:left w:type="dxa" w:w="160"/>
              <w:bottom w:type="dxa" w:w="140"/>
              <w:right w:type="dxa" w:w="160"/>
            </w:tcMar>
          </w:tcPr>
          <w:p>
            <w:r>
              <w:rPr>
                <w:rFonts w:ascii="Inter" w:cs="Inter" w:eastAsia="Inter" w:hAnsi="Inter"/>
                <w:b/>
                <w:bCs/>
                <w:color w:val="FFFFFF"/>
                <w:sz w:val="22"/>
                <w:szCs w:val="22"/>
              </w:rPr>
              <w:t xml:space="preserve">Amount (USD)</w:t>
            </w:r>
          </w:p>
        </w:tc>
      </w:tr>
      <w:tr>
        <w:tc>
          <w:tcPr>
            <w:tcW w:type="dxa" w:w="9360"/>
            <w:gridSpan w:val="2"/>
            <w:tcBorders>
              <w:top w:val="single" w:color="0B1F3B" w:sz="1"/>
              <w:left w:val="single" w:color="0B1F3B" w:sz="1"/>
              <w:bottom w:val="single" w:color="0B1F3B" w:sz="1"/>
              <w:right w:val="single" w:color="0B1F3B" w:sz="1"/>
            </w:tcBorders>
            <w:shd w:fill="0B1F3B" w:val="clear"/>
            <w:tcMar>
              <w:top w:type="dxa" w:w="120"/>
              <w:left w:type="dxa" w:w="160"/>
              <w:bottom w:type="dxa" w:w="120"/>
              <w:right w:type="dxa" w:w="160"/>
            </w:tcMar>
          </w:tcPr>
          <w:p>
            <w:r>
              <w:rPr>
                <w:rFonts w:ascii="Inter" w:cs="Inter" w:eastAsia="Inter" w:hAnsi="Inter"/>
                <w:b/>
                <w:bCs/>
                <w:caps/>
                <w:color w:val="FFFFFF"/>
                <w:sz w:val="22"/>
                <w:szCs w:val="22"/>
              </w:rPr>
              <w:t xml:space="preserve">Operations &amp; Logistics</w:t>
            </w:r>
          </w:p>
        </w:tc>
      </w:tr>
      <w:tr>
        <w:tc>
          <w:tcPr>
            <w:tcW w:type="dxa" w:w="64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spacing w:after="40"/>
            </w:pPr>
            <w:r>
              <w:rPr>
                <w:rFonts w:ascii="Inter" w:cs="Inter" w:eastAsia="Inter" w:hAnsi="Inter"/>
                <w:b/>
                <w:bCs/>
                <w:color w:val="2B2B2B"/>
                <w:sz w:val="22"/>
                <w:szCs w:val="22"/>
              </w:rPr>
              <w:t xml:space="preserve">Mission Coordinator Travel</w:t>
            </w:r>
          </w:p>
          <w:p>
            <w:r>
              <w:rPr>
                <w:rFonts w:ascii="Inter" w:cs="Inter" w:eastAsia="Inter" w:hAnsi="Inter"/>
                <w:color w:val="5A5955"/>
                <w:sz w:val="20"/>
                <w:szCs w:val="20"/>
              </w:rPr>
              <w:t xml:space="preserve">Flights, ground transport, and visa processing for the field coordinator across the full mission cycle.</w:t>
            </w:r>
          </w:p>
        </w:tc>
        <w:tc>
          <w:tcPr>
            <w:tcW w:type="dxa" w:w="28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right"/>
            </w:pPr>
            <w:r>
              <w:rPr>
                <w:rFonts w:ascii="Inter" w:cs="Inter" w:eastAsia="Inter" w:hAnsi="Inter"/>
                <w:b/>
                <w:bCs/>
                <w:color w:val="0B1F3B"/>
                <w:sz w:val="24"/>
                <w:szCs w:val="24"/>
              </w:rPr>
              <w:t xml:space="preserve">$5,000</w:t>
            </w:r>
          </w:p>
        </w:tc>
      </w:tr>
      <w:tr>
        <w:tc>
          <w:tcPr>
            <w:tcW w:type="dxa" w:w="64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spacing w:after="40"/>
            </w:pPr>
            <w:r>
              <w:rPr>
                <w:rFonts w:ascii="Inter" w:cs="Inter" w:eastAsia="Inter" w:hAnsi="Inter"/>
                <w:b/>
                <w:bCs/>
                <w:color w:val="2B2B2B"/>
                <w:sz w:val="22"/>
                <w:szCs w:val="22"/>
              </w:rPr>
              <w:t xml:space="preserve">Local Partner Coordination &amp; Outreach Communications</w:t>
            </w:r>
          </w:p>
          <w:p>
            <w:r>
              <w:rPr>
                <w:rFonts w:ascii="Inter" w:cs="Inter" w:eastAsia="Inter" w:hAnsi="Inter"/>
                <w:color w:val="5A5955"/>
                <w:sz w:val="20"/>
                <w:szCs w:val="20"/>
              </w:rPr>
              <w:t xml:space="preserve">Stipends and travel for local pastors, printed invitations, and on-the-ground announcements that bring participants in.</w:t>
            </w:r>
          </w:p>
        </w:tc>
        <w:tc>
          <w:tcPr>
            <w:tcW w:type="dxa" w:w="28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jc w:val="right"/>
            </w:pPr>
            <w:r>
              <w:rPr>
                <w:rFonts w:ascii="Inter" w:cs="Inter" w:eastAsia="Inter" w:hAnsi="Inter"/>
                <w:b/>
                <w:bCs/>
                <w:color w:val="0B1F3B"/>
                <w:sz w:val="24"/>
                <w:szCs w:val="24"/>
              </w:rPr>
              <w:t xml:space="preserve">$1,000</w:t>
            </w:r>
          </w:p>
        </w:tc>
      </w:tr>
      <w:tr>
        <w:tc>
          <w:tcPr>
            <w:tcW w:type="dxa" w:w="9360"/>
            <w:gridSpan w:val="2"/>
            <w:tcBorders>
              <w:top w:val="single" w:color="0B1F3B" w:sz="1"/>
              <w:left w:val="single" w:color="0B1F3B" w:sz="1"/>
              <w:bottom w:val="single" w:color="0B1F3B" w:sz="1"/>
              <w:right w:val="single" w:color="0B1F3B" w:sz="1"/>
            </w:tcBorders>
            <w:shd w:fill="0B1F3B" w:val="clear"/>
            <w:tcMar>
              <w:top w:type="dxa" w:w="120"/>
              <w:left w:type="dxa" w:w="160"/>
              <w:bottom w:type="dxa" w:w="120"/>
              <w:right w:type="dxa" w:w="160"/>
            </w:tcMar>
          </w:tcPr>
          <w:p>
            <w:r>
              <w:rPr>
                <w:rFonts w:ascii="Inter" w:cs="Inter" w:eastAsia="Inter" w:hAnsi="Inter"/>
                <w:b/>
                <w:bCs/>
                <w:caps/>
                <w:color w:val="FFFFFF"/>
                <w:sz w:val="22"/>
                <w:szCs w:val="22"/>
              </w:rPr>
              <w:t xml:space="preserve">Two-Week Camp — Juba &amp; Bor</w:t>
            </w:r>
          </w:p>
        </w:tc>
      </w:tr>
      <w:tr>
        <w:tc>
          <w:tcPr>
            <w:tcW w:type="dxa" w:w="64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spacing w:after="40"/>
            </w:pPr>
            <w:r>
              <w:rPr>
                <w:rFonts w:ascii="Inter" w:cs="Inter" w:eastAsia="Inter" w:hAnsi="Inter"/>
                <w:b/>
                <w:bCs/>
                <w:color w:val="2B2B2B"/>
                <w:sz w:val="22"/>
                <w:szCs w:val="22"/>
              </w:rPr>
              <w:t xml:space="preserve">Camp Operations: Meals, Equipment &amp; Facility Rental</w:t>
            </w:r>
          </w:p>
          <w:p>
            <w:r>
              <w:rPr>
                <w:rFonts w:ascii="Inter" w:cs="Inter" w:eastAsia="Inter" w:hAnsi="Inter"/>
                <w:color w:val="5A5955"/>
                <w:sz w:val="20"/>
                <w:szCs w:val="20"/>
              </w:rPr>
              <w:t xml:space="preserve">Daily meals, equipment rental, and venue costs across both Juba and Bor camp sites.</w:t>
            </w:r>
          </w:p>
        </w:tc>
        <w:tc>
          <w:tcPr>
            <w:tcW w:type="dxa" w:w="28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right"/>
            </w:pPr>
            <w:r>
              <w:rPr>
                <w:rFonts w:ascii="Inter" w:cs="Inter" w:eastAsia="Inter" w:hAnsi="Inter"/>
                <w:b/>
                <w:bCs/>
                <w:color w:val="0B1F3B"/>
                <w:sz w:val="24"/>
                <w:szCs w:val="24"/>
              </w:rPr>
              <w:t xml:space="preserve">$15,000</w:t>
            </w:r>
          </w:p>
        </w:tc>
      </w:tr>
      <w:tr>
        <w:tc>
          <w:tcPr>
            <w:tcW w:type="dxa" w:w="64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spacing w:after="40"/>
            </w:pPr>
            <w:r>
              <w:rPr>
                <w:rFonts w:ascii="Inter" w:cs="Inter" w:eastAsia="Inter" w:hAnsi="Inter"/>
                <w:b/>
                <w:bCs/>
                <w:color w:val="2B2B2B"/>
                <w:sz w:val="22"/>
                <w:szCs w:val="22"/>
              </w:rPr>
              <w:t xml:space="preserve">Materials Distribution</w:t>
            </w:r>
          </w:p>
          <w:p>
            <w:r>
              <w:rPr>
                <w:rFonts w:ascii="Inter" w:cs="Inter" w:eastAsia="Inter" w:hAnsi="Inter"/>
                <w:color w:val="5A5955"/>
                <w:sz w:val="20"/>
                <w:szCs w:val="20"/>
              </w:rPr>
              <w:t xml:space="preserve">Bibles, leadership workbooks, study guides, and educational resources placed in participants’ hands to take home.</w:t>
            </w:r>
          </w:p>
        </w:tc>
        <w:tc>
          <w:tcPr>
            <w:tcW w:type="dxa" w:w="28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jc w:val="right"/>
            </w:pPr>
            <w:r>
              <w:rPr>
                <w:rFonts w:ascii="Inter" w:cs="Inter" w:eastAsia="Inter" w:hAnsi="Inter"/>
                <w:b/>
                <w:bCs/>
                <w:color w:val="0B1F3B"/>
                <w:sz w:val="24"/>
                <w:szCs w:val="24"/>
              </w:rPr>
              <w:t xml:space="preserve">$15,000</w:t>
            </w:r>
          </w:p>
        </w:tc>
      </w:tr>
      <w:tr>
        <w:tc>
          <w:tcPr>
            <w:tcW w:type="dxa" w:w="9360"/>
            <w:gridSpan w:val="2"/>
            <w:tcBorders>
              <w:top w:val="single" w:color="0B1F3B" w:sz="1"/>
              <w:left w:val="single" w:color="0B1F3B" w:sz="1"/>
              <w:bottom w:val="single" w:color="0B1F3B" w:sz="1"/>
              <w:right w:val="single" w:color="0B1F3B" w:sz="1"/>
            </w:tcBorders>
            <w:shd w:fill="0B1F3B" w:val="clear"/>
            <w:tcMar>
              <w:top w:type="dxa" w:w="120"/>
              <w:left w:type="dxa" w:w="160"/>
              <w:bottom w:type="dxa" w:w="120"/>
              <w:right w:type="dxa" w:w="160"/>
            </w:tcMar>
          </w:tcPr>
          <w:p>
            <w:r>
              <w:rPr>
                <w:rFonts w:ascii="Inter" w:cs="Inter" w:eastAsia="Inter" w:hAnsi="Inter"/>
                <w:b/>
                <w:bCs/>
                <w:caps/>
                <w:color w:val="FFFFFF"/>
                <w:sz w:val="22"/>
                <w:szCs w:val="22"/>
              </w:rPr>
              <w:t xml:space="preserve">Four-Month Discipleship Follow-Up — Juba &amp; Bor</w:t>
            </w:r>
          </w:p>
        </w:tc>
      </w:tr>
      <w:tr>
        <w:tc>
          <w:tcPr>
            <w:tcW w:type="dxa" w:w="64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spacing w:after="40"/>
            </w:pPr>
            <w:r>
              <w:rPr>
                <w:rFonts w:ascii="Inter" w:cs="Inter" w:eastAsia="Inter" w:hAnsi="Inter"/>
                <w:b/>
                <w:bCs/>
                <w:color w:val="2B2B2B"/>
                <w:sz w:val="22"/>
                <w:szCs w:val="22"/>
              </w:rPr>
              <w:t xml:space="preserve">Ongoing Follow-Up Support</w:t>
            </w:r>
          </w:p>
          <w:p>
            <w:r>
              <w:rPr>
                <w:rFonts w:ascii="Inter" w:cs="Inter" w:eastAsia="Inter" w:hAnsi="Inter"/>
                <w:color w:val="5A5955"/>
                <w:sz w:val="20"/>
                <w:szCs w:val="20"/>
              </w:rPr>
              <w:t xml:space="preserve">Four months of continued engagement with the local churches and schools that hosted the camp — mentorship, small groups, and check-ins.</w:t>
            </w:r>
          </w:p>
        </w:tc>
        <w:tc>
          <w:tcPr>
            <w:tcW w:type="dxa" w:w="288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right"/>
            </w:pPr>
            <w:r>
              <w:rPr>
                <w:rFonts w:ascii="Inter" w:cs="Inter" w:eastAsia="Inter" w:hAnsi="Inter"/>
                <w:b/>
                <w:bCs/>
                <w:color w:val="0B1F3B"/>
                <w:sz w:val="24"/>
                <w:szCs w:val="24"/>
              </w:rPr>
              <w:t xml:space="preserve">$4,000</w:t>
            </w:r>
          </w:p>
        </w:tc>
      </w:tr>
      <w:tr>
        <w:tc>
          <w:tcPr>
            <w:tcW w:type="dxa" w:w="9360"/>
            <w:gridSpan w:val="2"/>
            <w:tcBorders>
              <w:top w:val="single" w:color="0B1F3B" w:sz="1"/>
              <w:left w:val="single" w:color="0B1F3B" w:sz="1"/>
              <w:bottom w:val="single" w:color="0B1F3B" w:sz="1"/>
              <w:right w:val="single" w:color="0B1F3B" w:sz="1"/>
            </w:tcBorders>
            <w:shd w:fill="0B1F3B" w:val="clear"/>
            <w:tcMar>
              <w:top w:type="dxa" w:w="120"/>
              <w:left w:type="dxa" w:w="160"/>
              <w:bottom w:type="dxa" w:w="120"/>
              <w:right w:type="dxa" w:w="160"/>
            </w:tcMar>
          </w:tcPr>
          <w:p>
            <w:r>
              <w:rPr>
                <w:rFonts w:ascii="Inter" w:cs="Inter" w:eastAsia="Inter" w:hAnsi="Inter"/>
                <w:b/>
                <w:bCs/>
                <w:caps/>
                <w:color w:val="FFFFFF"/>
                <w:sz w:val="22"/>
                <w:szCs w:val="22"/>
              </w:rPr>
              <w:t xml:space="preserve">Reserve</w:t>
            </w:r>
          </w:p>
        </w:tc>
      </w:tr>
      <w:tr>
        <w:tc>
          <w:tcPr>
            <w:tcW w:type="dxa" w:w="64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spacing w:after="40"/>
            </w:pPr>
            <w:r>
              <w:rPr>
                <w:rFonts w:ascii="Inter" w:cs="Inter" w:eastAsia="Inter" w:hAnsi="Inter"/>
                <w:b/>
                <w:bCs/>
                <w:color w:val="2B2B2B"/>
                <w:sz w:val="22"/>
                <w:szCs w:val="22"/>
              </w:rPr>
              <w:t xml:space="preserve">Reserve / Contingency Fund</w:t>
            </w:r>
          </w:p>
          <w:p>
            <w:r>
              <w:rPr>
                <w:rFonts w:ascii="Inter" w:cs="Inter" w:eastAsia="Inter" w:hAnsi="Inter"/>
                <w:color w:val="5A5955"/>
                <w:sz w:val="20"/>
                <w:szCs w:val="20"/>
              </w:rPr>
              <w:t xml:space="preserve">Held back for currency volatility, weather disruption, or unforeseen field expenses. Unspent reserves carry into 2027 programming.</w:t>
            </w:r>
          </w:p>
        </w:tc>
        <w:tc>
          <w:tcPr>
            <w:tcW w:type="dxa" w:w="2880"/>
            <w:tcBorders>
              <w:top w:val="single" w:color="D9D8D4" w:sz="1"/>
              <w:left w:val="single" w:color="D9D8D4" w:sz="1"/>
              <w:bottom w:val="single" w:color="D9D8D4" w:sz="1"/>
              <w:right w:val="single" w:color="D9D8D4" w:sz="1"/>
            </w:tcBorders>
            <w:shd w:fill="F7F6F2" w:val="clear"/>
            <w:tcMar>
              <w:top w:type="dxa" w:w="120"/>
              <w:left w:type="dxa" w:w="160"/>
              <w:bottom w:type="dxa" w:w="120"/>
              <w:right w:type="dxa" w:w="160"/>
            </w:tcMar>
          </w:tcPr>
          <w:p>
            <w:pPr>
              <w:jc w:val="right"/>
            </w:pPr>
            <w:r>
              <w:rPr>
                <w:rFonts w:ascii="Inter" w:cs="Inter" w:eastAsia="Inter" w:hAnsi="Inter"/>
                <w:b/>
                <w:bCs/>
                <w:color w:val="0B1F3B"/>
                <w:sz w:val="24"/>
                <w:szCs w:val="24"/>
              </w:rPr>
              <w:t xml:space="preserve">$1,000</w:t>
            </w:r>
          </w:p>
        </w:tc>
      </w:tr>
      <w:tr>
        <w:tc>
          <w:tcPr>
            <w:tcW w:type="dxa" w:w="6480"/>
            <w:tcBorders>
              <w:top w:val="single" w:color="D9D8D4" w:sz="1"/>
              <w:left w:val="single" w:color="D9D8D4" w:sz="1"/>
              <w:bottom w:val="single" w:color="D9D8D4" w:sz="1"/>
              <w:right w:val="single" w:color="D9D8D4" w:sz="1"/>
            </w:tcBorders>
            <w:shd w:fill="D4A017" w:val="clear"/>
            <w:tcMar>
              <w:top w:type="dxa" w:w="120"/>
              <w:left w:type="dxa" w:w="160"/>
              <w:bottom w:type="dxa" w:w="120"/>
              <w:right w:type="dxa" w:w="160"/>
            </w:tcMar>
          </w:tcPr>
          <w:p>
            <w:r>
              <w:rPr>
                <w:rFonts w:ascii="Inter" w:cs="Inter" w:eastAsia="Inter" w:hAnsi="Inter"/>
                <w:b/>
                <w:bCs/>
                <w:color w:val="FFFFFF"/>
                <w:sz w:val="24"/>
                <w:szCs w:val="24"/>
              </w:rPr>
              <w:t xml:space="preserve">TOTAL CAMPAIGN GOAL</w:t>
            </w:r>
          </w:p>
        </w:tc>
        <w:tc>
          <w:tcPr>
            <w:tcW w:type="dxa" w:w="2880"/>
            <w:tcBorders>
              <w:top w:val="single" w:color="D9D8D4" w:sz="1"/>
              <w:left w:val="single" w:color="D9D8D4" w:sz="1"/>
              <w:bottom w:val="single" w:color="D9D8D4" w:sz="1"/>
              <w:right w:val="single" w:color="D9D8D4" w:sz="1"/>
            </w:tcBorders>
            <w:shd w:fill="D4A017" w:val="clear"/>
            <w:tcMar>
              <w:top w:type="dxa" w:w="120"/>
              <w:left w:type="dxa" w:w="160"/>
              <w:bottom w:type="dxa" w:w="120"/>
              <w:right w:type="dxa" w:w="160"/>
            </w:tcMar>
          </w:tcPr>
          <w:p>
            <w:pPr>
              <w:jc w:val="right"/>
            </w:pPr>
            <w:r>
              <w:rPr>
                <w:rFonts w:ascii="Inter" w:cs="Inter" w:eastAsia="Inter" w:hAnsi="Inter"/>
                <w:b/>
                <w:bCs/>
                <w:color w:val="FFFFFF"/>
                <w:sz w:val="28"/>
                <w:szCs w:val="28"/>
              </w:rPr>
              <w:t xml:space="preserve">$41,000</w:t>
            </w:r>
          </w:p>
        </w:tc>
      </w:tr>
    </w:tbl>
    <w:p>
      <w:pPr>
        <w:spacing w:after="80" w:line="280"/>
      </w:pPr>
      <w:r>
        <w:rPr>
          <w:rFonts w:ascii="Inter" w:cs="Inter" w:eastAsia="Inter" w:hAnsi="Inter"/>
          <w:i/>
          <w:iCs/>
          <w:color w:val="5A5955"/>
          <w:sz w:val="18"/>
          <w:szCs w:val="18"/>
        </w:rPr>
        <w:t xml:space="preserve">Note: itemized expenses sum to $40,000; the $1,000 contingency closes the gap to the $41,000 campaign goal.</w:t>
      </w:r>
    </w:p>
    <w:p>
      <w:r>
        <w:br w:type="page"/>
      </w:r>
    </w:p>
    <w:p>
      <w:pPr>
        <w:pStyle w:val="Heading2"/>
      </w:pPr>
      <w:r>
        <w:rPr>
          <w:rFonts w:ascii="Playfair Display" w:cs="Playfair Display" w:eastAsia="Playfair Display" w:hAnsi="Playfair Display"/>
          <w:b/>
          <w:bCs/>
          <w:color w:val="0B1F3B"/>
          <w:sz w:val="28"/>
          <w:szCs w:val="28"/>
        </w:rPr>
        <w:t xml:space="preserve">Where your gift goes</w:t>
      </w:r>
    </w:p>
    <w:p>
      <w:pPr>
        <w:spacing w:after="200" w:line="320"/>
      </w:pPr>
      <w:r>
        <w:rPr>
          <w:rFonts w:ascii="Inter" w:cs="Inter" w:eastAsia="Inter" w:hAnsi="Inter"/>
          <w:color w:val="2B2B2B"/>
          <w:sz w:val="24"/>
          <w:szCs w:val="24"/>
        </w:rPr>
        <w:t xml:space="preserve">Every gift is sized for impact. Pick the tier that fits — or give what you can. There are no wasted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0B1F3B" w:sz="1"/>
              <w:left w:val="single" w:color="0B1F3B" w:sz="1"/>
              <w:bottom w:val="single" w:color="0B1F3B" w:sz="1"/>
              <w:right w:val="single" w:color="0B1F3B" w:sz="1"/>
            </w:tcBorders>
            <w:shd w:fill="0B1F3B" w:val="clear"/>
            <w:tcMar>
              <w:top w:type="dxa" w:w="140"/>
              <w:left w:type="dxa" w:w="160"/>
              <w:bottom w:type="dxa" w:w="140"/>
              <w:right w:type="dxa" w:w="160"/>
            </w:tcMar>
          </w:tcPr>
          <w:p>
            <w:r>
              <w:rPr>
                <w:rFonts w:ascii="Inter" w:cs="Inter" w:eastAsia="Inter" w:hAnsi="Inter"/>
                <w:b/>
                <w:bCs/>
                <w:color w:val="FFFFFF"/>
                <w:sz w:val="22"/>
                <w:szCs w:val="22"/>
              </w:rPr>
              <w:t xml:space="preserve">Gift</w:t>
            </w:r>
          </w:p>
        </w:tc>
        <w:tc>
          <w:tcPr>
            <w:tcW w:type="dxa" w:w="2400"/>
            <w:tcBorders>
              <w:top w:val="single" w:color="0B1F3B" w:sz="1"/>
              <w:left w:val="single" w:color="0B1F3B" w:sz="1"/>
              <w:bottom w:val="single" w:color="0B1F3B" w:sz="1"/>
              <w:right w:val="single" w:color="0B1F3B" w:sz="1"/>
            </w:tcBorders>
            <w:shd w:fill="0B1F3B" w:val="clear"/>
            <w:tcMar>
              <w:top w:type="dxa" w:w="140"/>
              <w:left w:type="dxa" w:w="160"/>
              <w:bottom w:type="dxa" w:w="140"/>
              <w:right w:type="dxa" w:w="160"/>
            </w:tcMar>
          </w:tcPr>
          <w:p>
            <w:r>
              <w:rPr>
                <w:rFonts w:ascii="Inter" w:cs="Inter" w:eastAsia="Inter" w:hAnsi="Inter"/>
                <w:b/>
                <w:bCs/>
                <w:color w:val="FFFFFF"/>
                <w:sz w:val="22"/>
                <w:szCs w:val="22"/>
              </w:rPr>
              <w:t xml:space="preserve">Tier</w:t>
            </w:r>
          </w:p>
        </w:tc>
        <w:tc>
          <w:tcPr>
            <w:tcW w:type="dxa" w:w="5060"/>
            <w:tcBorders>
              <w:top w:val="single" w:color="0B1F3B" w:sz="1"/>
              <w:left w:val="single" w:color="0B1F3B" w:sz="1"/>
              <w:bottom w:val="single" w:color="0B1F3B" w:sz="1"/>
              <w:right w:val="single" w:color="0B1F3B" w:sz="1"/>
            </w:tcBorders>
            <w:shd w:fill="0B1F3B" w:val="clear"/>
            <w:tcMar>
              <w:top w:type="dxa" w:w="140"/>
              <w:left w:type="dxa" w:w="160"/>
              <w:bottom w:type="dxa" w:w="140"/>
              <w:right w:type="dxa" w:w="160"/>
            </w:tcMar>
          </w:tcPr>
          <w:p>
            <w:r>
              <w:rPr>
                <w:rFonts w:ascii="Inter" w:cs="Inter" w:eastAsia="Inter" w:hAnsi="Inter"/>
                <w:b/>
                <w:bCs/>
                <w:color w:val="FFFFFF"/>
                <w:sz w:val="22"/>
                <w:szCs w:val="22"/>
              </w:rPr>
              <w:t xml:space="preserve">Tangible Impact</w:t>
            </w:r>
          </w:p>
        </w:tc>
      </w:tr>
      <w:tr>
        <w:tc>
          <w:tcPr>
            <w:tcW w:type="dxa" w:w="190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left"/>
            </w:pPr>
            <w:r>
              <w:rPr>
                <w:rFonts w:ascii="Inter" w:cs="Inter" w:eastAsia="Inter" w:hAnsi="Inter"/>
                <w:b/>
                <w:bCs/>
                <w:color w:val="0B1F3B"/>
                <w:sz w:val="26"/>
                <w:szCs w:val="26"/>
              </w:rPr>
              <w:t xml:space="preserve">$25</w:t>
            </w:r>
          </w:p>
        </w:tc>
        <w:tc>
          <w:tcPr>
            <w:tcW w:type="dxa" w:w="240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b/>
                <w:bCs/>
                <w:color w:val="2B2B2B"/>
                <w:sz w:val="22"/>
                <w:szCs w:val="22"/>
              </w:rPr>
              <w:t xml:space="preserve">Friend</w:t>
            </w:r>
          </w:p>
        </w:tc>
        <w:tc>
          <w:tcPr>
            <w:tcW w:type="dxa" w:w="506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color w:val="2B2B2B"/>
                <w:sz w:val="22"/>
                <w:szCs w:val="22"/>
              </w:rPr>
              <w:t xml:space="preserve">Provides a Bible and study guide for one camp participant.</w:t>
            </w:r>
          </w:p>
        </w:tc>
      </w:tr>
      <w:tr>
        <w:tc>
          <w:tcPr>
            <w:tcW w:type="dxa" w:w="190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left"/>
            </w:pPr>
            <w:r>
              <w:rPr>
                <w:rFonts w:ascii="Inter" w:cs="Inter" w:eastAsia="Inter" w:hAnsi="Inter"/>
                <w:b/>
                <w:bCs/>
                <w:color w:val="0B1F3B"/>
                <w:sz w:val="26"/>
                <w:szCs w:val="26"/>
              </w:rPr>
              <w:t xml:space="preserve">$100</w:t>
            </w:r>
          </w:p>
        </w:tc>
        <w:tc>
          <w:tcPr>
            <w:tcW w:type="dxa" w:w="240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b/>
                <w:bCs/>
                <w:color w:val="2B2B2B"/>
                <w:sz w:val="22"/>
                <w:szCs w:val="22"/>
              </w:rPr>
              <w:t xml:space="preserve">Supporter</w:t>
            </w:r>
          </w:p>
        </w:tc>
        <w:tc>
          <w:tcPr>
            <w:tcW w:type="dxa" w:w="506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color w:val="2B2B2B"/>
                <w:sz w:val="22"/>
                <w:szCs w:val="22"/>
              </w:rPr>
              <w:t xml:space="preserve">Feeds one young leader for the full two weeks of camp.</w:t>
            </w:r>
          </w:p>
        </w:tc>
      </w:tr>
      <w:tr>
        <w:tc>
          <w:tcPr>
            <w:tcW w:type="dxa" w:w="1900"/>
            <w:tcBorders>
              <w:top w:val="single" w:color="D9D8D4" w:sz="1"/>
              <w:left w:val="single" w:color="D9D8D4" w:sz="1"/>
              <w:bottom w:val="single" w:color="D9D8D4" w:sz="1"/>
              <w:right w:val="single" w:color="D9D8D4" w:sz="1"/>
            </w:tcBorders>
            <w:shd w:fill="FBF1D6" w:val="clear"/>
            <w:tcMar>
              <w:top w:type="dxa" w:w="120"/>
              <w:left w:type="dxa" w:w="160"/>
              <w:bottom w:type="dxa" w:w="120"/>
              <w:right w:type="dxa" w:w="160"/>
            </w:tcMar>
          </w:tcPr>
          <w:p>
            <w:pPr>
              <w:jc w:val="left"/>
            </w:pPr>
            <w:r>
              <w:rPr>
                <w:rFonts w:ascii="Inter" w:cs="Inter" w:eastAsia="Inter" w:hAnsi="Inter"/>
                <w:b/>
                <w:bCs/>
                <w:color w:val="0B1F3B"/>
                <w:sz w:val="26"/>
                <w:szCs w:val="26"/>
              </w:rPr>
              <w:t xml:space="preserve">$500</w:t>
            </w:r>
          </w:p>
        </w:tc>
        <w:tc>
          <w:tcPr>
            <w:tcW w:type="dxa" w:w="2400"/>
            <w:tcBorders>
              <w:top w:val="single" w:color="D9D8D4" w:sz="1"/>
              <w:left w:val="single" w:color="D9D8D4" w:sz="1"/>
              <w:bottom w:val="single" w:color="D9D8D4" w:sz="1"/>
              <w:right w:val="single" w:color="D9D8D4" w:sz="1"/>
            </w:tcBorders>
            <w:shd w:fill="FBF1D6" w:val="clear"/>
            <w:tcMar>
              <w:top w:type="dxa" w:w="120"/>
              <w:left w:type="dxa" w:w="160"/>
              <w:bottom w:type="dxa" w:w="120"/>
              <w:right w:type="dxa" w:w="160"/>
            </w:tcMar>
          </w:tcPr>
          <w:p>
            <w:r>
              <w:rPr>
                <w:rFonts w:ascii="Inter" w:cs="Inter" w:eastAsia="Inter" w:hAnsi="Inter"/>
                <w:b/>
                <w:bCs/>
                <w:color w:val="2B2B2B"/>
                <w:sz w:val="22"/>
                <w:szCs w:val="22"/>
              </w:rPr>
              <w:t xml:space="preserve">Sponsor</w:t>
            </w:r>
          </w:p>
        </w:tc>
        <w:tc>
          <w:tcPr>
            <w:tcW w:type="dxa" w:w="5060"/>
            <w:tcBorders>
              <w:top w:val="single" w:color="D9D8D4" w:sz="1"/>
              <w:left w:val="single" w:color="D9D8D4" w:sz="1"/>
              <w:bottom w:val="single" w:color="D9D8D4" w:sz="1"/>
              <w:right w:val="single" w:color="D9D8D4" w:sz="1"/>
            </w:tcBorders>
            <w:shd w:fill="FBF1D6" w:val="clear"/>
            <w:tcMar>
              <w:top w:type="dxa" w:w="120"/>
              <w:left w:type="dxa" w:w="160"/>
              <w:bottom w:type="dxa" w:w="120"/>
              <w:right w:type="dxa" w:w="160"/>
            </w:tcMar>
          </w:tcPr>
          <w:p>
            <w:r>
              <w:rPr>
                <w:rFonts w:ascii="Inter" w:cs="Inter" w:eastAsia="Inter" w:hAnsi="Inter"/>
                <w:color w:val="2B2B2B"/>
                <w:sz w:val="22"/>
                <w:szCs w:val="22"/>
              </w:rPr>
              <w:t xml:space="preserve">Underwrites the materials packet for an entire small group of ten youth.</w:t>
            </w:r>
          </w:p>
        </w:tc>
      </w:tr>
      <w:tr>
        <w:tc>
          <w:tcPr>
            <w:tcW w:type="dxa" w:w="190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left"/>
            </w:pPr>
            <w:r>
              <w:rPr>
                <w:rFonts w:ascii="Inter" w:cs="Inter" w:eastAsia="Inter" w:hAnsi="Inter"/>
                <w:b/>
                <w:bCs/>
                <w:color w:val="0B1F3B"/>
                <w:sz w:val="26"/>
                <w:szCs w:val="26"/>
              </w:rPr>
              <w:t xml:space="preserve">$1,000</w:t>
            </w:r>
          </w:p>
        </w:tc>
        <w:tc>
          <w:tcPr>
            <w:tcW w:type="dxa" w:w="240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b/>
                <w:bCs/>
                <w:color w:val="2B2B2B"/>
                <w:sz w:val="22"/>
                <w:szCs w:val="22"/>
              </w:rPr>
              <w:t xml:space="preserve">Partner</w:t>
            </w:r>
          </w:p>
        </w:tc>
        <w:tc>
          <w:tcPr>
            <w:tcW w:type="dxa" w:w="506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color w:val="2B2B2B"/>
                <w:sz w:val="22"/>
                <w:szCs w:val="22"/>
              </w:rPr>
              <w:t xml:space="preserve">Funds one full month of post-camp discipleship follow-up across both Juba and Bor.</w:t>
            </w:r>
          </w:p>
        </w:tc>
      </w:tr>
      <w:tr>
        <w:tc>
          <w:tcPr>
            <w:tcW w:type="dxa" w:w="1900"/>
            <w:tcBorders>
              <w:top w:val="single" w:color="D9D8D4" w:sz="1"/>
              <w:left w:val="single" w:color="D9D8D4" w:sz="1"/>
              <w:bottom w:val="single" w:color="D9D8D4" w:sz="1"/>
              <w:right w:val="single" w:color="D9D8D4" w:sz="1"/>
            </w:tcBorders>
            <w:tcMar>
              <w:top w:type="dxa" w:w="120"/>
              <w:left w:type="dxa" w:w="160"/>
              <w:bottom w:type="dxa" w:w="120"/>
              <w:right w:type="dxa" w:w="160"/>
            </w:tcMar>
          </w:tcPr>
          <w:p>
            <w:pPr>
              <w:jc w:val="left"/>
            </w:pPr>
            <w:r>
              <w:rPr>
                <w:rFonts w:ascii="Inter" w:cs="Inter" w:eastAsia="Inter" w:hAnsi="Inter"/>
                <w:b/>
                <w:bCs/>
                <w:color w:val="0B1F3B"/>
                <w:sz w:val="26"/>
                <w:szCs w:val="26"/>
              </w:rPr>
              <w:t xml:space="preserve">$5,000</w:t>
            </w:r>
          </w:p>
        </w:tc>
        <w:tc>
          <w:tcPr>
            <w:tcW w:type="dxa" w:w="240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b/>
                <w:bCs/>
                <w:color w:val="2B2B2B"/>
                <w:sz w:val="22"/>
                <w:szCs w:val="22"/>
              </w:rPr>
              <w:t xml:space="preserve">Champion</w:t>
            </w:r>
          </w:p>
        </w:tc>
        <w:tc>
          <w:tcPr>
            <w:tcW w:type="dxa" w:w="5060"/>
            <w:tcBorders>
              <w:top w:val="single" w:color="D9D8D4" w:sz="1"/>
              <w:left w:val="single" w:color="D9D8D4" w:sz="1"/>
              <w:bottom w:val="single" w:color="D9D8D4" w:sz="1"/>
              <w:right w:val="single" w:color="D9D8D4" w:sz="1"/>
            </w:tcBorders>
            <w:tcMar>
              <w:top w:type="dxa" w:w="120"/>
              <w:left w:type="dxa" w:w="160"/>
              <w:bottom w:type="dxa" w:w="120"/>
              <w:right w:type="dxa" w:w="160"/>
            </w:tcMar>
          </w:tcPr>
          <w:p>
            <w:r>
              <w:rPr>
                <w:rFonts w:ascii="Inter" w:cs="Inter" w:eastAsia="Inter" w:hAnsi="Inter"/>
                <w:color w:val="2B2B2B"/>
                <w:sz w:val="22"/>
                <w:szCs w:val="22"/>
              </w:rPr>
              <w:t xml:space="preserve">Covers the entire materials distribution for one camp site.</w:t>
            </w:r>
          </w:p>
        </w:tc>
      </w:tr>
    </w:tbl>
    <w:p>
      <w:pPr>
        <w:pStyle w:val="Heading2"/>
      </w:pPr>
      <w:r>
        <w:rPr>
          <w:rFonts w:ascii="Playfair Display" w:cs="Playfair Display" w:eastAsia="Playfair Display" w:hAnsi="Playfair Display"/>
          <w:b/>
          <w:bCs/>
          <w:color w:val="0B1F3B"/>
          <w:sz w:val="28"/>
          <w:szCs w:val="28"/>
        </w:rPr>
        <w:t xml:space="preserve">How we steward your gift</w:t>
      </w:r>
    </w:p>
    <w:p>
      <w:pPr>
        <w:pStyle w:val="ListParagraph"/>
        <w:numPr>
          <w:ilvl w:val="0"/>
          <w:numId w:val="2"/>
        </w:numPr>
        <w:spacing w:after="80" w:line="300"/>
      </w:pPr>
      <w:r>
        <w:rPr>
          <w:rFonts w:ascii="Inter" w:cs="Inter" w:eastAsia="Inter" w:hAnsi="Inter"/>
          <w:color w:val="2B2B2B"/>
          <w:sz w:val="22"/>
          <w:szCs w:val="22"/>
        </w:rPr>
        <w:t xml:space="preserve">100% of campaign gifts are restricted to the Juba and Bor mission — they cannot be redirected to administrative overhead.</w:t>
      </w:r>
    </w:p>
    <w:p>
      <w:pPr>
        <w:pStyle w:val="ListParagraph"/>
        <w:numPr>
          <w:ilvl w:val="0"/>
          <w:numId w:val="2"/>
        </w:numPr>
        <w:spacing w:after="80" w:line="300"/>
      </w:pPr>
      <w:r>
        <w:rPr>
          <w:rFonts w:ascii="Inter" w:cs="Inter" w:eastAsia="Inter" w:hAnsi="Inter"/>
          <w:color w:val="2B2B2B"/>
          <w:sz w:val="22"/>
          <w:szCs w:val="22"/>
        </w:rPr>
        <w:t xml:space="preserve">Donations are processed through Stripe with full transaction security; you receive an immediate, IRS-compliant tax receipt by email.</w:t>
      </w:r>
    </w:p>
    <w:p>
      <w:pPr>
        <w:pStyle w:val="ListParagraph"/>
        <w:numPr>
          <w:ilvl w:val="0"/>
          <w:numId w:val="2"/>
        </w:numPr>
        <w:spacing w:after="80" w:line="300"/>
      </w:pPr>
      <w:r>
        <w:rPr>
          <w:rFonts w:ascii="Inter" w:cs="Inter" w:eastAsia="Inter" w:hAnsi="Inter"/>
          <w:color w:val="2B2B2B"/>
          <w:sz w:val="22"/>
          <w:szCs w:val="22"/>
        </w:rPr>
        <w:t xml:space="preserve">A live progress tracker on yetcompassion.org shows campaign totals updated automatically from Stripe.</w:t>
      </w:r>
    </w:p>
    <w:p>
      <w:pPr>
        <w:pStyle w:val="ListParagraph"/>
        <w:numPr>
          <w:ilvl w:val="0"/>
          <w:numId w:val="2"/>
        </w:numPr>
        <w:spacing w:after="80" w:line="300"/>
      </w:pPr>
      <w:r>
        <w:rPr>
          <w:rFonts w:ascii="Inter" w:cs="Inter" w:eastAsia="Inter" w:hAnsi="Inter"/>
          <w:color w:val="2B2B2B"/>
          <w:sz w:val="22"/>
          <w:szCs w:val="22"/>
        </w:rPr>
        <w:t xml:space="preserve">A field report — including photos, financial reconciliation, and ministry outcomes — is published within 60 days of the mission’s completion.</w:t>
      </w:r>
    </w:p>
    <w:p>
      <w:pPr>
        <w:pStyle w:val="Heading2"/>
      </w:pPr>
      <w:r>
        <w:rPr>
          <w:rFonts w:ascii="Playfair Display" w:cs="Playfair Display" w:eastAsia="Playfair Display" w:hAnsi="Playfair Display"/>
          <w:b/>
          <w:bCs/>
          <w:color w:val="0B1F3B"/>
          <w:sz w:val="28"/>
          <w:szCs w:val="28"/>
        </w:rPr>
        <w:t xml:space="preserve">How to give</w:t>
      </w:r>
    </w:p>
    <w:p>
      <w:pPr>
        <w:pStyle w:val="ListParagraph"/>
        <w:numPr>
          <w:ilvl w:val="0"/>
          <w:numId w:val="2"/>
        </w:numPr>
        <w:spacing w:after="80" w:line="300"/>
      </w:pPr>
      <w:r>
        <w:rPr>
          <w:rFonts w:ascii="Inter" w:cs="Inter" w:eastAsia="Inter" w:hAnsi="Inter"/>
          <w:color w:val="2B2B2B"/>
          <w:sz w:val="22"/>
          <w:szCs w:val="22"/>
        </w:rPr>
        <w:t xml:space="preserve">Online: yetcompassion.org/campaigns/2026</w:t>
      </w:r>
    </w:p>
    <w:p>
      <w:pPr>
        <w:pStyle w:val="ListParagraph"/>
        <w:numPr>
          <w:ilvl w:val="0"/>
          <w:numId w:val="2"/>
        </w:numPr>
        <w:spacing w:after="80" w:line="300"/>
      </w:pPr>
      <w:r>
        <w:rPr>
          <w:rFonts w:ascii="Inter" w:cs="Inter" w:eastAsia="Inter" w:hAnsi="Inter"/>
          <w:color w:val="2B2B2B"/>
          <w:sz w:val="22"/>
          <w:szCs w:val="22"/>
        </w:rPr>
        <w:t xml:space="preserve">Recurring partnership: choose a monthly amount on the Donate page so impact compounds month over month.</w:t>
      </w:r>
    </w:p>
    <w:p>
      <w:pPr>
        <w:pStyle w:val="ListParagraph"/>
        <w:numPr>
          <w:ilvl w:val="0"/>
          <w:numId w:val="2"/>
        </w:numPr>
        <w:spacing w:after="80" w:line="300"/>
      </w:pPr>
      <w:r>
        <w:rPr>
          <w:rFonts w:ascii="Inter" w:cs="Inter" w:eastAsia="Inter" w:hAnsi="Inter"/>
          <w:color w:val="2B2B2B"/>
          <w:sz w:val="22"/>
          <w:szCs w:val="22"/>
        </w:rPr>
        <w:t xml:space="preserve">Major gifts, employer match, or stock transfer: email gai@yetcompassion.org and we will walk you through it personally.</w:t>
      </w:r>
    </w:p>
    <w:p>
      <w:pPr>
        <w:spacing w:after="240" w:before="120" w:line="300"/>
        <w:ind w:left="360" w:right="360"/>
      </w:pPr>
      <w:r>
        <w:rPr>
          <w:rFonts w:ascii="Cormorant Garamond" w:cs="Cormorant Garamond" w:eastAsia="Cormorant Garamond" w:hAnsi="Cormorant Garamond"/>
          <w:i/>
          <w:iCs/>
          <w:color w:val="0B1F3B"/>
          <w:sz w:val="24"/>
          <w:szCs w:val="24"/>
        </w:rPr>
        <w:t xml:space="preserve">“Each one must give as he has decided in his heart, not reluctantly or under compulsion, for God loves a cheerful giver.” </w:t>
      </w:r>
      <w:r>
        <w:rPr>
          <w:rFonts w:ascii="Inter" w:cs="Inter" w:eastAsia="Inter" w:hAnsi="Inter"/>
          <w:color w:val="5A5955"/>
          <w:sz w:val="18"/>
          <w:szCs w:val="18"/>
        </w:rPr>
        <w:t xml:space="preserve">— 2 Corinthians 9:7</w:t>
      </w:r>
    </w:p>
    <w:p>
      <w:pPr>
        <w:spacing w:after="0" w:before="320"/>
        <w:jc w:val="center"/>
      </w:pPr>
      <w:r>
        <w:rPr>
          <w:rFonts w:ascii="Inter" w:cs="Inter" w:eastAsia="Inter" w:hAnsi="Inter"/>
          <w:i/>
          <w:iCs/>
          <w:color w:val="5A5955"/>
          <w:sz w:val="22"/>
          <w:szCs w:val="22"/>
        </w:rPr>
        <w:t xml:space="preserve">Excellence is not what we aspire to — </w:t>
      </w:r>
      <w:r>
        <w:rPr>
          <w:rFonts w:ascii="Playfair Display" w:cs="Playfair Display" w:eastAsia="Playfair Display" w:hAnsi="Playfair Display"/>
          <w:b/>
          <w:bCs/>
          <w:i/>
          <w:iCs/>
          <w:color w:val="D4A017"/>
          <w:sz w:val="22"/>
          <w:szCs w:val="22"/>
        </w:rPr>
        <w:t xml:space="preserve">it’s what we deliver.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A5955"/>
        <w:sz w:val="18"/>
        <w:szCs w:val="18"/>
      </w:rPr>
      <w:t xml:space="preserve">yetcompassion.org</w:t>
    </w:r>
    <w:r>
      <w:rPr>
        <w:rFonts w:ascii="Inter" w:cs="Inter" w:eastAsia="Inter" w:hAnsi="Inter"/>
        <w:color w:val="5A5955"/>
        <w:sz w:val="18"/>
        <w:szCs w:val="18"/>
      </w:rPr>
      <w:t xml:space="preserve">	Page </w:t>
    </w:r>
    <w:r>
      <w:rPr>
        <w:rFonts w:ascii="Inter" w:cs="Inter" w:eastAsia="Inter" w:hAnsi="Inter"/>
        <w:color w:val="5A5955"/>
        <w:sz w:val="18"/>
        <w:szCs w:val="18"/>
      </w:rPr>
      <w:fldChar w:fldCharType="begin"/>
      <w:instrText xml:space="preserve">PAGE</w:instrText>
      <w:fldChar w:fldCharType="separate"/>
      <w:fldChar w:fldCharType="end"/>
    </w:r>
    <w:r>
      <w:rPr>
        <w:rFonts w:ascii="Inter" w:cs="Inter" w:eastAsia="Inter" w:hAnsi="Inter"/>
        <w:color w:val="5A5955"/>
        <w:sz w:val="18"/>
        <w:szCs w:val="18"/>
      </w:rPr>
      <w:t xml:space="preserve"> of </w:t>
    </w:r>
    <w:r>
      <w:rPr>
        <w:rFonts w:ascii="Inter" w:cs="Inter" w:eastAsia="Inter" w:hAnsi="Inter"/>
        <w:color w:val="5A59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4"/>
      </w:pBdr>
      <w:tabs>
        <w:tab w:val="right" w:pos="9360"/>
      </w:tabs>
    </w:pPr>
    <w:r>
      <w:rPr>
        <w:rFonts w:ascii="Inter" w:cs="Inter" w:eastAsia="Inter" w:hAnsi="Inter"/>
        <w:b/>
        <w:bCs/>
        <w:color w:val="0B1F3B"/>
        <w:sz w:val="18"/>
        <w:szCs w:val="18"/>
      </w:rPr>
      <w:t xml:space="preserve">Y.E.T. COMPASSION</w:t>
    </w:r>
    <w:r>
      <w:rPr>
        <w:rFonts w:ascii="Inter" w:cs="Inter" w:eastAsia="Inter" w:hAnsi="Inter"/>
        <w:color w:val="5A5955"/>
        <w:sz w:val="18"/>
        <w:szCs w:val="18"/>
      </w:rPr>
      <w:t xml:space="preserve">	2026 FUNDRAISING CAMPAIGN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0B1F3B"/>
      <w:sz w:val="40"/>
      <w:szCs w:val="40"/>
    </w:rPr>
  </w:style>
  <w:style w:type="paragraph" w:styleId="Heading2">
    <w:name w:val="Heading 2"/>
    <w:basedOn w:val="Normal"/>
    <w:next w:val="Normal"/>
    <w:qFormat/>
    <w:pPr>
      <w:spacing w:after="140" w:before="280"/>
      <w:outlineLvl w:val="1"/>
    </w:pPr>
    <w:rPr>
      <w:rFonts w:ascii="Playfair Display" w:cs="Playfair Display" w:eastAsia="Playfair Display" w:hAnsi="Playfair Display"/>
      <w:b/>
      <w:bCs/>
      <w:color w:val="0B1F3B"/>
      <w:sz w:val="28"/>
      <w:szCs w:val="28"/>
    </w:rPr>
  </w:style>
  <w:style w:type="paragraph" w:styleId="Heading3">
    <w:name w:val="Heading 3"/>
    <w:basedOn w:val="Normal"/>
    <w:next w:val="Normal"/>
    <w:qFormat/>
    <w:pPr>
      <w:spacing w:after="100" w:before="200"/>
      <w:outlineLvl w:val="2"/>
    </w:pPr>
    <w:rPr>
      <w:rFonts w:ascii="Inter" w:cs="Inter" w:eastAsia="Inter" w:hAnsi="Inter"/>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Fundraising Campaign — Y.E.T. Compassion</dc:title>
  <dc:creator>Y.E.T. Compassion</dc:creator>
  <dc:description>Juba &amp; Bor Outreach + Discipleship Follow-Up. Goal: $41,000.</dc:description>
  <cp:lastModifiedBy>Un-named</cp:lastModifiedBy>
  <cp:revision>1</cp:revision>
  <dcterms:created xsi:type="dcterms:W3CDTF">2026-05-05T03:24:13.229Z</dcterms:created>
  <dcterms:modified xsi:type="dcterms:W3CDTF">2026-05-05T03:24:13.229Z</dcterms:modified>
</cp:coreProperties>
</file>

<file path=docProps/custom.xml><?xml version="1.0" encoding="utf-8"?>
<Properties xmlns="http://schemas.openxmlformats.org/officeDocument/2006/custom-properties" xmlns:vt="http://schemas.openxmlformats.org/officeDocument/2006/docPropsVTypes"/>
</file>