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季度经营简报</w:t>
      </w:r>
    </w:p>
    <w:p>
      <w:r>
        <w:t xml:space="preserve">收入增长 18%，重点客户复购稳定。</w:t>
      </w:r>
    </w:p>
    <w:p>
      <w:pPr>
        <w:pStyle w:val="Heading2"/>
      </w:pPr>
      <w:r>
        <w:t xml:space="preserve">行动安排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负责人</w:t>
            </w:r>
          </w:p>
        </w:tc>
        <w:tc>
          <w:p>
            <w:r>
              <w:t xml:space="preserve">事项</w:t>
            </w:r>
          </w:p>
        </w:tc>
      </w:tr>
      <w:tr>
        <w:tc>
          <w:p>
            <w:r>
              <w:t xml:space="preserve">产品组</w:t>
            </w:r>
          </w:p>
        </w:tc>
        <w:tc>
          <w:p>
            <w:r>
              <w:t xml:space="preserve">完成需求评审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2026-09-08T14:11:26.193Z</dcterms:created>
  <dcterms:modified xsi:type="dcterms:W3CDTF">2026-09-08T14:11:26.193Z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