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3F08D" w14:textId="77777777" w:rsidR="004D3003" w:rsidRDefault="004D3003">
      <w:pPr>
        <w:pStyle w:val="BodyText"/>
        <w:ind w:left="0"/>
      </w:pPr>
    </w:p>
    <w:p w14:paraId="05402047" w14:textId="77777777" w:rsidR="004D3003" w:rsidRDefault="004D3003">
      <w:pPr>
        <w:pStyle w:val="BodyText"/>
        <w:ind w:left="0"/>
      </w:pPr>
    </w:p>
    <w:p w14:paraId="0822E91C" w14:textId="77777777" w:rsidR="004D3003" w:rsidRDefault="004D3003">
      <w:pPr>
        <w:pStyle w:val="BodyText"/>
        <w:ind w:left="0"/>
      </w:pPr>
    </w:p>
    <w:p w14:paraId="3E559C2E" w14:textId="77777777" w:rsidR="004D3003" w:rsidRDefault="004D3003">
      <w:pPr>
        <w:pStyle w:val="BodyText"/>
        <w:ind w:left="0"/>
      </w:pPr>
    </w:p>
    <w:p w14:paraId="755575B6" w14:textId="77777777" w:rsidR="004D3003" w:rsidRDefault="004D3003">
      <w:pPr>
        <w:pStyle w:val="BodyText"/>
        <w:ind w:left="0"/>
      </w:pPr>
    </w:p>
    <w:p w14:paraId="6A91C19F" w14:textId="77777777" w:rsidR="004D3003" w:rsidRDefault="004D3003">
      <w:pPr>
        <w:pStyle w:val="BodyText"/>
        <w:spacing w:before="171"/>
        <w:ind w:left="0"/>
      </w:pPr>
    </w:p>
    <w:p w14:paraId="5E33F4B8" w14:textId="77777777" w:rsidR="00CD32DC" w:rsidRDefault="00CD32DC">
      <w:pPr>
        <w:pStyle w:val="Heading1"/>
        <w:spacing w:before="1"/>
        <w:jc w:val="center"/>
      </w:pPr>
    </w:p>
    <w:p w14:paraId="5A5AA247" w14:textId="77777777" w:rsidR="00CD32DC" w:rsidRDefault="00CD32DC">
      <w:pPr>
        <w:pStyle w:val="Heading1"/>
        <w:spacing w:before="1"/>
        <w:jc w:val="center"/>
      </w:pPr>
    </w:p>
    <w:p w14:paraId="27693A40" w14:textId="77777777" w:rsidR="00CD32DC" w:rsidRDefault="00CD32DC">
      <w:pPr>
        <w:pStyle w:val="Heading1"/>
        <w:spacing w:before="1"/>
        <w:jc w:val="center"/>
      </w:pPr>
    </w:p>
    <w:p w14:paraId="2BFB3739" w14:textId="77777777" w:rsidR="00CD32DC" w:rsidRDefault="00CD32DC">
      <w:pPr>
        <w:pStyle w:val="Heading1"/>
        <w:spacing w:before="1"/>
        <w:jc w:val="center"/>
      </w:pPr>
    </w:p>
    <w:p w14:paraId="242E76D9" w14:textId="77777777" w:rsidR="00CD32DC" w:rsidRDefault="00CD32DC">
      <w:pPr>
        <w:pStyle w:val="Heading1"/>
        <w:spacing w:before="1"/>
        <w:jc w:val="center"/>
      </w:pPr>
    </w:p>
    <w:p w14:paraId="476AA04C" w14:textId="77777777" w:rsidR="00CD32DC" w:rsidRDefault="00CD32DC">
      <w:pPr>
        <w:pStyle w:val="Heading1"/>
        <w:spacing w:before="1"/>
        <w:jc w:val="center"/>
      </w:pPr>
    </w:p>
    <w:p w14:paraId="37A96CC0" w14:textId="77777777" w:rsidR="00CD32DC" w:rsidRDefault="00CD32DC">
      <w:pPr>
        <w:pStyle w:val="Heading1"/>
        <w:spacing w:before="1"/>
        <w:jc w:val="center"/>
      </w:pPr>
    </w:p>
    <w:p w14:paraId="0339660F" w14:textId="77777777" w:rsidR="00CD32DC" w:rsidRDefault="00CD32DC">
      <w:pPr>
        <w:pStyle w:val="Heading1"/>
        <w:spacing w:before="1"/>
        <w:jc w:val="center"/>
      </w:pPr>
    </w:p>
    <w:p w14:paraId="28796654" w14:textId="77777777" w:rsidR="00CD32DC" w:rsidRDefault="00CD32DC">
      <w:pPr>
        <w:pStyle w:val="Heading1"/>
        <w:spacing w:before="1"/>
        <w:jc w:val="center"/>
      </w:pPr>
    </w:p>
    <w:p w14:paraId="74BDF05D" w14:textId="586157A4" w:rsidR="004D3003" w:rsidRDefault="00000000">
      <w:pPr>
        <w:pStyle w:val="Heading1"/>
        <w:spacing w:before="1"/>
        <w:jc w:val="center"/>
      </w:pPr>
      <w:r>
        <w:t>Flint</w:t>
      </w:r>
      <w:r>
        <w:rPr>
          <w:spacing w:val="-4"/>
        </w:rPr>
        <w:t xml:space="preserve"> </w:t>
      </w:r>
      <w:r>
        <w:t>Water</w:t>
      </w:r>
      <w:r>
        <w:rPr>
          <w:spacing w:val="-4"/>
        </w:rPr>
        <w:t xml:space="preserve"> </w:t>
      </w:r>
      <w:r>
        <w:t>Crisis:</w:t>
      </w:r>
      <w:r>
        <w:rPr>
          <w:spacing w:val="-4"/>
        </w:rPr>
        <w:t xml:space="preserve"> </w:t>
      </w:r>
      <w:r w:rsidR="00CD32DC">
        <w:t>A</w:t>
      </w:r>
      <w:r>
        <w:rPr>
          <w:spacing w:val="-4"/>
        </w:rPr>
        <w:t xml:space="preserve"> </w:t>
      </w:r>
      <w:r>
        <w:t>Regression</w:t>
      </w:r>
      <w:r>
        <w:rPr>
          <w:spacing w:val="-4"/>
        </w:rPr>
        <w:t xml:space="preserve"> </w:t>
      </w:r>
      <w:r>
        <w:t>Analysis</w:t>
      </w:r>
      <w:r>
        <w:rPr>
          <w:spacing w:val="-3"/>
        </w:rPr>
        <w:t xml:space="preserve"> </w:t>
      </w:r>
      <w:r>
        <w:t>on</w:t>
      </w:r>
      <w:r>
        <w:rPr>
          <w:spacing w:val="-4"/>
        </w:rPr>
        <w:t xml:space="preserve"> </w:t>
      </w:r>
      <w:r>
        <w:t>Flint’s</w:t>
      </w:r>
      <w:r>
        <w:rPr>
          <w:spacing w:val="-4"/>
        </w:rPr>
        <w:t xml:space="preserve"> </w:t>
      </w:r>
      <w:r>
        <w:t>Community</w:t>
      </w:r>
      <w:r>
        <w:rPr>
          <w:spacing w:val="-4"/>
        </w:rPr>
        <w:t xml:space="preserve"> </w:t>
      </w:r>
      <w:r>
        <w:t>Mean</w:t>
      </w:r>
      <w:r>
        <w:rPr>
          <w:spacing w:val="-4"/>
        </w:rPr>
        <w:t xml:space="preserve"> </w:t>
      </w:r>
      <w:r>
        <w:t>Water</w:t>
      </w:r>
      <w:r>
        <w:rPr>
          <w:spacing w:val="-3"/>
        </w:rPr>
        <w:t xml:space="preserve"> </w:t>
      </w:r>
      <w:r>
        <w:rPr>
          <w:spacing w:val="-5"/>
        </w:rPr>
        <w:t>Age</w:t>
      </w:r>
    </w:p>
    <w:p w14:paraId="35BB0670" w14:textId="77777777" w:rsidR="004D3003" w:rsidRDefault="004D3003">
      <w:pPr>
        <w:pStyle w:val="BodyText"/>
        <w:ind w:left="0"/>
        <w:rPr>
          <w:b/>
        </w:rPr>
      </w:pPr>
    </w:p>
    <w:p w14:paraId="62F2CAD5" w14:textId="77777777" w:rsidR="004D3003" w:rsidRDefault="004D3003">
      <w:pPr>
        <w:pStyle w:val="BodyText"/>
        <w:spacing w:before="275"/>
        <w:ind w:left="0"/>
        <w:rPr>
          <w:b/>
        </w:rPr>
      </w:pPr>
    </w:p>
    <w:p w14:paraId="175C268C" w14:textId="77777777" w:rsidR="004D3003" w:rsidRDefault="00000000">
      <w:pPr>
        <w:pStyle w:val="BodyText"/>
        <w:spacing w:before="1"/>
        <w:jc w:val="center"/>
      </w:pPr>
      <w:r>
        <w:rPr>
          <w:spacing w:val="-2"/>
        </w:rPr>
        <w:t>Tongjia</w:t>
      </w:r>
      <w:r>
        <w:rPr>
          <w:spacing w:val="-3"/>
        </w:rPr>
        <w:t xml:space="preserve"> </w:t>
      </w:r>
      <w:r>
        <w:rPr>
          <w:spacing w:val="-5"/>
        </w:rPr>
        <w:t>Cui</w:t>
      </w:r>
    </w:p>
    <w:p w14:paraId="00720957" w14:textId="77777777" w:rsidR="00CD32DC" w:rsidRDefault="00CD32DC">
      <w:pPr>
        <w:pStyle w:val="BodyText"/>
        <w:spacing w:before="100"/>
        <w:ind w:right="1"/>
        <w:jc w:val="center"/>
      </w:pPr>
    </w:p>
    <w:p w14:paraId="081E405D" w14:textId="77777777" w:rsidR="00CD32DC" w:rsidRDefault="00CD32DC">
      <w:pPr>
        <w:pStyle w:val="BodyText"/>
        <w:spacing w:before="100"/>
        <w:ind w:right="1"/>
        <w:jc w:val="center"/>
      </w:pPr>
    </w:p>
    <w:p w14:paraId="4DB04918" w14:textId="31DD0BE6" w:rsidR="004D3003" w:rsidRDefault="00000000">
      <w:pPr>
        <w:pStyle w:val="BodyText"/>
        <w:spacing w:before="100"/>
        <w:ind w:right="1"/>
        <w:jc w:val="center"/>
        <w:rPr>
          <w:spacing w:val="-4"/>
        </w:rPr>
      </w:pPr>
      <w:r>
        <w:t xml:space="preserve">December 16, </w:t>
      </w:r>
      <w:r>
        <w:rPr>
          <w:spacing w:val="-4"/>
        </w:rPr>
        <w:t>2025</w:t>
      </w:r>
    </w:p>
    <w:p w14:paraId="74233BB1" w14:textId="77777777" w:rsidR="00CD32DC" w:rsidRDefault="00CD32DC">
      <w:pPr>
        <w:pStyle w:val="BodyText"/>
        <w:spacing w:before="100"/>
        <w:ind w:right="1"/>
        <w:jc w:val="center"/>
        <w:rPr>
          <w:spacing w:val="-4"/>
        </w:rPr>
      </w:pPr>
    </w:p>
    <w:p w14:paraId="0AF1C622" w14:textId="77777777" w:rsidR="00CD32DC" w:rsidRDefault="00CD32DC">
      <w:pPr>
        <w:pStyle w:val="BodyText"/>
        <w:spacing w:before="100"/>
        <w:ind w:right="1"/>
        <w:jc w:val="center"/>
        <w:rPr>
          <w:spacing w:val="-4"/>
        </w:rPr>
      </w:pPr>
    </w:p>
    <w:p w14:paraId="68C74928" w14:textId="77777777" w:rsidR="00CD32DC" w:rsidRDefault="00CD32DC">
      <w:pPr>
        <w:pStyle w:val="BodyText"/>
        <w:spacing w:before="100"/>
        <w:ind w:right="1"/>
        <w:jc w:val="center"/>
        <w:rPr>
          <w:spacing w:val="-4"/>
        </w:rPr>
      </w:pPr>
    </w:p>
    <w:p w14:paraId="1B2702C1" w14:textId="77777777" w:rsidR="00CD32DC" w:rsidRDefault="00CD32DC">
      <w:pPr>
        <w:pStyle w:val="BodyText"/>
        <w:spacing w:before="100"/>
        <w:ind w:right="1"/>
        <w:jc w:val="center"/>
        <w:rPr>
          <w:spacing w:val="-4"/>
        </w:rPr>
      </w:pPr>
    </w:p>
    <w:p w14:paraId="430DC67E" w14:textId="77777777" w:rsidR="00CD32DC" w:rsidRDefault="00CD32DC">
      <w:pPr>
        <w:pStyle w:val="BodyText"/>
        <w:spacing w:before="100"/>
        <w:ind w:right="1"/>
        <w:jc w:val="center"/>
        <w:rPr>
          <w:spacing w:val="-4"/>
        </w:rPr>
      </w:pPr>
    </w:p>
    <w:p w14:paraId="3729752C" w14:textId="77777777" w:rsidR="00CD32DC" w:rsidRDefault="00CD32DC">
      <w:pPr>
        <w:pStyle w:val="BodyText"/>
        <w:spacing w:before="100"/>
        <w:ind w:right="1"/>
        <w:jc w:val="center"/>
        <w:rPr>
          <w:spacing w:val="-4"/>
        </w:rPr>
      </w:pPr>
    </w:p>
    <w:p w14:paraId="095AF80E" w14:textId="77777777" w:rsidR="00CD32DC" w:rsidRDefault="00CD32DC">
      <w:pPr>
        <w:pStyle w:val="BodyText"/>
        <w:spacing w:before="100"/>
        <w:ind w:right="1"/>
        <w:jc w:val="center"/>
        <w:rPr>
          <w:spacing w:val="-4"/>
        </w:rPr>
      </w:pPr>
    </w:p>
    <w:p w14:paraId="2D40839D" w14:textId="77777777" w:rsidR="00CD32DC" w:rsidRDefault="00CD32DC">
      <w:pPr>
        <w:pStyle w:val="BodyText"/>
        <w:spacing w:before="100"/>
        <w:ind w:right="1"/>
        <w:jc w:val="center"/>
        <w:rPr>
          <w:spacing w:val="-4"/>
        </w:rPr>
      </w:pPr>
    </w:p>
    <w:p w14:paraId="3F967C7F" w14:textId="77777777" w:rsidR="00CD32DC" w:rsidRDefault="00CD32DC">
      <w:pPr>
        <w:pStyle w:val="BodyText"/>
        <w:spacing w:before="100"/>
        <w:ind w:right="1"/>
        <w:jc w:val="center"/>
        <w:rPr>
          <w:spacing w:val="-4"/>
        </w:rPr>
      </w:pPr>
    </w:p>
    <w:p w14:paraId="39178191" w14:textId="77777777" w:rsidR="00CD32DC" w:rsidRDefault="00CD32DC">
      <w:pPr>
        <w:pStyle w:val="BodyText"/>
        <w:spacing w:before="100"/>
        <w:ind w:right="1"/>
        <w:jc w:val="center"/>
        <w:rPr>
          <w:spacing w:val="-4"/>
        </w:rPr>
      </w:pPr>
    </w:p>
    <w:p w14:paraId="03377F33" w14:textId="77777777" w:rsidR="00CD32DC" w:rsidRDefault="00CD32DC">
      <w:pPr>
        <w:pStyle w:val="BodyText"/>
        <w:spacing w:before="100"/>
        <w:ind w:right="1"/>
        <w:jc w:val="center"/>
        <w:rPr>
          <w:spacing w:val="-4"/>
        </w:rPr>
      </w:pPr>
    </w:p>
    <w:p w14:paraId="39210CA8" w14:textId="77777777" w:rsidR="00CD32DC" w:rsidRDefault="00CD32DC">
      <w:pPr>
        <w:pStyle w:val="BodyText"/>
        <w:spacing w:before="100"/>
        <w:ind w:right="1"/>
        <w:jc w:val="center"/>
        <w:rPr>
          <w:spacing w:val="-4"/>
        </w:rPr>
      </w:pPr>
    </w:p>
    <w:p w14:paraId="4FD09E46" w14:textId="77777777" w:rsidR="00CD32DC" w:rsidRDefault="00CD32DC">
      <w:pPr>
        <w:pStyle w:val="BodyText"/>
        <w:spacing w:before="100"/>
        <w:ind w:right="1"/>
        <w:jc w:val="center"/>
        <w:rPr>
          <w:spacing w:val="-4"/>
        </w:rPr>
      </w:pPr>
    </w:p>
    <w:p w14:paraId="7D3B1739" w14:textId="77777777" w:rsidR="00CD32DC" w:rsidRDefault="00CD32DC">
      <w:pPr>
        <w:pStyle w:val="BodyText"/>
        <w:spacing w:before="100"/>
        <w:ind w:right="1"/>
        <w:jc w:val="center"/>
        <w:rPr>
          <w:spacing w:val="-4"/>
        </w:rPr>
      </w:pPr>
    </w:p>
    <w:p w14:paraId="40AE0FAA" w14:textId="77777777" w:rsidR="00CD32DC" w:rsidRDefault="00CD32DC">
      <w:pPr>
        <w:pStyle w:val="BodyText"/>
        <w:spacing w:before="100"/>
        <w:ind w:right="1"/>
        <w:jc w:val="center"/>
        <w:rPr>
          <w:spacing w:val="-4"/>
        </w:rPr>
      </w:pPr>
    </w:p>
    <w:p w14:paraId="2424417D" w14:textId="77777777" w:rsidR="00CD32DC" w:rsidRDefault="00CD32DC">
      <w:pPr>
        <w:pStyle w:val="BodyText"/>
        <w:spacing w:before="100"/>
        <w:ind w:right="1"/>
        <w:jc w:val="center"/>
        <w:rPr>
          <w:spacing w:val="-4"/>
        </w:rPr>
      </w:pPr>
    </w:p>
    <w:p w14:paraId="449E06E9" w14:textId="77777777" w:rsidR="00CD32DC" w:rsidRDefault="00CD32DC">
      <w:pPr>
        <w:pStyle w:val="BodyText"/>
        <w:spacing w:before="100"/>
        <w:ind w:right="1"/>
        <w:jc w:val="center"/>
        <w:rPr>
          <w:spacing w:val="-4"/>
        </w:rPr>
      </w:pPr>
    </w:p>
    <w:p w14:paraId="180F4557" w14:textId="77777777" w:rsidR="00CD32DC" w:rsidRDefault="00CD32DC">
      <w:pPr>
        <w:pStyle w:val="BodyText"/>
        <w:spacing w:before="100"/>
        <w:ind w:right="1"/>
        <w:jc w:val="center"/>
        <w:rPr>
          <w:spacing w:val="-4"/>
        </w:rPr>
      </w:pPr>
    </w:p>
    <w:p w14:paraId="7EF109B0" w14:textId="77777777" w:rsidR="004D3003" w:rsidRDefault="004D3003">
      <w:pPr>
        <w:pStyle w:val="BodyText"/>
        <w:jc w:val="center"/>
        <w:sectPr w:rsidR="004D3003">
          <w:type w:val="continuous"/>
          <w:pgSz w:w="12240" w:h="15840"/>
          <w:pgMar w:top="1820" w:right="1440" w:bottom="280" w:left="1080" w:header="720" w:footer="720" w:gutter="0"/>
          <w:cols w:space="720"/>
        </w:sectPr>
      </w:pPr>
    </w:p>
    <w:p w14:paraId="000D9B54" w14:textId="77777777" w:rsidR="004D3003" w:rsidRDefault="00000000">
      <w:pPr>
        <w:pStyle w:val="Heading1"/>
        <w:spacing w:before="60"/>
        <w:ind w:left="3201"/>
      </w:pPr>
      <w:r>
        <w:lastRenderedPageBreak/>
        <w:t>Introduction</w:t>
      </w:r>
      <w:r>
        <w:rPr>
          <w:spacing w:val="-4"/>
        </w:rPr>
        <w:t xml:space="preserve"> </w:t>
      </w:r>
      <w:r>
        <w:t>and</w:t>
      </w:r>
      <w:r>
        <w:rPr>
          <w:spacing w:val="-3"/>
        </w:rPr>
        <w:t xml:space="preserve"> </w:t>
      </w:r>
      <w:r>
        <w:t>Literature</w:t>
      </w:r>
      <w:r>
        <w:rPr>
          <w:spacing w:val="-3"/>
        </w:rPr>
        <w:t xml:space="preserve"> </w:t>
      </w:r>
      <w:r>
        <w:rPr>
          <w:spacing w:val="-2"/>
        </w:rPr>
        <w:t>Review</w:t>
      </w:r>
    </w:p>
    <w:p w14:paraId="250C98B2" w14:textId="77777777" w:rsidR="004D3003" w:rsidRDefault="00000000">
      <w:pPr>
        <w:pStyle w:val="BodyText"/>
        <w:ind w:firstLine="720"/>
      </w:pPr>
      <w:r>
        <w:t>The Flint Water Crisis represents one of the most widely documented public health tragedies in recent United States history. The scale of the crisis, however, exceeds that of a pure infrastructural failure; in fact, it is also a social justice crisis. In April 2014, the City of Flint, Michigan switched its municipal water source from treated water supplied by Detroit to the Flint River as a cost-saving measure. The Flint River, a body of water that lacked sufficient treatment for everyday usage, supplied the community through the city’s outdated distribution infrastructure.</w:t>
      </w:r>
      <w:r>
        <w:rPr>
          <w:spacing w:val="-3"/>
        </w:rPr>
        <w:t xml:space="preserve"> </w:t>
      </w:r>
      <w:r>
        <w:t>The</w:t>
      </w:r>
      <w:r>
        <w:rPr>
          <w:spacing w:val="-3"/>
        </w:rPr>
        <w:t xml:space="preserve"> </w:t>
      </w:r>
      <w:r>
        <w:t>cost-cutting</w:t>
      </w:r>
      <w:r>
        <w:rPr>
          <w:spacing w:val="-3"/>
        </w:rPr>
        <w:t xml:space="preserve"> </w:t>
      </w:r>
      <w:r>
        <w:t>measure</w:t>
      </w:r>
      <w:r>
        <w:rPr>
          <w:spacing w:val="-3"/>
        </w:rPr>
        <w:t xml:space="preserve"> </w:t>
      </w:r>
      <w:r>
        <w:t>then</w:t>
      </w:r>
      <w:r>
        <w:rPr>
          <w:spacing w:val="-3"/>
        </w:rPr>
        <w:t xml:space="preserve"> </w:t>
      </w:r>
      <w:r>
        <w:t>led</w:t>
      </w:r>
      <w:r>
        <w:rPr>
          <w:spacing w:val="-3"/>
        </w:rPr>
        <w:t xml:space="preserve"> </w:t>
      </w:r>
      <w:r>
        <w:t>to</w:t>
      </w:r>
      <w:r>
        <w:rPr>
          <w:spacing w:val="-3"/>
        </w:rPr>
        <w:t xml:space="preserve"> </w:t>
      </w:r>
      <w:r>
        <w:t>widespread</w:t>
      </w:r>
      <w:r>
        <w:rPr>
          <w:spacing w:val="-3"/>
        </w:rPr>
        <w:t xml:space="preserve"> </w:t>
      </w:r>
      <w:r>
        <w:t>corrosion</w:t>
      </w:r>
      <w:r>
        <w:rPr>
          <w:spacing w:val="-3"/>
        </w:rPr>
        <w:t xml:space="preserve"> </w:t>
      </w:r>
      <w:r>
        <w:t>of</w:t>
      </w:r>
      <w:r>
        <w:rPr>
          <w:spacing w:val="-3"/>
        </w:rPr>
        <w:t xml:space="preserve"> </w:t>
      </w:r>
      <w:r>
        <w:t>the</w:t>
      </w:r>
      <w:r>
        <w:rPr>
          <w:spacing w:val="-3"/>
        </w:rPr>
        <w:t xml:space="preserve"> </w:t>
      </w:r>
      <w:r>
        <w:t>aging</w:t>
      </w:r>
      <w:r>
        <w:rPr>
          <w:spacing w:val="-3"/>
        </w:rPr>
        <w:t xml:space="preserve"> </w:t>
      </w:r>
      <w:r>
        <w:t>lead</w:t>
      </w:r>
      <w:r>
        <w:rPr>
          <w:spacing w:val="-3"/>
        </w:rPr>
        <w:t xml:space="preserve"> </w:t>
      </w:r>
      <w:r>
        <w:t>pipes. The absence of corrosion control resulted in elevated lead concentrations in drinking water, increased blood lead levels among residents, particularly children, and severe long-term public health consequences (Hanna-Attisha et al., 2016).</w:t>
      </w:r>
    </w:p>
    <w:p w14:paraId="6F4A9A76" w14:textId="4F348F37" w:rsidR="004D3003" w:rsidRDefault="00000000">
      <w:pPr>
        <w:pStyle w:val="BodyText"/>
        <w:ind w:right="305" w:firstLine="720"/>
      </w:pPr>
      <w:r>
        <w:t>By now, a substantial amount of research has been done to document both the health impacts</w:t>
      </w:r>
      <w:r>
        <w:rPr>
          <w:spacing w:val="-1"/>
        </w:rPr>
        <w:t xml:space="preserve"> </w:t>
      </w:r>
      <w:r>
        <w:t>of</w:t>
      </w:r>
      <w:r>
        <w:rPr>
          <w:spacing w:val="-1"/>
        </w:rPr>
        <w:t xml:space="preserve"> </w:t>
      </w:r>
      <w:r>
        <w:t>lead</w:t>
      </w:r>
      <w:r>
        <w:rPr>
          <w:spacing w:val="-1"/>
        </w:rPr>
        <w:t xml:space="preserve"> </w:t>
      </w:r>
      <w:r>
        <w:t>exposure</w:t>
      </w:r>
      <w:r>
        <w:rPr>
          <w:spacing w:val="-1"/>
        </w:rPr>
        <w:t xml:space="preserve"> </w:t>
      </w:r>
      <w:r>
        <w:t>and</w:t>
      </w:r>
      <w:r>
        <w:rPr>
          <w:spacing w:val="-1"/>
        </w:rPr>
        <w:t xml:space="preserve"> </w:t>
      </w:r>
      <w:r>
        <w:t>the</w:t>
      </w:r>
      <w:r>
        <w:rPr>
          <w:spacing w:val="-1"/>
        </w:rPr>
        <w:t xml:space="preserve"> </w:t>
      </w:r>
      <w:r>
        <w:t>broader</w:t>
      </w:r>
      <w:r>
        <w:rPr>
          <w:spacing w:val="-1"/>
        </w:rPr>
        <w:t xml:space="preserve"> </w:t>
      </w:r>
      <w:r>
        <w:t>issue</w:t>
      </w:r>
      <w:r>
        <w:rPr>
          <w:spacing w:val="-1"/>
        </w:rPr>
        <w:t xml:space="preserve"> </w:t>
      </w:r>
      <w:r>
        <w:t>surrounding</w:t>
      </w:r>
      <w:r>
        <w:rPr>
          <w:spacing w:val="-1"/>
        </w:rPr>
        <w:t xml:space="preserve"> </w:t>
      </w:r>
      <w:r>
        <w:t>social</w:t>
      </w:r>
      <w:r>
        <w:rPr>
          <w:spacing w:val="-1"/>
        </w:rPr>
        <w:t xml:space="preserve"> </w:t>
      </w:r>
      <w:r>
        <w:t>justice</w:t>
      </w:r>
      <w:r>
        <w:rPr>
          <w:spacing w:val="-1"/>
        </w:rPr>
        <w:t xml:space="preserve"> </w:t>
      </w:r>
      <w:r>
        <w:t>and</w:t>
      </w:r>
      <w:r>
        <w:rPr>
          <w:spacing w:val="-1"/>
        </w:rPr>
        <w:t xml:space="preserve"> </w:t>
      </w:r>
      <w:r>
        <w:t>systemic</w:t>
      </w:r>
      <w:r>
        <w:rPr>
          <w:spacing w:val="-1"/>
        </w:rPr>
        <w:t xml:space="preserve"> </w:t>
      </w:r>
      <w:r>
        <w:t>racism that allowed the crisis to occur. Public health studies demonstrated significant invasive bodily harms done to adults and children alike, with disproportionate effects in low-income and predominantly non-White neighborhoods (Hanna-Attisha et al., 2016). Sociological and policy-oriented analyses have framed the Flint crisis as a textbook case of environmental violence, emphasizing the role of systemic political failures which willingly sacrificed the vulnerable</w:t>
      </w:r>
      <w:r>
        <w:rPr>
          <w:spacing w:val="-4"/>
        </w:rPr>
        <w:t xml:space="preserve"> </w:t>
      </w:r>
      <w:r>
        <w:t>and</w:t>
      </w:r>
      <w:r>
        <w:rPr>
          <w:spacing w:val="-4"/>
        </w:rPr>
        <w:t xml:space="preserve"> </w:t>
      </w:r>
      <w:r>
        <w:t>marginalized</w:t>
      </w:r>
      <w:r>
        <w:rPr>
          <w:spacing w:val="-4"/>
        </w:rPr>
        <w:t xml:space="preserve"> </w:t>
      </w:r>
      <w:r>
        <w:t>communities</w:t>
      </w:r>
      <w:r>
        <w:rPr>
          <w:spacing w:val="-4"/>
        </w:rPr>
        <w:t xml:space="preserve"> </w:t>
      </w:r>
      <w:r>
        <w:t>in</w:t>
      </w:r>
      <w:r>
        <w:rPr>
          <w:spacing w:val="-4"/>
        </w:rPr>
        <w:t xml:space="preserve"> </w:t>
      </w:r>
      <w:r>
        <w:t>favor</w:t>
      </w:r>
      <w:r>
        <w:rPr>
          <w:spacing w:val="-4"/>
        </w:rPr>
        <w:t xml:space="preserve"> </w:t>
      </w:r>
      <w:r>
        <w:t>of</w:t>
      </w:r>
      <w:r>
        <w:rPr>
          <w:spacing w:val="-4"/>
        </w:rPr>
        <w:t xml:space="preserve"> </w:t>
      </w:r>
      <w:r>
        <w:t>fiscal</w:t>
      </w:r>
      <w:r>
        <w:rPr>
          <w:spacing w:val="-4"/>
        </w:rPr>
        <w:t xml:space="preserve"> </w:t>
      </w:r>
      <w:r>
        <w:t>solvency</w:t>
      </w:r>
      <w:r>
        <w:rPr>
          <w:spacing w:val="-4"/>
        </w:rPr>
        <w:t xml:space="preserve"> </w:t>
      </w:r>
      <w:r>
        <w:t>and</w:t>
      </w:r>
      <w:r>
        <w:rPr>
          <w:spacing w:val="-4"/>
        </w:rPr>
        <w:t xml:space="preserve"> </w:t>
      </w:r>
      <w:r>
        <w:t>short-term</w:t>
      </w:r>
      <w:r>
        <w:rPr>
          <w:spacing w:val="-4"/>
        </w:rPr>
        <w:t xml:space="preserve"> </w:t>
      </w:r>
      <w:r>
        <w:t>economic gains (Pulido, 2016; Sadler &amp; Highsmith, 2016).</w:t>
      </w:r>
    </w:p>
    <w:p w14:paraId="1C149861" w14:textId="659DDCD4" w:rsidR="004D3003" w:rsidRDefault="00000000">
      <w:pPr>
        <w:pStyle w:val="BodyText"/>
        <w:ind w:firstLine="720"/>
      </w:pPr>
      <w:r>
        <w:t>Then,</w:t>
      </w:r>
      <w:r>
        <w:rPr>
          <w:spacing w:val="-4"/>
        </w:rPr>
        <w:t xml:space="preserve"> </w:t>
      </w:r>
      <w:r>
        <w:t>it</w:t>
      </w:r>
      <w:r>
        <w:rPr>
          <w:spacing w:val="-4"/>
        </w:rPr>
        <w:t xml:space="preserve"> </w:t>
      </w:r>
      <w:r>
        <w:t>becomes</w:t>
      </w:r>
      <w:r>
        <w:rPr>
          <w:spacing w:val="-4"/>
        </w:rPr>
        <w:t xml:space="preserve"> </w:t>
      </w:r>
      <w:r>
        <w:t>clear</w:t>
      </w:r>
      <w:r>
        <w:rPr>
          <w:spacing w:val="-4"/>
        </w:rPr>
        <w:t xml:space="preserve"> </w:t>
      </w:r>
      <w:r>
        <w:t>that</w:t>
      </w:r>
      <w:r>
        <w:rPr>
          <w:spacing w:val="-4"/>
        </w:rPr>
        <w:t xml:space="preserve"> </w:t>
      </w:r>
      <w:r>
        <w:t>an</w:t>
      </w:r>
      <w:r>
        <w:rPr>
          <w:spacing w:val="-4"/>
        </w:rPr>
        <w:t xml:space="preserve"> </w:t>
      </w:r>
      <w:r>
        <w:t>issue</w:t>
      </w:r>
      <w:r>
        <w:rPr>
          <w:spacing w:val="-4"/>
        </w:rPr>
        <w:t xml:space="preserve"> </w:t>
      </w:r>
      <w:r>
        <w:t>of</w:t>
      </w:r>
      <w:r>
        <w:rPr>
          <w:spacing w:val="-4"/>
        </w:rPr>
        <w:t xml:space="preserve"> </w:t>
      </w:r>
      <w:r>
        <w:t>this</w:t>
      </w:r>
      <w:r>
        <w:rPr>
          <w:spacing w:val="-4"/>
        </w:rPr>
        <w:t xml:space="preserve"> </w:t>
      </w:r>
      <w:r>
        <w:t>gravity</w:t>
      </w:r>
      <w:r>
        <w:rPr>
          <w:spacing w:val="-4"/>
        </w:rPr>
        <w:t xml:space="preserve"> </w:t>
      </w:r>
      <w:r>
        <w:t>warrants</w:t>
      </w:r>
      <w:r>
        <w:rPr>
          <w:spacing w:val="-4"/>
        </w:rPr>
        <w:t xml:space="preserve"> </w:t>
      </w:r>
      <w:r>
        <w:t>extensive</w:t>
      </w:r>
      <w:r>
        <w:rPr>
          <w:spacing w:val="-4"/>
        </w:rPr>
        <w:t xml:space="preserve"> </w:t>
      </w:r>
      <w:r>
        <w:t>study.</w:t>
      </w:r>
      <w:r>
        <w:rPr>
          <w:spacing w:val="-4"/>
        </w:rPr>
        <w:t xml:space="preserve"> </w:t>
      </w:r>
      <w:r>
        <w:t>The</w:t>
      </w:r>
      <w:r>
        <w:rPr>
          <w:spacing w:val="-4"/>
        </w:rPr>
        <w:t xml:space="preserve"> </w:t>
      </w:r>
      <w:r>
        <w:t>basis</w:t>
      </w:r>
      <w:r>
        <w:rPr>
          <w:spacing w:val="-4"/>
        </w:rPr>
        <w:t xml:space="preserve"> </w:t>
      </w:r>
      <w:r>
        <w:t xml:space="preserve">of </w:t>
      </w:r>
      <w:r w:rsidR="00FB3BB6">
        <w:t>t</w:t>
      </w:r>
      <w:r>
        <w:t>his project, produced by Sadler et al., examines the role of infrastructure and hydraulic system behavior</w:t>
      </w:r>
      <w:r>
        <w:rPr>
          <w:spacing w:val="-2"/>
        </w:rPr>
        <w:t xml:space="preserve"> </w:t>
      </w:r>
      <w:r>
        <w:t>in</w:t>
      </w:r>
      <w:r>
        <w:rPr>
          <w:spacing w:val="-2"/>
        </w:rPr>
        <w:t xml:space="preserve"> </w:t>
      </w:r>
      <w:r>
        <w:t>shaping</w:t>
      </w:r>
      <w:r>
        <w:rPr>
          <w:spacing w:val="-2"/>
        </w:rPr>
        <w:t xml:space="preserve"> </w:t>
      </w:r>
      <w:r>
        <w:t>water</w:t>
      </w:r>
      <w:r>
        <w:rPr>
          <w:spacing w:val="-2"/>
        </w:rPr>
        <w:t xml:space="preserve"> </w:t>
      </w:r>
      <w:r>
        <w:t>quality</w:t>
      </w:r>
      <w:r>
        <w:rPr>
          <w:spacing w:val="-2"/>
        </w:rPr>
        <w:t xml:space="preserve"> </w:t>
      </w:r>
      <w:r>
        <w:t>risk.</w:t>
      </w:r>
      <w:r>
        <w:rPr>
          <w:spacing w:val="-2"/>
        </w:rPr>
        <w:t xml:space="preserve"> </w:t>
      </w:r>
      <w:r>
        <w:t>This</w:t>
      </w:r>
      <w:r>
        <w:rPr>
          <w:spacing w:val="-2"/>
        </w:rPr>
        <w:t xml:space="preserve"> </w:t>
      </w:r>
      <w:r>
        <w:t>modeling</w:t>
      </w:r>
      <w:r>
        <w:rPr>
          <w:spacing w:val="-2"/>
        </w:rPr>
        <w:t xml:space="preserve"> </w:t>
      </w:r>
      <w:r>
        <w:t>research</w:t>
      </w:r>
      <w:r>
        <w:rPr>
          <w:spacing w:val="-2"/>
        </w:rPr>
        <w:t xml:space="preserve"> </w:t>
      </w:r>
      <w:r>
        <w:t>uses</w:t>
      </w:r>
      <w:r>
        <w:rPr>
          <w:spacing w:val="-2"/>
        </w:rPr>
        <w:t xml:space="preserve"> </w:t>
      </w:r>
      <w:r>
        <w:t>simulated</w:t>
      </w:r>
      <w:r>
        <w:rPr>
          <w:spacing w:val="-2"/>
        </w:rPr>
        <w:t xml:space="preserve"> </w:t>
      </w:r>
      <w:r>
        <w:t>water</w:t>
      </w:r>
      <w:r>
        <w:rPr>
          <w:spacing w:val="-2"/>
        </w:rPr>
        <w:t xml:space="preserve"> </w:t>
      </w:r>
      <w:r>
        <w:t>distribution systems to examine how infrastructure configuration affects water age, a system-level metric related to disinfectant decay, corrosion potential, and microbial growth (Sadler et al., 2025).</w:t>
      </w:r>
    </w:p>
    <w:p w14:paraId="5D269049" w14:textId="77777777" w:rsidR="004D3003" w:rsidRDefault="00000000">
      <w:pPr>
        <w:pStyle w:val="BodyText"/>
        <w:ind w:right="2"/>
      </w:pPr>
      <w:r>
        <w:t>Importantly, water age is used as an index involving crucial elements and measuring the quality of water. It is an engineering metric commonly used to assess distribution system performance and</w:t>
      </w:r>
      <w:r>
        <w:rPr>
          <w:spacing w:val="-2"/>
        </w:rPr>
        <w:t xml:space="preserve"> </w:t>
      </w:r>
      <w:r>
        <w:t>potential</w:t>
      </w:r>
      <w:r>
        <w:rPr>
          <w:spacing w:val="-2"/>
        </w:rPr>
        <w:t xml:space="preserve"> </w:t>
      </w:r>
      <w:r>
        <w:t>water</w:t>
      </w:r>
      <w:r>
        <w:rPr>
          <w:spacing w:val="-2"/>
        </w:rPr>
        <w:t xml:space="preserve"> </w:t>
      </w:r>
      <w:r>
        <w:t>quality</w:t>
      </w:r>
      <w:r>
        <w:rPr>
          <w:spacing w:val="-2"/>
        </w:rPr>
        <w:t xml:space="preserve"> </w:t>
      </w:r>
      <w:r>
        <w:t>degradation.</w:t>
      </w:r>
      <w:r>
        <w:rPr>
          <w:spacing w:val="-2"/>
        </w:rPr>
        <w:t xml:space="preserve"> </w:t>
      </w:r>
      <w:r>
        <w:t>This</w:t>
      </w:r>
      <w:r>
        <w:rPr>
          <w:spacing w:val="-2"/>
        </w:rPr>
        <w:t xml:space="preserve"> </w:t>
      </w:r>
      <w:r>
        <w:t>distinction</w:t>
      </w:r>
      <w:r>
        <w:rPr>
          <w:spacing w:val="-2"/>
        </w:rPr>
        <w:t xml:space="preserve"> </w:t>
      </w:r>
      <w:r>
        <w:t>has</w:t>
      </w:r>
      <w:r>
        <w:rPr>
          <w:spacing w:val="-2"/>
        </w:rPr>
        <w:t xml:space="preserve"> </w:t>
      </w:r>
      <w:r>
        <w:t>important</w:t>
      </w:r>
      <w:r>
        <w:rPr>
          <w:spacing w:val="-2"/>
        </w:rPr>
        <w:t xml:space="preserve"> </w:t>
      </w:r>
      <w:r>
        <w:t>implications</w:t>
      </w:r>
      <w:r>
        <w:rPr>
          <w:spacing w:val="-2"/>
        </w:rPr>
        <w:t xml:space="preserve"> </w:t>
      </w:r>
      <w:r>
        <w:t>for</w:t>
      </w:r>
      <w:r>
        <w:rPr>
          <w:spacing w:val="-2"/>
        </w:rPr>
        <w:t xml:space="preserve"> </w:t>
      </w:r>
      <w:r>
        <w:t>empirical analysis.</w:t>
      </w:r>
      <w:r>
        <w:rPr>
          <w:spacing w:val="-3"/>
        </w:rPr>
        <w:t xml:space="preserve"> </w:t>
      </w:r>
      <w:r>
        <w:t>Water</w:t>
      </w:r>
      <w:r>
        <w:rPr>
          <w:spacing w:val="-3"/>
        </w:rPr>
        <w:t xml:space="preserve"> </w:t>
      </w:r>
      <w:r>
        <w:t>age</w:t>
      </w:r>
      <w:r>
        <w:rPr>
          <w:spacing w:val="-3"/>
        </w:rPr>
        <w:t xml:space="preserve"> </w:t>
      </w:r>
      <w:r>
        <w:t>is</w:t>
      </w:r>
      <w:r>
        <w:rPr>
          <w:spacing w:val="-3"/>
        </w:rPr>
        <w:t xml:space="preserve"> </w:t>
      </w:r>
      <w:r>
        <w:t>generated</w:t>
      </w:r>
      <w:r>
        <w:rPr>
          <w:spacing w:val="-3"/>
        </w:rPr>
        <w:t xml:space="preserve"> </w:t>
      </w:r>
      <w:r>
        <w:t>through</w:t>
      </w:r>
      <w:r>
        <w:rPr>
          <w:spacing w:val="-3"/>
        </w:rPr>
        <w:t xml:space="preserve"> </w:t>
      </w:r>
      <w:r>
        <w:t>hydraulic</w:t>
      </w:r>
      <w:r>
        <w:rPr>
          <w:spacing w:val="-3"/>
        </w:rPr>
        <w:t xml:space="preserve"> </w:t>
      </w:r>
      <w:r>
        <w:t>simulation</w:t>
      </w:r>
      <w:r>
        <w:rPr>
          <w:spacing w:val="-3"/>
        </w:rPr>
        <w:t xml:space="preserve"> </w:t>
      </w:r>
      <w:r>
        <w:t>and</w:t>
      </w:r>
      <w:r>
        <w:rPr>
          <w:spacing w:val="-3"/>
        </w:rPr>
        <w:t xml:space="preserve"> </w:t>
      </w:r>
      <w:r>
        <w:t>is</w:t>
      </w:r>
      <w:r>
        <w:rPr>
          <w:spacing w:val="-3"/>
        </w:rPr>
        <w:t xml:space="preserve"> </w:t>
      </w:r>
      <w:r>
        <w:t>driven</w:t>
      </w:r>
      <w:r>
        <w:rPr>
          <w:spacing w:val="-3"/>
        </w:rPr>
        <w:t xml:space="preserve"> </w:t>
      </w:r>
      <w:r>
        <w:t>primarily</w:t>
      </w:r>
      <w:r>
        <w:rPr>
          <w:spacing w:val="-3"/>
        </w:rPr>
        <w:t xml:space="preserve"> </w:t>
      </w:r>
      <w:r>
        <w:t>by</w:t>
      </w:r>
      <w:r>
        <w:rPr>
          <w:spacing w:val="-3"/>
        </w:rPr>
        <w:t xml:space="preserve"> </w:t>
      </w:r>
      <w:r>
        <w:t>network topology, pipe volume, and flow patterns. Social variables may influence water age indirectly, through their association with infrastructure placement and system configuration, but strong linear</w:t>
      </w:r>
      <w:r>
        <w:rPr>
          <w:spacing w:val="-4"/>
        </w:rPr>
        <w:t xml:space="preserve"> </w:t>
      </w:r>
      <w:r>
        <w:t>relationships</w:t>
      </w:r>
      <w:r>
        <w:rPr>
          <w:spacing w:val="-4"/>
        </w:rPr>
        <w:t xml:space="preserve"> </w:t>
      </w:r>
      <w:r>
        <w:t>between</w:t>
      </w:r>
      <w:r>
        <w:rPr>
          <w:spacing w:val="-4"/>
        </w:rPr>
        <w:t xml:space="preserve"> </w:t>
      </w:r>
      <w:r>
        <w:t>neighborhood</w:t>
      </w:r>
      <w:r>
        <w:rPr>
          <w:spacing w:val="-4"/>
        </w:rPr>
        <w:t xml:space="preserve"> </w:t>
      </w:r>
      <w:r>
        <w:t>socioeconomic</w:t>
      </w:r>
      <w:r>
        <w:rPr>
          <w:spacing w:val="-4"/>
        </w:rPr>
        <w:t xml:space="preserve"> </w:t>
      </w:r>
      <w:r>
        <w:t>vulnerability</w:t>
      </w:r>
      <w:r>
        <w:rPr>
          <w:spacing w:val="-4"/>
        </w:rPr>
        <w:t xml:space="preserve"> </w:t>
      </w:r>
      <w:r>
        <w:t>and</w:t>
      </w:r>
      <w:r>
        <w:rPr>
          <w:spacing w:val="-4"/>
        </w:rPr>
        <w:t xml:space="preserve"> </w:t>
      </w:r>
      <w:r>
        <w:t>water</w:t>
      </w:r>
      <w:r>
        <w:rPr>
          <w:spacing w:val="-4"/>
        </w:rPr>
        <w:t xml:space="preserve"> </w:t>
      </w:r>
      <w:r>
        <w:t>age</w:t>
      </w:r>
      <w:r>
        <w:rPr>
          <w:spacing w:val="-4"/>
        </w:rPr>
        <w:t xml:space="preserve"> </w:t>
      </w:r>
      <w:r>
        <w:t>should</w:t>
      </w:r>
      <w:r>
        <w:rPr>
          <w:spacing w:val="-4"/>
        </w:rPr>
        <w:t xml:space="preserve"> </w:t>
      </w:r>
      <w:r>
        <w:t>not be assumed.</w:t>
      </w:r>
    </w:p>
    <w:p w14:paraId="2B7A3290" w14:textId="77777777" w:rsidR="004D3003" w:rsidRDefault="00000000">
      <w:pPr>
        <w:pStyle w:val="BodyText"/>
        <w:ind w:firstLine="720"/>
      </w:pPr>
      <w:r>
        <w:t>The present study builds on the hydraulic study presented in the literature. It asks a narrower</w:t>
      </w:r>
      <w:r>
        <w:rPr>
          <w:spacing w:val="-5"/>
        </w:rPr>
        <w:t xml:space="preserve"> </w:t>
      </w:r>
      <w:r>
        <w:t>empirical</w:t>
      </w:r>
      <w:r>
        <w:rPr>
          <w:spacing w:val="-5"/>
        </w:rPr>
        <w:t xml:space="preserve"> </w:t>
      </w:r>
      <w:r>
        <w:t>question.</w:t>
      </w:r>
      <w:r>
        <w:rPr>
          <w:spacing w:val="-5"/>
        </w:rPr>
        <w:t xml:space="preserve"> </w:t>
      </w:r>
      <w:r>
        <w:t>Rather</w:t>
      </w:r>
      <w:r>
        <w:rPr>
          <w:spacing w:val="-5"/>
        </w:rPr>
        <w:t xml:space="preserve"> </w:t>
      </w:r>
      <w:r>
        <w:t>than</w:t>
      </w:r>
      <w:r>
        <w:rPr>
          <w:spacing w:val="-5"/>
        </w:rPr>
        <w:t xml:space="preserve"> </w:t>
      </w:r>
      <w:r>
        <w:t>evaluating</w:t>
      </w:r>
      <w:r>
        <w:rPr>
          <w:spacing w:val="-5"/>
        </w:rPr>
        <w:t xml:space="preserve"> </w:t>
      </w:r>
      <w:r>
        <w:t>infrastructure</w:t>
      </w:r>
      <w:r>
        <w:rPr>
          <w:spacing w:val="-5"/>
        </w:rPr>
        <w:t xml:space="preserve"> </w:t>
      </w:r>
      <w:r>
        <w:t>“rightsizing”</w:t>
      </w:r>
      <w:r>
        <w:rPr>
          <w:spacing w:val="-5"/>
        </w:rPr>
        <w:t xml:space="preserve"> </w:t>
      </w:r>
      <w:r>
        <w:t>scenarios,</w:t>
      </w:r>
      <w:r>
        <w:rPr>
          <w:spacing w:val="-5"/>
        </w:rPr>
        <w:t xml:space="preserve"> </w:t>
      </w:r>
      <w:r>
        <w:t>which are hypothetical pipe rightsizing measures the authors of the hydraulic study employed to assess the improvements to the water age, this analysis focuses exclusively on the present system conditions and examines whether neighborhood socioeconomic characteristics and hydraulic performance explain meaningful variation in mean water age across Flint census tracts.</w:t>
      </w:r>
    </w:p>
    <w:p w14:paraId="09F28353" w14:textId="77777777" w:rsidR="004D3003" w:rsidRDefault="00000000">
      <w:pPr>
        <w:pStyle w:val="BodyText"/>
        <w:ind w:firstLine="720"/>
      </w:pPr>
      <w:r>
        <w:t>Thus, this study seeks to investigate the following questions: under the current system conditions in Flint, how are neighborhood socioeconomic characteristics and hydraulic performance</w:t>
      </w:r>
      <w:r>
        <w:rPr>
          <w:spacing w:val="-4"/>
        </w:rPr>
        <w:t xml:space="preserve"> </w:t>
      </w:r>
      <w:r>
        <w:t>associated</w:t>
      </w:r>
      <w:r>
        <w:rPr>
          <w:spacing w:val="-4"/>
        </w:rPr>
        <w:t xml:space="preserve"> </w:t>
      </w:r>
      <w:r>
        <w:t>with</w:t>
      </w:r>
      <w:r>
        <w:rPr>
          <w:spacing w:val="-4"/>
        </w:rPr>
        <w:t xml:space="preserve"> </w:t>
      </w:r>
      <w:r>
        <w:t>mean</w:t>
      </w:r>
      <w:r>
        <w:rPr>
          <w:spacing w:val="-4"/>
        </w:rPr>
        <w:t xml:space="preserve"> </w:t>
      </w:r>
      <w:r>
        <w:t>water</w:t>
      </w:r>
      <w:r>
        <w:rPr>
          <w:spacing w:val="-4"/>
        </w:rPr>
        <w:t xml:space="preserve"> </w:t>
      </w:r>
      <w:r>
        <w:t>age,</w:t>
      </w:r>
      <w:r>
        <w:rPr>
          <w:spacing w:val="-4"/>
        </w:rPr>
        <w:t xml:space="preserve"> </w:t>
      </w:r>
      <w:r>
        <w:t>and</w:t>
      </w:r>
      <w:r>
        <w:rPr>
          <w:spacing w:val="-4"/>
        </w:rPr>
        <w:t xml:space="preserve"> </w:t>
      </w:r>
      <w:r>
        <w:t>do</w:t>
      </w:r>
      <w:r>
        <w:rPr>
          <w:spacing w:val="-4"/>
        </w:rPr>
        <w:t xml:space="preserve"> </w:t>
      </w:r>
      <w:r>
        <w:t>these</w:t>
      </w:r>
      <w:r>
        <w:rPr>
          <w:spacing w:val="-4"/>
        </w:rPr>
        <w:t xml:space="preserve"> </w:t>
      </w:r>
      <w:r>
        <w:t>variables</w:t>
      </w:r>
      <w:r>
        <w:rPr>
          <w:spacing w:val="-4"/>
        </w:rPr>
        <w:t xml:space="preserve"> </w:t>
      </w:r>
      <w:r>
        <w:t>explain</w:t>
      </w:r>
      <w:r>
        <w:rPr>
          <w:spacing w:val="-4"/>
        </w:rPr>
        <w:t xml:space="preserve"> </w:t>
      </w:r>
      <w:r>
        <w:t>substantial</w:t>
      </w:r>
      <w:r>
        <w:rPr>
          <w:spacing w:val="-4"/>
        </w:rPr>
        <w:t xml:space="preserve"> </w:t>
      </w:r>
      <w:r>
        <w:t>variation in water age across census tracts?</w:t>
      </w:r>
    </w:p>
    <w:p w14:paraId="37A4C5CB" w14:textId="77777777" w:rsidR="004D3003" w:rsidRDefault="004D3003">
      <w:pPr>
        <w:pStyle w:val="BodyText"/>
        <w:sectPr w:rsidR="004D3003">
          <w:pgSz w:w="12240" w:h="15840"/>
          <w:pgMar w:top="1380" w:right="1440" w:bottom="280" w:left="1080" w:header="720" w:footer="720" w:gutter="0"/>
          <w:cols w:space="720"/>
        </w:sectPr>
      </w:pPr>
    </w:p>
    <w:p w14:paraId="4744D0E4" w14:textId="77777777" w:rsidR="004D3003" w:rsidRDefault="00000000">
      <w:pPr>
        <w:pStyle w:val="Heading1"/>
        <w:spacing w:before="60"/>
        <w:ind w:left="3959"/>
      </w:pPr>
      <w:r>
        <w:lastRenderedPageBreak/>
        <w:t xml:space="preserve">Methods and </w:t>
      </w:r>
      <w:r>
        <w:rPr>
          <w:spacing w:val="-2"/>
        </w:rPr>
        <w:t>Sample</w:t>
      </w:r>
    </w:p>
    <w:p w14:paraId="360E93FE" w14:textId="77777777" w:rsidR="004D3003" w:rsidRDefault="00000000">
      <w:pPr>
        <w:pStyle w:val="BodyText"/>
        <w:ind w:firstLine="720"/>
      </w:pPr>
      <w:r>
        <w:t>The</w:t>
      </w:r>
      <w:r>
        <w:rPr>
          <w:spacing w:val="-3"/>
        </w:rPr>
        <w:t xml:space="preserve"> </w:t>
      </w:r>
      <w:r>
        <w:t>unit</w:t>
      </w:r>
      <w:r>
        <w:rPr>
          <w:spacing w:val="-3"/>
        </w:rPr>
        <w:t xml:space="preserve"> </w:t>
      </w:r>
      <w:r>
        <w:t>of</w:t>
      </w:r>
      <w:r>
        <w:rPr>
          <w:spacing w:val="-3"/>
        </w:rPr>
        <w:t xml:space="preserve"> </w:t>
      </w:r>
      <w:r>
        <w:t>analysis</w:t>
      </w:r>
      <w:r>
        <w:rPr>
          <w:spacing w:val="-3"/>
        </w:rPr>
        <w:t xml:space="preserve"> </w:t>
      </w:r>
      <w:r>
        <w:t>for</w:t>
      </w:r>
      <w:r>
        <w:rPr>
          <w:spacing w:val="-3"/>
        </w:rPr>
        <w:t xml:space="preserve"> </w:t>
      </w:r>
      <w:r>
        <w:t>this</w:t>
      </w:r>
      <w:r>
        <w:rPr>
          <w:spacing w:val="-3"/>
        </w:rPr>
        <w:t xml:space="preserve"> </w:t>
      </w:r>
      <w:r>
        <w:t>study</w:t>
      </w:r>
      <w:r>
        <w:rPr>
          <w:spacing w:val="-3"/>
        </w:rPr>
        <w:t xml:space="preserve"> </w:t>
      </w:r>
      <w:r>
        <w:t>is</w:t>
      </w:r>
      <w:r>
        <w:rPr>
          <w:spacing w:val="-3"/>
        </w:rPr>
        <w:t xml:space="preserve"> </w:t>
      </w:r>
      <w:r>
        <w:t>the</w:t>
      </w:r>
      <w:r>
        <w:rPr>
          <w:spacing w:val="-3"/>
        </w:rPr>
        <w:t xml:space="preserve"> </w:t>
      </w:r>
      <w:r>
        <w:t>census</w:t>
      </w:r>
      <w:r>
        <w:rPr>
          <w:spacing w:val="-3"/>
        </w:rPr>
        <w:t xml:space="preserve"> </w:t>
      </w:r>
      <w:r>
        <w:t>tract.</w:t>
      </w:r>
      <w:r>
        <w:rPr>
          <w:spacing w:val="-3"/>
        </w:rPr>
        <w:t xml:space="preserve"> </w:t>
      </w:r>
      <w:r>
        <w:t>The</w:t>
      </w:r>
      <w:r>
        <w:rPr>
          <w:spacing w:val="-3"/>
        </w:rPr>
        <w:t xml:space="preserve"> </w:t>
      </w:r>
      <w:r>
        <w:t>dataset</w:t>
      </w:r>
      <w:r>
        <w:rPr>
          <w:spacing w:val="-3"/>
        </w:rPr>
        <w:t xml:space="preserve"> </w:t>
      </w:r>
      <w:r>
        <w:t>combines</w:t>
      </w:r>
      <w:r>
        <w:rPr>
          <w:spacing w:val="-3"/>
        </w:rPr>
        <w:t xml:space="preserve"> </w:t>
      </w:r>
      <w:r>
        <w:t>hydraulic simulation outputs with neighborhood-level socioeconomic and demographic indicators.</w:t>
      </w:r>
    </w:p>
    <w:p w14:paraId="685056F4" w14:textId="77777777" w:rsidR="004D3003" w:rsidRDefault="00000000">
      <w:pPr>
        <w:pStyle w:val="BodyText"/>
        <w:ind w:right="305"/>
      </w:pPr>
      <w:r>
        <w:t>Hydraulic</w:t>
      </w:r>
      <w:r>
        <w:rPr>
          <w:spacing w:val="-4"/>
        </w:rPr>
        <w:t xml:space="preserve"> </w:t>
      </w:r>
      <w:r>
        <w:t>variables</w:t>
      </w:r>
      <w:r>
        <w:rPr>
          <w:spacing w:val="-4"/>
        </w:rPr>
        <w:t xml:space="preserve"> </w:t>
      </w:r>
      <w:r>
        <w:t>were</w:t>
      </w:r>
      <w:r>
        <w:rPr>
          <w:spacing w:val="-4"/>
        </w:rPr>
        <w:t xml:space="preserve"> </w:t>
      </w:r>
      <w:r>
        <w:t>derived</w:t>
      </w:r>
      <w:r>
        <w:rPr>
          <w:spacing w:val="-4"/>
        </w:rPr>
        <w:t xml:space="preserve"> </w:t>
      </w:r>
      <w:r>
        <w:t>from</w:t>
      </w:r>
      <w:r>
        <w:rPr>
          <w:spacing w:val="-4"/>
        </w:rPr>
        <w:t xml:space="preserve"> </w:t>
      </w:r>
      <w:r>
        <w:t>a</w:t>
      </w:r>
      <w:r>
        <w:rPr>
          <w:spacing w:val="-4"/>
        </w:rPr>
        <w:t xml:space="preserve"> </w:t>
      </w:r>
      <w:r>
        <w:t>calibrated</w:t>
      </w:r>
      <w:r>
        <w:rPr>
          <w:spacing w:val="-4"/>
        </w:rPr>
        <w:t xml:space="preserve"> </w:t>
      </w:r>
      <w:r>
        <w:t>distribution</w:t>
      </w:r>
      <w:r>
        <w:rPr>
          <w:spacing w:val="-4"/>
        </w:rPr>
        <w:t xml:space="preserve"> </w:t>
      </w:r>
      <w:r>
        <w:t>system</w:t>
      </w:r>
      <w:r>
        <w:rPr>
          <w:spacing w:val="-4"/>
        </w:rPr>
        <w:t xml:space="preserve"> </w:t>
      </w:r>
      <w:r>
        <w:t>model</w:t>
      </w:r>
      <w:r>
        <w:rPr>
          <w:spacing w:val="-4"/>
        </w:rPr>
        <w:t xml:space="preserve"> </w:t>
      </w:r>
      <w:r>
        <w:t>that</w:t>
      </w:r>
      <w:r>
        <w:rPr>
          <w:spacing w:val="-4"/>
        </w:rPr>
        <w:t xml:space="preserve"> </w:t>
      </w:r>
      <w:r>
        <w:t>simulates water movement throughout Flint’s network and computes water age at nodes over time.</w:t>
      </w:r>
    </w:p>
    <w:p w14:paraId="6D24CD1E" w14:textId="77777777" w:rsidR="004D3003" w:rsidRDefault="00000000">
      <w:pPr>
        <w:pStyle w:val="BodyText"/>
      </w:pPr>
      <w:r>
        <w:t>Node-level</w:t>
      </w:r>
      <w:r>
        <w:rPr>
          <w:spacing w:val="-4"/>
        </w:rPr>
        <w:t xml:space="preserve"> </w:t>
      </w:r>
      <w:r>
        <w:t>values</w:t>
      </w:r>
      <w:r>
        <w:rPr>
          <w:spacing w:val="-4"/>
        </w:rPr>
        <w:t xml:space="preserve"> </w:t>
      </w:r>
      <w:r>
        <w:t>were</w:t>
      </w:r>
      <w:r>
        <w:rPr>
          <w:spacing w:val="-4"/>
        </w:rPr>
        <w:t xml:space="preserve"> </w:t>
      </w:r>
      <w:r>
        <w:t>aggregated</w:t>
      </w:r>
      <w:r>
        <w:rPr>
          <w:spacing w:val="-4"/>
        </w:rPr>
        <w:t xml:space="preserve"> </w:t>
      </w:r>
      <w:r>
        <w:t>to</w:t>
      </w:r>
      <w:r>
        <w:rPr>
          <w:spacing w:val="-4"/>
        </w:rPr>
        <w:t xml:space="preserve"> </w:t>
      </w:r>
      <w:r>
        <w:t>the</w:t>
      </w:r>
      <w:r>
        <w:rPr>
          <w:spacing w:val="-4"/>
        </w:rPr>
        <w:t xml:space="preserve"> </w:t>
      </w:r>
      <w:r>
        <w:t>census-tract</w:t>
      </w:r>
      <w:r>
        <w:rPr>
          <w:spacing w:val="-4"/>
        </w:rPr>
        <w:t xml:space="preserve"> </w:t>
      </w:r>
      <w:r>
        <w:t>level</w:t>
      </w:r>
      <w:r>
        <w:rPr>
          <w:spacing w:val="-4"/>
        </w:rPr>
        <w:t xml:space="preserve"> </w:t>
      </w:r>
      <w:r>
        <w:t>(Sadler</w:t>
      </w:r>
      <w:r>
        <w:rPr>
          <w:spacing w:val="-4"/>
        </w:rPr>
        <w:t xml:space="preserve"> </w:t>
      </w:r>
      <w:r>
        <w:t>et</w:t>
      </w:r>
      <w:r>
        <w:rPr>
          <w:spacing w:val="-4"/>
        </w:rPr>
        <w:t xml:space="preserve"> </w:t>
      </w:r>
      <w:r>
        <w:t>al.,</w:t>
      </w:r>
      <w:r>
        <w:rPr>
          <w:spacing w:val="-4"/>
        </w:rPr>
        <w:t xml:space="preserve"> </w:t>
      </w:r>
      <w:r>
        <w:t>2025).</w:t>
      </w:r>
      <w:r>
        <w:rPr>
          <w:spacing w:val="-4"/>
        </w:rPr>
        <w:t xml:space="preserve"> </w:t>
      </w:r>
      <w:r>
        <w:t>To</w:t>
      </w:r>
      <w:r>
        <w:rPr>
          <w:spacing w:val="-4"/>
        </w:rPr>
        <w:t xml:space="preserve"> </w:t>
      </w:r>
      <w:r>
        <w:t>perform</w:t>
      </w:r>
      <w:r>
        <w:rPr>
          <w:spacing w:val="-4"/>
        </w:rPr>
        <w:t xml:space="preserve"> </w:t>
      </w:r>
      <w:r>
        <w:t>the analysis that answers the research questions, the following variables presented in Table 1 were selected from the dataset.</w:t>
      </w:r>
    </w:p>
    <w:p w14:paraId="37DDE91E" w14:textId="77777777" w:rsidR="004D3003" w:rsidRDefault="00000000">
      <w:pPr>
        <w:spacing w:before="200"/>
        <w:ind w:left="360"/>
        <w:rPr>
          <w:rFonts w:ascii="Arial"/>
          <w:b/>
        </w:rPr>
      </w:pPr>
      <w:r>
        <w:rPr>
          <w:rFonts w:ascii="Arial"/>
          <w:b/>
          <w:spacing w:val="-2"/>
        </w:rPr>
        <w:t>Table</w:t>
      </w:r>
      <w:r>
        <w:rPr>
          <w:rFonts w:ascii="Arial"/>
          <w:b/>
          <w:spacing w:val="-11"/>
        </w:rPr>
        <w:t xml:space="preserve"> </w:t>
      </w:r>
      <w:r>
        <w:rPr>
          <w:rFonts w:ascii="Arial"/>
          <w:b/>
          <w:spacing w:val="-10"/>
        </w:rPr>
        <w:t>1</w:t>
      </w:r>
    </w:p>
    <w:p w14:paraId="5744E90E" w14:textId="77777777" w:rsidR="004D3003" w:rsidRDefault="00000000">
      <w:pPr>
        <w:spacing w:before="100"/>
        <w:ind w:left="360"/>
        <w:rPr>
          <w:rFonts w:ascii="Arial"/>
          <w:i/>
        </w:rPr>
      </w:pPr>
      <w:r>
        <w:rPr>
          <w:rFonts w:ascii="Arial"/>
          <w:i/>
        </w:rPr>
        <w:t>Variable</w:t>
      </w:r>
      <w:r>
        <w:rPr>
          <w:rFonts w:ascii="Arial"/>
          <w:i/>
          <w:spacing w:val="-10"/>
        </w:rPr>
        <w:t xml:space="preserve"> </w:t>
      </w:r>
      <w:r>
        <w:rPr>
          <w:rFonts w:ascii="Arial"/>
          <w:i/>
        </w:rPr>
        <w:t>Names,</w:t>
      </w:r>
      <w:r>
        <w:rPr>
          <w:rFonts w:ascii="Arial"/>
          <w:i/>
          <w:spacing w:val="-10"/>
        </w:rPr>
        <w:t xml:space="preserve"> </w:t>
      </w:r>
      <w:r>
        <w:rPr>
          <w:rFonts w:ascii="Arial"/>
          <w:i/>
        </w:rPr>
        <w:t>Definitions,</w:t>
      </w:r>
      <w:r>
        <w:rPr>
          <w:rFonts w:ascii="Arial"/>
          <w:i/>
          <w:spacing w:val="-10"/>
        </w:rPr>
        <w:t xml:space="preserve"> </w:t>
      </w:r>
      <w:r>
        <w:rPr>
          <w:rFonts w:ascii="Arial"/>
          <w:i/>
        </w:rPr>
        <w:t>and</w:t>
      </w:r>
      <w:r>
        <w:rPr>
          <w:rFonts w:ascii="Arial"/>
          <w:i/>
          <w:spacing w:val="-10"/>
        </w:rPr>
        <w:t xml:space="preserve"> </w:t>
      </w:r>
      <w:r>
        <w:rPr>
          <w:rFonts w:ascii="Arial"/>
          <w:i/>
        </w:rPr>
        <w:t>Value</w:t>
      </w:r>
      <w:r>
        <w:rPr>
          <w:rFonts w:ascii="Arial"/>
          <w:i/>
          <w:spacing w:val="-10"/>
        </w:rPr>
        <w:t xml:space="preserve"> </w:t>
      </w:r>
      <w:r>
        <w:rPr>
          <w:rFonts w:ascii="Arial"/>
          <w:i/>
          <w:spacing w:val="-2"/>
        </w:rPr>
        <w:t>Ranges</w:t>
      </w:r>
    </w:p>
    <w:p w14:paraId="09ADB108" w14:textId="77777777" w:rsidR="004D3003" w:rsidRDefault="004D3003">
      <w:pPr>
        <w:pStyle w:val="BodyText"/>
        <w:spacing w:before="2"/>
        <w:ind w:left="0"/>
        <w:rPr>
          <w:rFonts w:ascii="Arial"/>
          <w:i/>
          <w:sz w:val="16"/>
        </w:rPr>
      </w:pPr>
    </w:p>
    <w:tbl>
      <w:tblPr>
        <w:tblW w:w="0" w:type="auto"/>
        <w:tblInd w:w="367" w:type="dxa"/>
        <w:tblLayout w:type="fixed"/>
        <w:tblCellMar>
          <w:left w:w="0" w:type="dxa"/>
          <w:right w:w="0" w:type="dxa"/>
        </w:tblCellMar>
        <w:tblLook w:val="01E0" w:firstRow="1" w:lastRow="1" w:firstColumn="1" w:lastColumn="1" w:noHBand="0" w:noVBand="0"/>
      </w:tblPr>
      <w:tblGrid>
        <w:gridCol w:w="2049"/>
        <w:gridCol w:w="5118"/>
        <w:gridCol w:w="2113"/>
      </w:tblGrid>
      <w:tr w:rsidR="004D3003" w14:paraId="37C786CD" w14:textId="77777777">
        <w:trPr>
          <w:trHeight w:val="380"/>
        </w:trPr>
        <w:tc>
          <w:tcPr>
            <w:tcW w:w="2049" w:type="dxa"/>
            <w:tcBorders>
              <w:top w:val="single" w:sz="8" w:space="0" w:color="000000"/>
              <w:bottom w:val="single" w:sz="8" w:space="0" w:color="000000"/>
            </w:tcBorders>
          </w:tcPr>
          <w:p w14:paraId="676D2571" w14:textId="77777777" w:rsidR="004D3003" w:rsidRDefault="00000000">
            <w:pPr>
              <w:pStyle w:val="TableParagraph"/>
              <w:spacing w:before="43"/>
              <w:ind w:left="120"/>
              <w:rPr>
                <w:rFonts w:ascii="Arial"/>
                <w:b/>
              </w:rPr>
            </w:pPr>
            <w:r>
              <w:rPr>
                <w:rFonts w:ascii="Arial"/>
                <w:b/>
                <w:spacing w:val="-2"/>
              </w:rPr>
              <w:t>Variable</w:t>
            </w:r>
            <w:r>
              <w:rPr>
                <w:rFonts w:ascii="Arial"/>
                <w:b/>
                <w:spacing w:val="-4"/>
              </w:rPr>
              <w:t xml:space="preserve"> name</w:t>
            </w:r>
          </w:p>
        </w:tc>
        <w:tc>
          <w:tcPr>
            <w:tcW w:w="5118" w:type="dxa"/>
            <w:tcBorders>
              <w:top w:val="single" w:sz="8" w:space="0" w:color="000000"/>
              <w:bottom w:val="single" w:sz="8" w:space="0" w:color="000000"/>
            </w:tcBorders>
          </w:tcPr>
          <w:p w14:paraId="61426054" w14:textId="77777777" w:rsidR="004D3003" w:rsidRDefault="00000000">
            <w:pPr>
              <w:pStyle w:val="TableParagraph"/>
              <w:spacing w:before="43"/>
              <w:ind w:left="426"/>
              <w:rPr>
                <w:rFonts w:ascii="Arial"/>
                <w:b/>
              </w:rPr>
            </w:pPr>
            <w:r>
              <w:rPr>
                <w:rFonts w:ascii="Arial"/>
                <w:b/>
                <w:spacing w:val="-2"/>
              </w:rPr>
              <w:t>Definition</w:t>
            </w:r>
          </w:p>
        </w:tc>
        <w:tc>
          <w:tcPr>
            <w:tcW w:w="2113" w:type="dxa"/>
            <w:tcBorders>
              <w:top w:val="single" w:sz="8" w:space="0" w:color="000000"/>
              <w:bottom w:val="single" w:sz="8" w:space="0" w:color="000000"/>
            </w:tcBorders>
          </w:tcPr>
          <w:p w14:paraId="4A764F28" w14:textId="77777777" w:rsidR="004D3003" w:rsidRDefault="00000000">
            <w:pPr>
              <w:pStyle w:val="TableParagraph"/>
              <w:spacing w:before="43"/>
              <w:ind w:right="34"/>
              <w:jc w:val="center"/>
              <w:rPr>
                <w:rFonts w:ascii="Arial"/>
                <w:b/>
              </w:rPr>
            </w:pPr>
            <w:r>
              <w:rPr>
                <w:rFonts w:ascii="Arial"/>
                <w:b/>
                <w:spacing w:val="-2"/>
              </w:rPr>
              <w:t>Value</w:t>
            </w:r>
            <w:r>
              <w:rPr>
                <w:rFonts w:ascii="Arial"/>
                <w:b/>
                <w:spacing w:val="-7"/>
              </w:rPr>
              <w:t xml:space="preserve"> </w:t>
            </w:r>
            <w:r>
              <w:rPr>
                <w:rFonts w:ascii="Arial"/>
                <w:b/>
                <w:spacing w:val="-2"/>
              </w:rPr>
              <w:t>range</w:t>
            </w:r>
          </w:p>
        </w:tc>
      </w:tr>
      <w:tr w:rsidR="004D3003" w14:paraId="625CFEBF" w14:textId="77777777">
        <w:trPr>
          <w:trHeight w:val="329"/>
        </w:trPr>
        <w:tc>
          <w:tcPr>
            <w:tcW w:w="2049" w:type="dxa"/>
            <w:tcBorders>
              <w:top w:val="single" w:sz="8" w:space="0" w:color="000000"/>
            </w:tcBorders>
          </w:tcPr>
          <w:p w14:paraId="7C8B3512" w14:textId="77777777" w:rsidR="004D3003" w:rsidRDefault="00000000">
            <w:pPr>
              <w:pStyle w:val="TableParagraph"/>
              <w:spacing w:before="47"/>
              <w:ind w:left="120"/>
            </w:pPr>
            <w:r>
              <w:rPr>
                <w:spacing w:val="-2"/>
              </w:rPr>
              <w:t>GEOID</w:t>
            </w:r>
          </w:p>
        </w:tc>
        <w:tc>
          <w:tcPr>
            <w:tcW w:w="5118" w:type="dxa"/>
            <w:tcBorders>
              <w:top w:val="single" w:sz="8" w:space="0" w:color="000000"/>
            </w:tcBorders>
          </w:tcPr>
          <w:p w14:paraId="037FE223" w14:textId="77777777" w:rsidR="004D3003" w:rsidRDefault="00000000">
            <w:pPr>
              <w:pStyle w:val="TableParagraph"/>
              <w:spacing w:before="47"/>
              <w:ind w:left="426"/>
            </w:pPr>
            <w:r>
              <w:t>Census</w:t>
            </w:r>
            <w:r>
              <w:rPr>
                <w:spacing w:val="-6"/>
              </w:rPr>
              <w:t xml:space="preserve"> </w:t>
            </w:r>
            <w:r>
              <w:t>tract</w:t>
            </w:r>
            <w:r>
              <w:rPr>
                <w:spacing w:val="-5"/>
              </w:rPr>
              <w:t xml:space="preserve"> </w:t>
            </w:r>
            <w:r>
              <w:rPr>
                <w:spacing w:val="-2"/>
              </w:rPr>
              <w:t>identifier</w:t>
            </w:r>
          </w:p>
        </w:tc>
        <w:tc>
          <w:tcPr>
            <w:tcW w:w="2113" w:type="dxa"/>
            <w:tcBorders>
              <w:top w:val="single" w:sz="8" w:space="0" w:color="000000"/>
            </w:tcBorders>
          </w:tcPr>
          <w:p w14:paraId="5C131016" w14:textId="77777777" w:rsidR="004D3003" w:rsidRDefault="00000000">
            <w:pPr>
              <w:pStyle w:val="TableParagraph"/>
              <w:spacing w:before="47"/>
              <w:ind w:right="34"/>
              <w:jc w:val="center"/>
            </w:pPr>
            <w:r>
              <w:rPr>
                <w:spacing w:val="-4"/>
              </w:rPr>
              <w:t>Text</w:t>
            </w:r>
          </w:p>
        </w:tc>
      </w:tr>
      <w:tr w:rsidR="004D3003" w14:paraId="0705D182" w14:textId="77777777">
        <w:trPr>
          <w:trHeight w:val="293"/>
        </w:trPr>
        <w:tc>
          <w:tcPr>
            <w:tcW w:w="2049" w:type="dxa"/>
          </w:tcPr>
          <w:p w14:paraId="24A5CEAA" w14:textId="77777777" w:rsidR="004D3003" w:rsidRDefault="00000000">
            <w:pPr>
              <w:pStyle w:val="TableParagraph"/>
              <w:spacing w:before="21" w:line="253" w:lineRule="exact"/>
              <w:ind w:left="120"/>
            </w:pPr>
            <w:r>
              <w:rPr>
                <w:spacing w:val="-4"/>
              </w:rPr>
              <w:t>AvgP</w:t>
            </w:r>
          </w:p>
        </w:tc>
        <w:tc>
          <w:tcPr>
            <w:tcW w:w="5118" w:type="dxa"/>
          </w:tcPr>
          <w:p w14:paraId="07F60B1B" w14:textId="77777777" w:rsidR="004D3003" w:rsidRDefault="00000000">
            <w:pPr>
              <w:pStyle w:val="TableParagraph"/>
              <w:spacing w:before="21" w:line="253" w:lineRule="exact"/>
              <w:ind w:left="426"/>
            </w:pPr>
            <w:r>
              <w:t>Mean</w:t>
            </w:r>
            <w:r>
              <w:rPr>
                <w:spacing w:val="-6"/>
              </w:rPr>
              <w:t xml:space="preserve"> </w:t>
            </w:r>
            <w:r>
              <w:t>water</w:t>
            </w:r>
            <w:r>
              <w:rPr>
                <w:spacing w:val="-6"/>
              </w:rPr>
              <w:t xml:space="preserve"> </w:t>
            </w:r>
            <w:r>
              <w:t>pressure</w:t>
            </w:r>
            <w:r>
              <w:rPr>
                <w:spacing w:val="-5"/>
              </w:rPr>
              <w:t xml:space="preserve"> </w:t>
            </w:r>
            <w:r>
              <w:rPr>
                <w:spacing w:val="-4"/>
              </w:rPr>
              <w:t>(psi)</w:t>
            </w:r>
          </w:p>
        </w:tc>
        <w:tc>
          <w:tcPr>
            <w:tcW w:w="2113" w:type="dxa"/>
          </w:tcPr>
          <w:p w14:paraId="0514B8E5" w14:textId="77777777" w:rsidR="004D3003" w:rsidRDefault="00000000">
            <w:pPr>
              <w:pStyle w:val="TableParagraph"/>
              <w:spacing w:before="21" w:line="253" w:lineRule="exact"/>
              <w:ind w:right="34"/>
              <w:jc w:val="center"/>
            </w:pPr>
            <w:r>
              <w:t>[27.23,</w:t>
            </w:r>
            <w:r>
              <w:rPr>
                <w:spacing w:val="-7"/>
              </w:rPr>
              <w:t xml:space="preserve"> </w:t>
            </w:r>
            <w:r>
              <w:rPr>
                <w:spacing w:val="-2"/>
              </w:rPr>
              <w:t>92.61]</w:t>
            </w:r>
          </w:p>
        </w:tc>
      </w:tr>
      <w:tr w:rsidR="004D3003" w14:paraId="4F28E966" w14:textId="77777777">
        <w:trPr>
          <w:trHeight w:val="285"/>
        </w:trPr>
        <w:tc>
          <w:tcPr>
            <w:tcW w:w="2049" w:type="dxa"/>
          </w:tcPr>
          <w:p w14:paraId="05431111" w14:textId="77777777" w:rsidR="004D3003" w:rsidRDefault="00000000">
            <w:pPr>
              <w:pStyle w:val="TableParagraph"/>
              <w:spacing w:line="253" w:lineRule="exact"/>
              <w:ind w:left="120"/>
            </w:pPr>
            <w:r>
              <w:rPr>
                <w:spacing w:val="-4"/>
              </w:rPr>
              <w:t>Ag50</w:t>
            </w:r>
          </w:p>
        </w:tc>
        <w:tc>
          <w:tcPr>
            <w:tcW w:w="5118" w:type="dxa"/>
          </w:tcPr>
          <w:p w14:paraId="78F26C6C" w14:textId="77777777" w:rsidR="004D3003" w:rsidRDefault="00000000">
            <w:pPr>
              <w:pStyle w:val="TableParagraph"/>
              <w:spacing w:line="253" w:lineRule="exact"/>
              <w:ind w:left="426"/>
            </w:pPr>
            <w:r>
              <w:t>Mean</w:t>
            </w:r>
            <w:r>
              <w:rPr>
                <w:spacing w:val="-6"/>
              </w:rPr>
              <w:t xml:space="preserve"> </w:t>
            </w:r>
            <w:r>
              <w:t>water</w:t>
            </w:r>
            <w:r>
              <w:rPr>
                <w:spacing w:val="-6"/>
              </w:rPr>
              <w:t xml:space="preserve"> </w:t>
            </w:r>
            <w:r>
              <w:t>age</w:t>
            </w:r>
            <w:r>
              <w:rPr>
                <w:spacing w:val="-5"/>
              </w:rPr>
              <w:t xml:space="preserve"> </w:t>
            </w:r>
            <w:r>
              <w:t>(hours;</w:t>
            </w:r>
            <w:r>
              <w:rPr>
                <w:spacing w:val="-6"/>
              </w:rPr>
              <w:t xml:space="preserve"> </w:t>
            </w:r>
            <w:r>
              <w:t>dependent</w:t>
            </w:r>
            <w:r>
              <w:rPr>
                <w:spacing w:val="-5"/>
              </w:rPr>
              <w:t xml:space="preserve"> </w:t>
            </w:r>
            <w:r>
              <w:rPr>
                <w:spacing w:val="-2"/>
              </w:rPr>
              <w:t>variable)</w:t>
            </w:r>
          </w:p>
        </w:tc>
        <w:tc>
          <w:tcPr>
            <w:tcW w:w="2113" w:type="dxa"/>
          </w:tcPr>
          <w:p w14:paraId="073674BB" w14:textId="77777777" w:rsidR="004D3003" w:rsidRDefault="00000000">
            <w:pPr>
              <w:pStyle w:val="TableParagraph"/>
              <w:spacing w:line="253" w:lineRule="exact"/>
              <w:ind w:right="34"/>
              <w:jc w:val="center"/>
            </w:pPr>
            <w:r>
              <w:t>[6.49,</w:t>
            </w:r>
            <w:r>
              <w:rPr>
                <w:spacing w:val="-8"/>
              </w:rPr>
              <w:t xml:space="preserve"> </w:t>
            </w:r>
            <w:r>
              <w:rPr>
                <w:spacing w:val="-4"/>
              </w:rPr>
              <w:t>420]</w:t>
            </w:r>
          </w:p>
        </w:tc>
      </w:tr>
      <w:tr w:rsidR="004D3003" w14:paraId="0FEFCB55" w14:textId="77777777">
        <w:trPr>
          <w:trHeight w:val="285"/>
        </w:trPr>
        <w:tc>
          <w:tcPr>
            <w:tcW w:w="2049" w:type="dxa"/>
          </w:tcPr>
          <w:p w14:paraId="6F8EC21F" w14:textId="77777777" w:rsidR="004D3003" w:rsidRDefault="00000000">
            <w:pPr>
              <w:pStyle w:val="TableParagraph"/>
              <w:spacing w:line="253" w:lineRule="exact"/>
              <w:ind w:left="120"/>
            </w:pPr>
            <w:r>
              <w:rPr>
                <w:spacing w:val="-2"/>
              </w:rPr>
              <w:t>Distress</w:t>
            </w:r>
          </w:p>
        </w:tc>
        <w:tc>
          <w:tcPr>
            <w:tcW w:w="5118" w:type="dxa"/>
          </w:tcPr>
          <w:p w14:paraId="52BA17D2" w14:textId="77777777" w:rsidR="004D3003" w:rsidRDefault="00000000">
            <w:pPr>
              <w:pStyle w:val="TableParagraph"/>
              <w:spacing w:line="253" w:lineRule="exact"/>
              <w:ind w:left="426"/>
            </w:pPr>
            <w:r>
              <w:t>Distressed</w:t>
            </w:r>
            <w:r>
              <w:rPr>
                <w:spacing w:val="-11"/>
              </w:rPr>
              <w:t xml:space="preserve"> </w:t>
            </w:r>
            <w:r>
              <w:t>Communities</w:t>
            </w:r>
            <w:r>
              <w:rPr>
                <w:spacing w:val="-10"/>
              </w:rPr>
              <w:t xml:space="preserve"> </w:t>
            </w:r>
            <w:r>
              <w:rPr>
                <w:spacing w:val="-2"/>
              </w:rPr>
              <w:t>Index</w:t>
            </w:r>
          </w:p>
        </w:tc>
        <w:tc>
          <w:tcPr>
            <w:tcW w:w="2113" w:type="dxa"/>
          </w:tcPr>
          <w:p w14:paraId="4830B72B" w14:textId="77777777" w:rsidR="004D3003" w:rsidRDefault="00000000">
            <w:pPr>
              <w:pStyle w:val="TableParagraph"/>
              <w:spacing w:line="253" w:lineRule="exact"/>
              <w:ind w:right="34"/>
              <w:jc w:val="center"/>
            </w:pPr>
            <w:r>
              <w:t>[–4.50,</w:t>
            </w:r>
            <w:r>
              <w:rPr>
                <w:spacing w:val="-7"/>
              </w:rPr>
              <w:t xml:space="preserve"> </w:t>
            </w:r>
            <w:r>
              <w:rPr>
                <w:spacing w:val="-2"/>
              </w:rPr>
              <w:t>18.66]</w:t>
            </w:r>
          </w:p>
        </w:tc>
      </w:tr>
      <w:tr w:rsidR="004D3003" w14:paraId="648B3DC2" w14:textId="77777777">
        <w:trPr>
          <w:trHeight w:val="285"/>
        </w:trPr>
        <w:tc>
          <w:tcPr>
            <w:tcW w:w="2049" w:type="dxa"/>
          </w:tcPr>
          <w:p w14:paraId="7D584621" w14:textId="77777777" w:rsidR="004D3003" w:rsidRDefault="00000000">
            <w:pPr>
              <w:pStyle w:val="TableParagraph"/>
              <w:spacing w:line="253" w:lineRule="exact"/>
              <w:ind w:left="120"/>
            </w:pPr>
            <w:r>
              <w:rPr>
                <w:spacing w:val="-2"/>
              </w:rPr>
              <w:t>PercVacant</w:t>
            </w:r>
          </w:p>
        </w:tc>
        <w:tc>
          <w:tcPr>
            <w:tcW w:w="5118" w:type="dxa"/>
          </w:tcPr>
          <w:p w14:paraId="3E87606A" w14:textId="77777777" w:rsidR="004D3003" w:rsidRDefault="00000000">
            <w:pPr>
              <w:pStyle w:val="TableParagraph"/>
              <w:spacing w:line="253" w:lineRule="exact"/>
              <w:ind w:left="426"/>
            </w:pPr>
            <w:r>
              <w:t>Percentage</w:t>
            </w:r>
            <w:r>
              <w:rPr>
                <w:spacing w:val="-6"/>
              </w:rPr>
              <w:t xml:space="preserve"> </w:t>
            </w:r>
            <w:r>
              <w:t>of</w:t>
            </w:r>
            <w:r>
              <w:rPr>
                <w:spacing w:val="-6"/>
              </w:rPr>
              <w:t xml:space="preserve"> </w:t>
            </w:r>
            <w:r>
              <w:t>vacant</w:t>
            </w:r>
            <w:r>
              <w:rPr>
                <w:spacing w:val="-6"/>
              </w:rPr>
              <w:t xml:space="preserve"> </w:t>
            </w:r>
            <w:r>
              <w:rPr>
                <w:spacing w:val="-2"/>
              </w:rPr>
              <w:t>parcels</w:t>
            </w:r>
          </w:p>
        </w:tc>
        <w:tc>
          <w:tcPr>
            <w:tcW w:w="2113" w:type="dxa"/>
          </w:tcPr>
          <w:p w14:paraId="6A8AA93B" w14:textId="77777777" w:rsidR="004D3003" w:rsidRDefault="00000000">
            <w:pPr>
              <w:pStyle w:val="TableParagraph"/>
              <w:spacing w:line="253" w:lineRule="exact"/>
              <w:ind w:right="34"/>
              <w:jc w:val="center"/>
            </w:pPr>
            <w:r>
              <w:t>[0.00,</w:t>
            </w:r>
            <w:r>
              <w:rPr>
                <w:spacing w:val="-6"/>
              </w:rPr>
              <w:t xml:space="preserve"> </w:t>
            </w:r>
            <w:r>
              <w:rPr>
                <w:spacing w:val="-2"/>
              </w:rPr>
              <w:t>0.77]</w:t>
            </w:r>
          </w:p>
        </w:tc>
      </w:tr>
      <w:tr w:rsidR="004D3003" w14:paraId="4CB30362" w14:textId="77777777">
        <w:trPr>
          <w:trHeight w:val="285"/>
        </w:trPr>
        <w:tc>
          <w:tcPr>
            <w:tcW w:w="2049" w:type="dxa"/>
          </w:tcPr>
          <w:p w14:paraId="4CCD28F2" w14:textId="77777777" w:rsidR="004D3003" w:rsidRDefault="00000000">
            <w:pPr>
              <w:pStyle w:val="TableParagraph"/>
              <w:spacing w:line="253" w:lineRule="exact"/>
              <w:ind w:left="120"/>
            </w:pPr>
            <w:r>
              <w:rPr>
                <w:spacing w:val="-2"/>
              </w:rPr>
              <w:t>PrcNW</w:t>
            </w:r>
          </w:p>
        </w:tc>
        <w:tc>
          <w:tcPr>
            <w:tcW w:w="5118" w:type="dxa"/>
          </w:tcPr>
          <w:p w14:paraId="75A8B436" w14:textId="77777777" w:rsidR="004D3003" w:rsidRDefault="00000000">
            <w:pPr>
              <w:pStyle w:val="TableParagraph"/>
              <w:spacing w:line="253" w:lineRule="exact"/>
              <w:ind w:left="426"/>
            </w:pPr>
            <w:r>
              <w:t>Percentage</w:t>
            </w:r>
            <w:r>
              <w:rPr>
                <w:spacing w:val="-7"/>
              </w:rPr>
              <w:t xml:space="preserve"> </w:t>
            </w:r>
            <w:r>
              <w:t>of</w:t>
            </w:r>
            <w:r>
              <w:rPr>
                <w:spacing w:val="-7"/>
              </w:rPr>
              <w:t xml:space="preserve"> </w:t>
            </w:r>
            <w:r>
              <w:t>non-white</w:t>
            </w:r>
            <w:r>
              <w:rPr>
                <w:spacing w:val="-7"/>
              </w:rPr>
              <w:t xml:space="preserve"> </w:t>
            </w:r>
            <w:r>
              <w:rPr>
                <w:spacing w:val="-2"/>
              </w:rPr>
              <w:t>residents</w:t>
            </w:r>
          </w:p>
        </w:tc>
        <w:tc>
          <w:tcPr>
            <w:tcW w:w="2113" w:type="dxa"/>
          </w:tcPr>
          <w:p w14:paraId="641675D3" w14:textId="77777777" w:rsidR="004D3003" w:rsidRDefault="00000000">
            <w:pPr>
              <w:pStyle w:val="TableParagraph"/>
              <w:spacing w:line="253" w:lineRule="exact"/>
              <w:ind w:right="34"/>
              <w:jc w:val="center"/>
            </w:pPr>
            <w:r>
              <w:t>[0.00,</w:t>
            </w:r>
            <w:r>
              <w:rPr>
                <w:spacing w:val="-6"/>
              </w:rPr>
              <w:t xml:space="preserve"> </w:t>
            </w:r>
            <w:r>
              <w:rPr>
                <w:spacing w:val="-2"/>
              </w:rPr>
              <w:t>100.00]</w:t>
            </w:r>
          </w:p>
        </w:tc>
      </w:tr>
      <w:tr w:rsidR="004D3003" w14:paraId="6A82BD45" w14:textId="77777777">
        <w:trPr>
          <w:trHeight w:val="356"/>
        </w:trPr>
        <w:tc>
          <w:tcPr>
            <w:tcW w:w="2049" w:type="dxa"/>
            <w:tcBorders>
              <w:bottom w:val="single" w:sz="8" w:space="0" w:color="000000"/>
            </w:tcBorders>
          </w:tcPr>
          <w:p w14:paraId="0A959761" w14:textId="77777777" w:rsidR="004D3003" w:rsidRDefault="00000000">
            <w:pPr>
              <w:pStyle w:val="TableParagraph"/>
              <w:ind w:left="120"/>
            </w:pPr>
            <w:r>
              <w:rPr>
                <w:spacing w:val="-2"/>
              </w:rPr>
              <w:t>WhiteDominant</w:t>
            </w:r>
          </w:p>
        </w:tc>
        <w:tc>
          <w:tcPr>
            <w:tcW w:w="5118" w:type="dxa"/>
            <w:tcBorders>
              <w:bottom w:val="single" w:sz="8" w:space="0" w:color="000000"/>
            </w:tcBorders>
          </w:tcPr>
          <w:p w14:paraId="27DD105F" w14:textId="77777777" w:rsidR="004D3003" w:rsidRDefault="00000000">
            <w:pPr>
              <w:pStyle w:val="TableParagraph"/>
              <w:ind w:left="426"/>
            </w:pPr>
            <w:r>
              <w:t>Majority-white</w:t>
            </w:r>
            <w:r>
              <w:rPr>
                <w:spacing w:val="-10"/>
              </w:rPr>
              <w:t xml:space="preserve"> </w:t>
            </w:r>
            <w:r>
              <w:t>tract</w:t>
            </w:r>
            <w:r>
              <w:rPr>
                <w:spacing w:val="-9"/>
              </w:rPr>
              <w:t xml:space="preserve"> </w:t>
            </w:r>
            <w:r>
              <w:rPr>
                <w:spacing w:val="-2"/>
              </w:rPr>
              <w:t>indicator</w:t>
            </w:r>
          </w:p>
        </w:tc>
        <w:tc>
          <w:tcPr>
            <w:tcW w:w="2113" w:type="dxa"/>
            <w:tcBorders>
              <w:bottom w:val="single" w:sz="8" w:space="0" w:color="000000"/>
            </w:tcBorders>
          </w:tcPr>
          <w:p w14:paraId="66C9E5D3" w14:textId="77777777" w:rsidR="004D3003" w:rsidRDefault="00000000">
            <w:pPr>
              <w:pStyle w:val="TableParagraph"/>
              <w:ind w:right="34"/>
              <w:jc w:val="center"/>
            </w:pPr>
            <w:r>
              <w:t>{0,</w:t>
            </w:r>
            <w:r>
              <w:rPr>
                <w:spacing w:val="-3"/>
              </w:rPr>
              <w:t xml:space="preserve"> </w:t>
            </w:r>
            <w:r>
              <w:rPr>
                <w:spacing w:val="-5"/>
              </w:rPr>
              <w:t>1}</w:t>
            </w:r>
          </w:p>
        </w:tc>
      </w:tr>
    </w:tbl>
    <w:p w14:paraId="34A3F64E" w14:textId="77777777" w:rsidR="004D3003" w:rsidRDefault="00000000">
      <w:pPr>
        <w:spacing w:before="80" w:line="252" w:lineRule="auto"/>
        <w:ind w:left="360"/>
        <w:rPr>
          <w:rFonts w:ascii="Arial MT"/>
        </w:rPr>
      </w:pPr>
      <w:r>
        <w:rPr>
          <w:rFonts w:ascii="Arial"/>
          <w:i/>
        </w:rPr>
        <w:t>Note.</w:t>
      </w:r>
      <w:r>
        <w:rPr>
          <w:rFonts w:ascii="Arial"/>
          <w:i/>
          <w:spacing w:val="39"/>
        </w:rPr>
        <w:t xml:space="preserve"> </w:t>
      </w:r>
      <w:r>
        <w:rPr>
          <w:rFonts w:ascii="Arial MT"/>
        </w:rPr>
        <w:t>Variables</w:t>
      </w:r>
      <w:r>
        <w:rPr>
          <w:rFonts w:ascii="Arial MT"/>
          <w:spacing w:val="39"/>
        </w:rPr>
        <w:t xml:space="preserve"> </w:t>
      </w:r>
      <w:r>
        <w:rPr>
          <w:rFonts w:ascii="Arial MT"/>
        </w:rPr>
        <w:t>were</w:t>
      </w:r>
      <w:r>
        <w:rPr>
          <w:rFonts w:ascii="Arial MT"/>
          <w:spacing w:val="39"/>
        </w:rPr>
        <w:t xml:space="preserve"> </w:t>
      </w:r>
      <w:r>
        <w:rPr>
          <w:rFonts w:ascii="Arial MT"/>
        </w:rPr>
        <w:t>derived</w:t>
      </w:r>
      <w:r>
        <w:rPr>
          <w:rFonts w:ascii="Arial MT"/>
          <w:spacing w:val="39"/>
        </w:rPr>
        <w:t xml:space="preserve"> </w:t>
      </w:r>
      <w:r>
        <w:rPr>
          <w:rFonts w:ascii="Arial MT"/>
        </w:rPr>
        <w:t>from</w:t>
      </w:r>
      <w:r>
        <w:rPr>
          <w:rFonts w:ascii="Arial MT"/>
          <w:spacing w:val="39"/>
        </w:rPr>
        <w:t xml:space="preserve"> </w:t>
      </w:r>
      <w:r>
        <w:rPr>
          <w:rFonts w:ascii="Arial MT"/>
        </w:rPr>
        <w:t>Sadler</w:t>
      </w:r>
      <w:r>
        <w:rPr>
          <w:rFonts w:ascii="Arial MT"/>
          <w:spacing w:val="39"/>
        </w:rPr>
        <w:t xml:space="preserve"> </w:t>
      </w:r>
      <w:r>
        <w:rPr>
          <w:rFonts w:ascii="Arial MT"/>
        </w:rPr>
        <w:t>et al. (2025). WhiteDominant was created by dichotomizing PrcNW at 50% (1 = majority White, 0 = majority non-White).</w:t>
      </w:r>
    </w:p>
    <w:p w14:paraId="112CD9F1" w14:textId="77777777" w:rsidR="004D3003" w:rsidRDefault="00000000">
      <w:pPr>
        <w:pStyle w:val="BodyText"/>
        <w:spacing w:before="200"/>
        <w:ind w:firstLine="720"/>
      </w:pPr>
      <w:r>
        <w:t>To examine the relationship between neighborhood characteristics and mean water age, two ordinary least squares (OLS) regression models were estimated. The first model included Ag50 as the outcome variable, and predictors used are AvgP, Distress, PercVacant, WhiteDominant, and an interaction term between AvgP and Distress to assess whether hydraulic conditions moderated the association between socioeconomic distress and water age. The WhiteDominant predictor, notably, is a dummy variable constructed from PrcNW using dummy coding.</w:t>
      </w:r>
      <w:r>
        <w:rPr>
          <w:spacing w:val="-3"/>
        </w:rPr>
        <w:t xml:space="preserve"> </w:t>
      </w:r>
      <w:r>
        <w:t>A</w:t>
      </w:r>
      <w:r>
        <w:rPr>
          <w:spacing w:val="-3"/>
        </w:rPr>
        <w:t xml:space="preserve"> </w:t>
      </w:r>
      <w:r>
        <w:t>second,</w:t>
      </w:r>
      <w:r>
        <w:rPr>
          <w:spacing w:val="-3"/>
        </w:rPr>
        <w:t xml:space="preserve"> </w:t>
      </w:r>
      <w:r>
        <w:t>reduced</w:t>
      </w:r>
      <w:r>
        <w:rPr>
          <w:spacing w:val="-3"/>
        </w:rPr>
        <w:t xml:space="preserve"> </w:t>
      </w:r>
      <w:r>
        <w:t>model</w:t>
      </w:r>
      <w:r>
        <w:rPr>
          <w:spacing w:val="-3"/>
        </w:rPr>
        <w:t xml:space="preserve"> </w:t>
      </w:r>
      <w:r>
        <w:t>excluded</w:t>
      </w:r>
      <w:r>
        <w:rPr>
          <w:spacing w:val="-3"/>
        </w:rPr>
        <w:t xml:space="preserve"> </w:t>
      </w:r>
      <w:r>
        <w:t>the</w:t>
      </w:r>
      <w:r>
        <w:rPr>
          <w:spacing w:val="-3"/>
        </w:rPr>
        <w:t xml:space="preserve"> </w:t>
      </w:r>
      <w:r>
        <w:t>interaction</w:t>
      </w:r>
      <w:r>
        <w:rPr>
          <w:spacing w:val="-3"/>
        </w:rPr>
        <w:t xml:space="preserve"> </w:t>
      </w:r>
      <w:r>
        <w:t>term</w:t>
      </w:r>
      <w:r>
        <w:rPr>
          <w:spacing w:val="-3"/>
        </w:rPr>
        <w:t xml:space="preserve"> </w:t>
      </w:r>
      <w:r>
        <w:t>to</w:t>
      </w:r>
      <w:r>
        <w:rPr>
          <w:spacing w:val="-3"/>
        </w:rPr>
        <w:t xml:space="preserve"> </w:t>
      </w:r>
      <w:r>
        <w:t>evaluate</w:t>
      </w:r>
      <w:r>
        <w:rPr>
          <w:spacing w:val="-3"/>
        </w:rPr>
        <w:t xml:space="preserve"> </w:t>
      </w:r>
      <w:r>
        <w:t>whether</w:t>
      </w:r>
      <w:r>
        <w:rPr>
          <w:spacing w:val="-3"/>
        </w:rPr>
        <w:t xml:space="preserve"> </w:t>
      </w:r>
      <w:r>
        <w:t>model</w:t>
      </w:r>
      <w:r>
        <w:rPr>
          <w:spacing w:val="-3"/>
        </w:rPr>
        <w:t xml:space="preserve"> </w:t>
      </w:r>
      <w:r>
        <w:t>fit</w:t>
      </w:r>
      <w:r>
        <w:rPr>
          <w:spacing w:val="-3"/>
        </w:rPr>
        <w:t xml:space="preserve"> </w:t>
      </w:r>
      <w:r>
        <w:t>and coefficient stability improved under a more parsimonious specification. In Table 2 below, the descriptive statistics for the variables involved in producing the models are presented.</w:t>
      </w:r>
    </w:p>
    <w:p w14:paraId="00B1B098" w14:textId="77777777" w:rsidR="004D3003" w:rsidRDefault="004D3003">
      <w:pPr>
        <w:pStyle w:val="BodyText"/>
        <w:sectPr w:rsidR="004D3003">
          <w:pgSz w:w="12240" w:h="15840"/>
          <w:pgMar w:top="1380" w:right="1440" w:bottom="280" w:left="1080" w:header="720" w:footer="720" w:gutter="0"/>
          <w:cols w:space="720"/>
        </w:sectPr>
      </w:pPr>
    </w:p>
    <w:p w14:paraId="3BD079FB" w14:textId="77777777" w:rsidR="004D3003" w:rsidRDefault="00000000">
      <w:pPr>
        <w:spacing w:before="80"/>
        <w:ind w:left="360"/>
        <w:rPr>
          <w:rFonts w:ascii="Arial"/>
          <w:b/>
        </w:rPr>
      </w:pPr>
      <w:r>
        <w:rPr>
          <w:rFonts w:ascii="Arial"/>
          <w:b/>
          <w:spacing w:val="-2"/>
        </w:rPr>
        <w:lastRenderedPageBreak/>
        <w:t>Table</w:t>
      </w:r>
      <w:r>
        <w:rPr>
          <w:rFonts w:ascii="Arial"/>
          <w:b/>
          <w:spacing w:val="-11"/>
        </w:rPr>
        <w:t xml:space="preserve"> </w:t>
      </w:r>
      <w:r>
        <w:rPr>
          <w:rFonts w:ascii="Arial"/>
          <w:b/>
          <w:spacing w:val="-10"/>
        </w:rPr>
        <w:t>2</w:t>
      </w:r>
    </w:p>
    <w:p w14:paraId="47E465F4" w14:textId="77777777" w:rsidR="004D3003" w:rsidRDefault="00000000">
      <w:pPr>
        <w:spacing w:before="100"/>
        <w:ind w:left="360"/>
        <w:rPr>
          <w:rFonts w:ascii="Arial"/>
          <w:i/>
        </w:rPr>
      </w:pPr>
      <w:r>
        <w:rPr>
          <w:rFonts w:ascii="Arial"/>
          <w:i/>
        </w:rPr>
        <w:t>Descriptive</w:t>
      </w:r>
      <w:r>
        <w:rPr>
          <w:rFonts w:ascii="Arial"/>
          <w:i/>
          <w:spacing w:val="-8"/>
        </w:rPr>
        <w:t xml:space="preserve"> </w:t>
      </w:r>
      <w:r>
        <w:rPr>
          <w:rFonts w:ascii="Arial"/>
          <w:i/>
        </w:rPr>
        <w:t>Statistics</w:t>
      </w:r>
      <w:r>
        <w:rPr>
          <w:rFonts w:ascii="Arial"/>
          <w:i/>
          <w:spacing w:val="-8"/>
        </w:rPr>
        <w:t xml:space="preserve"> </w:t>
      </w:r>
      <w:r>
        <w:rPr>
          <w:rFonts w:ascii="Arial"/>
          <w:i/>
        </w:rPr>
        <w:t>for</w:t>
      </w:r>
      <w:r>
        <w:rPr>
          <w:rFonts w:ascii="Arial"/>
          <w:i/>
          <w:spacing w:val="-8"/>
        </w:rPr>
        <w:t xml:space="preserve"> </w:t>
      </w:r>
      <w:r>
        <w:rPr>
          <w:rFonts w:ascii="Arial"/>
          <w:i/>
          <w:spacing w:val="-2"/>
        </w:rPr>
        <w:t>Variables</w:t>
      </w:r>
    </w:p>
    <w:p w14:paraId="202829CB" w14:textId="77777777" w:rsidR="004D3003" w:rsidRDefault="004D3003">
      <w:pPr>
        <w:pStyle w:val="BodyText"/>
        <w:spacing w:before="4"/>
        <w:ind w:left="0"/>
        <w:rPr>
          <w:rFonts w:ascii="Arial"/>
          <w:i/>
          <w:sz w:val="13"/>
        </w:rPr>
      </w:pPr>
    </w:p>
    <w:tbl>
      <w:tblPr>
        <w:tblW w:w="0" w:type="auto"/>
        <w:tblInd w:w="347" w:type="dxa"/>
        <w:tblLayout w:type="fixed"/>
        <w:tblCellMar>
          <w:left w:w="0" w:type="dxa"/>
          <w:right w:w="0" w:type="dxa"/>
        </w:tblCellMar>
        <w:tblLook w:val="01E0" w:firstRow="1" w:lastRow="1" w:firstColumn="1" w:lastColumn="1" w:noHBand="0" w:noVBand="0"/>
      </w:tblPr>
      <w:tblGrid>
        <w:gridCol w:w="2898"/>
        <w:gridCol w:w="945"/>
        <w:gridCol w:w="781"/>
        <w:gridCol w:w="764"/>
        <w:gridCol w:w="1305"/>
        <w:gridCol w:w="2683"/>
      </w:tblGrid>
      <w:tr w:rsidR="004D3003" w14:paraId="4EE767CF" w14:textId="77777777">
        <w:trPr>
          <w:trHeight w:val="380"/>
        </w:trPr>
        <w:tc>
          <w:tcPr>
            <w:tcW w:w="2898" w:type="dxa"/>
            <w:tcBorders>
              <w:top w:val="single" w:sz="8" w:space="0" w:color="000000"/>
              <w:bottom w:val="single" w:sz="8" w:space="0" w:color="000000"/>
            </w:tcBorders>
          </w:tcPr>
          <w:p w14:paraId="3FD816A8" w14:textId="77777777" w:rsidR="004D3003" w:rsidRDefault="00000000">
            <w:pPr>
              <w:pStyle w:val="TableParagraph"/>
              <w:spacing w:before="42"/>
              <w:ind w:left="125"/>
            </w:pPr>
            <w:r>
              <w:rPr>
                <w:spacing w:val="-2"/>
              </w:rPr>
              <w:t>Variable</w:t>
            </w:r>
          </w:p>
        </w:tc>
        <w:tc>
          <w:tcPr>
            <w:tcW w:w="945" w:type="dxa"/>
            <w:tcBorders>
              <w:top w:val="single" w:sz="8" w:space="0" w:color="000000"/>
              <w:bottom w:val="single" w:sz="8" w:space="0" w:color="000000"/>
            </w:tcBorders>
          </w:tcPr>
          <w:p w14:paraId="5FE9F090" w14:textId="77777777" w:rsidR="004D3003" w:rsidRDefault="00000000">
            <w:pPr>
              <w:pStyle w:val="TableParagraph"/>
              <w:spacing w:before="42"/>
              <w:ind w:right="242"/>
              <w:jc w:val="right"/>
              <w:rPr>
                <w:rFonts w:ascii="Arial"/>
                <w:i/>
              </w:rPr>
            </w:pPr>
            <w:r>
              <w:rPr>
                <w:rFonts w:ascii="Arial"/>
                <w:i/>
                <w:spacing w:val="-10"/>
              </w:rPr>
              <w:t>n</w:t>
            </w:r>
          </w:p>
        </w:tc>
        <w:tc>
          <w:tcPr>
            <w:tcW w:w="781" w:type="dxa"/>
            <w:tcBorders>
              <w:top w:val="single" w:sz="8" w:space="0" w:color="000000"/>
              <w:bottom w:val="single" w:sz="8" w:space="0" w:color="000000"/>
            </w:tcBorders>
          </w:tcPr>
          <w:p w14:paraId="2CBEB3BB" w14:textId="77777777" w:rsidR="004D3003" w:rsidRDefault="00000000">
            <w:pPr>
              <w:pStyle w:val="TableParagraph"/>
              <w:spacing w:before="42"/>
              <w:ind w:right="39"/>
              <w:jc w:val="center"/>
              <w:rPr>
                <w:rFonts w:ascii="Arial"/>
                <w:i/>
              </w:rPr>
            </w:pPr>
            <w:r>
              <w:rPr>
                <w:rFonts w:ascii="Arial"/>
                <w:i/>
                <w:spacing w:val="-10"/>
              </w:rPr>
              <w:t>M</w:t>
            </w:r>
          </w:p>
        </w:tc>
        <w:tc>
          <w:tcPr>
            <w:tcW w:w="764" w:type="dxa"/>
            <w:tcBorders>
              <w:top w:val="single" w:sz="8" w:space="0" w:color="000000"/>
              <w:bottom w:val="single" w:sz="8" w:space="0" w:color="000000"/>
            </w:tcBorders>
          </w:tcPr>
          <w:p w14:paraId="2B01EA98" w14:textId="77777777" w:rsidR="004D3003" w:rsidRDefault="00000000">
            <w:pPr>
              <w:pStyle w:val="TableParagraph"/>
              <w:spacing w:before="42"/>
              <w:ind w:left="215"/>
              <w:rPr>
                <w:rFonts w:ascii="Arial"/>
                <w:i/>
              </w:rPr>
            </w:pPr>
            <w:r>
              <w:rPr>
                <w:rFonts w:ascii="Arial"/>
                <w:i/>
                <w:spacing w:val="-5"/>
              </w:rPr>
              <w:t>SD</w:t>
            </w:r>
          </w:p>
        </w:tc>
        <w:tc>
          <w:tcPr>
            <w:tcW w:w="1305" w:type="dxa"/>
            <w:tcBorders>
              <w:top w:val="single" w:sz="8" w:space="0" w:color="000000"/>
              <w:bottom w:val="single" w:sz="8" w:space="0" w:color="000000"/>
            </w:tcBorders>
          </w:tcPr>
          <w:p w14:paraId="0391A503" w14:textId="77777777" w:rsidR="004D3003" w:rsidRDefault="00000000">
            <w:pPr>
              <w:pStyle w:val="TableParagraph"/>
              <w:spacing w:before="42"/>
              <w:ind w:left="214"/>
            </w:pPr>
            <w:r>
              <w:rPr>
                <w:spacing w:val="-5"/>
              </w:rPr>
              <w:t>Min</w:t>
            </w:r>
          </w:p>
        </w:tc>
        <w:tc>
          <w:tcPr>
            <w:tcW w:w="2683" w:type="dxa"/>
            <w:tcBorders>
              <w:top w:val="single" w:sz="8" w:space="0" w:color="000000"/>
              <w:bottom w:val="single" w:sz="8" w:space="0" w:color="000000"/>
            </w:tcBorders>
          </w:tcPr>
          <w:p w14:paraId="057404C3" w14:textId="77777777" w:rsidR="004D3003" w:rsidRDefault="00000000">
            <w:pPr>
              <w:pStyle w:val="TableParagraph"/>
              <w:spacing w:before="42"/>
              <w:ind w:right="1391"/>
              <w:jc w:val="right"/>
            </w:pPr>
            <w:r>
              <w:rPr>
                <w:spacing w:val="-5"/>
              </w:rPr>
              <w:t>Max</w:t>
            </w:r>
          </w:p>
        </w:tc>
      </w:tr>
      <w:tr w:rsidR="004D3003" w14:paraId="1DAB9528" w14:textId="77777777">
        <w:trPr>
          <w:trHeight w:val="603"/>
        </w:trPr>
        <w:tc>
          <w:tcPr>
            <w:tcW w:w="2898" w:type="dxa"/>
            <w:tcBorders>
              <w:top w:val="single" w:sz="8" w:space="0" w:color="000000"/>
            </w:tcBorders>
          </w:tcPr>
          <w:p w14:paraId="1E86482B" w14:textId="77777777" w:rsidR="004D3003" w:rsidRDefault="00000000">
            <w:pPr>
              <w:pStyle w:val="TableParagraph"/>
              <w:spacing w:before="46"/>
              <w:ind w:left="125"/>
              <w:rPr>
                <w:rFonts w:ascii="Arial"/>
                <w:b/>
              </w:rPr>
            </w:pPr>
            <w:r>
              <w:rPr>
                <w:rFonts w:ascii="Arial"/>
                <w:b/>
              </w:rPr>
              <w:t>Continuous</w:t>
            </w:r>
            <w:r>
              <w:rPr>
                <w:rFonts w:ascii="Arial"/>
                <w:b/>
                <w:spacing w:val="-10"/>
              </w:rPr>
              <w:t xml:space="preserve"> </w:t>
            </w:r>
            <w:r>
              <w:rPr>
                <w:rFonts w:ascii="Arial"/>
                <w:b/>
                <w:spacing w:val="-2"/>
              </w:rPr>
              <w:t>variables</w:t>
            </w:r>
          </w:p>
          <w:p w14:paraId="208B568A" w14:textId="77777777" w:rsidR="004D3003" w:rsidRDefault="00000000">
            <w:pPr>
              <w:pStyle w:val="TableParagraph"/>
              <w:spacing w:before="13"/>
              <w:ind w:left="125"/>
            </w:pPr>
            <w:r>
              <w:t>AvgP</w:t>
            </w:r>
            <w:r>
              <w:rPr>
                <w:spacing w:val="-10"/>
              </w:rPr>
              <w:t xml:space="preserve"> </w:t>
            </w:r>
            <w:r>
              <w:rPr>
                <w:spacing w:val="-2"/>
              </w:rPr>
              <w:t>(psi)</w:t>
            </w:r>
          </w:p>
        </w:tc>
        <w:tc>
          <w:tcPr>
            <w:tcW w:w="945" w:type="dxa"/>
            <w:tcBorders>
              <w:top w:val="single" w:sz="8" w:space="0" w:color="000000"/>
            </w:tcBorders>
          </w:tcPr>
          <w:p w14:paraId="1C83B976" w14:textId="77777777" w:rsidR="004D3003" w:rsidRDefault="004D3003">
            <w:pPr>
              <w:pStyle w:val="TableParagraph"/>
              <w:spacing w:before="59"/>
              <w:rPr>
                <w:rFonts w:ascii="Arial"/>
                <w:i/>
              </w:rPr>
            </w:pPr>
          </w:p>
          <w:p w14:paraId="046EA8BB" w14:textId="77777777" w:rsidR="004D3003" w:rsidRDefault="00000000">
            <w:pPr>
              <w:pStyle w:val="TableParagraph"/>
              <w:spacing w:before="0"/>
              <w:ind w:right="120"/>
              <w:jc w:val="right"/>
            </w:pPr>
            <w:r>
              <w:rPr>
                <w:spacing w:val="-5"/>
              </w:rPr>
              <w:t>894</w:t>
            </w:r>
          </w:p>
        </w:tc>
        <w:tc>
          <w:tcPr>
            <w:tcW w:w="781" w:type="dxa"/>
            <w:tcBorders>
              <w:top w:val="single" w:sz="8" w:space="0" w:color="000000"/>
            </w:tcBorders>
          </w:tcPr>
          <w:p w14:paraId="244BBEA4" w14:textId="77777777" w:rsidR="004D3003" w:rsidRDefault="004D3003">
            <w:pPr>
              <w:pStyle w:val="TableParagraph"/>
              <w:spacing w:before="59"/>
              <w:rPr>
                <w:rFonts w:ascii="Arial"/>
                <w:i/>
              </w:rPr>
            </w:pPr>
          </w:p>
          <w:p w14:paraId="08DD4F9B" w14:textId="77777777" w:rsidR="004D3003" w:rsidRDefault="00000000">
            <w:pPr>
              <w:pStyle w:val="TableParagraph"/>
              <w:spacing w:before="0"/>
              <w:ind w:right="96"/>
              <w:jc w:val="right"/>
            </w:pPr>
            <w:r>
              <w:rPr>
                <w:spacing w:val="-2"/>
              </w:rPr>
              <w:t>64.53</w:t>
            </w:r>
          </w:p>
        </w:tc>
        <w:tc>
          <w:tcPr>
            <w:tcW w:w="764" w:type="dxa"/>
            <w:tcBorders>
              <w:top w:val="single" w:sz="8" w:space="0" w:color="000000"/>
            </w:tcBorders>
          </w:tcPr>
          <w:p w14:paraId="2D439F5D" w14:textId="77777777" w:rsidR="004D3003" w:rsidRDefault="004D3003">
            <w:pPr>
              <w:pStyle w:val="TableParagraph"/>
              <w:spacing w:before="59"/>
              <w:rPr>
                <w:rFonts w:ascii="Arial"/>
                <w:i/>
              </w:rPr>
            </w:pPr>
          </w:p>
          <w:p w14:paraId="16457327" w14:textId="77777777" w:rsidR="004D3003" w:rsidRDefault="00000000">
            <w:pPr>
              <w:pStyle w:val="TableParagraph"/>
              <w:spacing w:before="0"/>
              <w:ind w:right="110"/>
              <w:jc w:val="right"/>
            </w:pPr>
            <w:r>
              <w:rPr>
                <w:spacing w:val="-2"/>
              </w:rPr>
              <w:t>13.17</w:t>
            </w:r>
          </w:p>
        </w:tc>
        <w:tc>
          <w:tcPr>
            <w:tcW w:w="1305" w:type="dxa"/>
            <w:tcBorders>
              <w:top w:val="single" w:sz="8" w:space="0" w:color="000000"/>
            </w:tcBorders>
          </w:tcPr>
          <w:p w14:paraId="015F53C6" w14:textId="77777777" w:rsidR="004D3003" w:rsidRDefault="004D3003">
            <w:pPr>
              <w:pStyle w:val="TableParagraph"/>
              <w:spacing w:before="59"/>
              <w:rPr>
                <w:rFonts w:ascii="Arial"/>
                <w:i/>
              </w:rPr>
            </w:pPr>
          </w:p>
          <w:p w14:paraId="411D73AC" w14:textId="77777777" w:rsidR="004D3003" w:rsidRDefault="00000000">
            <w:pPr>
              <w:pStyle w:val="TableParagraph"/>
              <w:spacing w:before="0"/>
              <w:ind w:left="116"/>
            </w:pPr>
            <w:r>
              <w:rPr>
                <w:spacing w:val="-2"/>
              </w:rPr>
              <w:t>27.23</w:t>
            </w:r>
          </w:p>
        </w:tc>
        <w:tc>
          <w:tcPr>
            <w:tcW w:w="2683" w:type="dxa"/>
            <w:tcBorders>
              <w:top w:val="single" w:sz="8" w:space="0" w:color="000000"/>
            </w:tcBorders>
          </w:tcPr>
          <w:p w14:paraId="21EB75CA" w14:textId="77777777" w:rsidR="004D3003" w:rsidRDefault="004D3003">
            <w:pPr>
              <w:pStyle w:val="TableParagraph"/>
              <w:spacing w:before="59"/>
              <w:rPr>
                <w:rFonts w:ascii="Arial"/>
                <w:i/>
              </w:rPr>
            </w:pPr>
          </w:p>
          <w:p w14:paraId="61127F54" w14:textId="77777777" w:rsidR="004D3003" w:rsidRDefault="00000000">
            <w:pPr>
              <w:pStyle w:val="TableParagraph"/>
              <w:spacing w:before="0"/>
              <w:ind w:right="1371"/>
              <w:jc w:val="right"/>
            </w:pPr>
            <w:r>
              <w:rPr>
                <w:spacing w:val="-2"/>
              </w:rPr>
              <w:t>92.61</w:t>
            </w:r>
          </w:p>
        </w:tc>
      </w:tr>
      <w:tr w:rsidR="004D3003" w14:paraId="73BAF8EA" w14:textId="77777777">
        <w:trPr>
          <w:trHeight w:val="303"/>
        </w:trPr>
        <w:tc>
          <w:tcPr>
            <w:tcW w:w="2898" w:type="dxa"/>
          </w:tcPr>
          <w:p w14:paraId="5A85D8A0" w14:textId="77777777" w:rsidR="004D3003" w:rsidRDefault="00000000">
            <w:pPr>
              <w:pStyle w:val="TableParagraph"/>
              <w:spacing w:before="31" w:line="253" w:lineRule="exact"/>
              <w:ind w:left="125"/>
            </w:pPr>
            <w:r>
              <w:t>Ag50</w:t>
            </w:r>
            <w:r>
              <w:rPr>
                <w:spacing w:val="-4"/>
              </w:rPr>
              <w:t xml:space="preserve"> </w:t>
            </w:r>
            <w:r>
              <w:rPr>
                <w:spacing w:val="-2"/>
              </w:rPr>
              <w:t>(hours)</w:t>
            </w:r>
          </w:p>
        </w:tc>
        <w:tc>
          <w:tcPr>
            <w:tcW w:w="945" w:type="dxa"/>
          </w:tcPr>
          <w:p w14:paraId="5BD45BB3" w14:textId="77777777" w:rsidR="004D3003" w:rsidRDefault="00000000">
            <w:pPr>
              <w:pStyle w:val="TableParagraph"/>
              <w:spacing w:before="31" w:line="253" w:lineRule="exact"/>
              <w:ind w:right="120"/>
              <w:jc w:val="right"/>
            </w:pPr>
            <w:r>
              <w:rPr>
                <w:spacing w:val="-5"/>
              </w:rPr>
              <w:t>894</w:t>
            </w:r>
          </w:p>
        </w:tc>
        <w:tc>
          <w:tcPr>
            <w:tcW w:w="781" w:type="dxa"/>
          </w:tcPr>
          <w:p w14:paraId="7CCEB93E" w14:textId="77777777" w:rsidR="004D3003" w:rsidRDefault="00000000">
            <w:pPr>
              <w:pStyle w:val="TableParagraph"/>
              <w:spacing w:before="31" w:line="253" w:lineRule="exact"/>
              <w:ind w:right="104"/>
              <w:jc w:val="right"/>
            </w:pPr>
            <w:r>
              <w:rPr>
                <w:spacing w:val="-2"/>
              </w:rPr>
              <w:t>68.37</w:t>
            </w:r>
          </w:p>
        </w:tc>
        <w:tc>
          <w:tcPr>
            <w:tcW w:w="764" w:type="dxa"/>
          </w:tcPr>
          <w:p w14:paraId="21A569D9" w14:textId="77777777" w:rsidR="004D3003" w:rsidRDefault="00000000">
            <w:pPr>
              <w:pStyle w:val="TableParagraph"/>
              <w:spacing w:before="31" w:line="253" w:lineRule="exact"/>
              <w:ind w:right="110"/>
              <w:jc w:val="right"/>
            </w:pPr>
            <w:r>
              <w:rPr>
                <w:spacing w:val="-2"/>
              </w:rPr>
              <w:t>48.93</w:t>
            </w:r>
          </w:p>
        </w:tc>
        <w:tc>
          <w:tcPr>
            <w:tcW w:w="1305" w:type="dxa"/>
          </w:tcPr>
          <w:p w14:paraId="61DA7A14" w14:textId="77777777" w:rsidR="004D3003" w:rsidRDefault="00000000">
            <w:pPr>
              <w:pStyle w:val="TableParagraph"/>
              <w:spacing w:before="31" w:line="253" w:lineRule="exact"/>
              <w:ind w:left="239"/>
            </w:pPr>
            <w:r>
              <w:rPr>
                <w:spacing w:val="-4"/>
              </w:rPr>
              <w:t>6.49</w:t>
            </w:r>
          </w:p>
        </w:tc>
        <w:tc>
          <w:tcPr>
            <w:tcW w:w="2683" w:type="dxa"/>
          </w:tcPr>
          <w:p w14:paraId="158A3FB6" w14:textId="77777777" w:rsidR="004D3003" w:rsidRDefault="00000000">
            <w:pPr>
              <w:pStyle w:val="TableParagraph"/>
              <w:spacing w:before="31" w:line="253" w:lineRule="exact"/>
              <w:ind w:right="1370"/>
              <w:jc w:val="right"/>
            </w:pPr>
            <w:r>
              <w:rPr>
                <w:spacing w:val="-2"/>
              </w:rPr>
              <w:t>420.00</w:t>
            </w:r>
          </w:p>
        </w:tc>
      </w:tr>
      <w:tr w:rsidR="004D3003" w14:paraId="7B7C82CE" w14:textId="77777777">
        <w:trPr>
          <w:trHeight w:val="285"/>
        </w:trPr>
        <w:tc>
          <w:tcPr>
            <w:tcW w:w="2898" w:type="dxa"/>
          </w:tcPr>
          <w:p w14:paraId="66EC1401" w14:textId="77777777" w:rsidR="004D3003" w:rsidRDefault="00000000">
            <w:pPr>
              <w:pStyle w:val="TableParagraph"/>
              <w:spacing w:line="253" w:lineRule="exact"/>
              <w:ind w:left="125"/>
            </w:pPr>
            <w:r>
              <w:t>Distress</w:t>
            </w:r>
            <w:r>
              <w:rPr>
                <w:spacing w:val="-8"/>
              </w:rPr>
              <w:t xml:space="preserve"> </w:t>
            </w:r>
            <w:r>
              <w:rPr>
                <w:spacing w:val="-2"/>
              </w:rPr>
              <w:t>index</w:t>
            </w:r>
          </w:p>
        </w:tc>
        <w:tc>
          <w:tcPr>
            <w:tcW w:w="945" w:type="dxa"/>
          </w:tcPr>
          <w:p w14:paraId="09C852E4" w14:textId="77777777" w:rsidR="004D3003" w:rsidRDefault="00000000">
            <w:pPr>
              <w:pStyle w:val="TableParagraph"/>
              <w:spacing w:line="253" w:lineRule="exact"/>
              <w:ind w:right="120"/>
              <w:jc w:val="right"/>
            </w:pPr>
            <w:r>
              <w:rPr>
                <w:spacing w:val="-5"/>
              </w:rPr>
              <w:t>894</w:t>
            </w:r>
          </w:p>
        </w:tc>
        <w:tc>
          <w:tcPr>
            <w:tcW w:w="781" w:type="dxa"/>
          </w:tcPr>
          <w:p w14:paraId="6520B736" w14:textId="77777777" w:rsidR="004D3003" w:rsidRDefault="00000000">
            <w:pPr>
              <w:pStyle w:val="TableParagraph"/>
              <w:spacing w:line="253" w:lineRule="exact"/>
              <w:ind w:right="96"/>
              <w:jc w:val="right"/>
            </w:pPr>
            <w:r>
              <w:rPr>
                <w:spacing w:val="-4"/>
              </w:rPr>
              <w:t>4.14</w:t>
            </w:r>
          </w:p>
        </w:tc>
        <w:tc>
          <w:tcPr>
            <w:tcW w:w="764" w:type="dxa"/>
          </w:tcPr>
          <w:p w14:paraId="33219046" w14:textId="77777777" w:rsidR="004D3003" w:rsidRDefault="00000000">
            <w:pPr>
              <w:pStyle w:val="TableParagraph"/>
              <w:spacing w:line="253" w:lineRule="exact"/>
              <w:ind w:right="110"/>
              <w:jc w:val="right"/>
            </w:pPr>
            <w:r>
              <w:rPr>
                <w:spacing w:val="-4"/>
              </w:rPr>
              <w:t>3.54</w:t>
            </w:r>
          </w:p>
        </w:tc>
        <w:tc>
          <w:tcPr>
            <w:tcW w:w="1305" w:type="dxa"/>
          </w:tcPr>
          <w:p w14:paraId="29A8985C" w14:textId="77777777" w:rsidR="004D3003" w:rsidRDefault="00000000">
            <w:pPr>
              <w:pStyle w:val="TableParagraph"/>
              <w:spacing w:line="253" w:lineRule="exact"/>
              <w:ind w:left="171"/>
            </w:pPr>
            <w:r>
              <w:rPr>
                <w:spacing w:val="-2"/>
              </w:rPr>
              <w:t>-</w:t>
            </w:r>
            <w:r>
              <w:rPr>
                <w:spacing w:val="-4"/>
              </w:rPr>
              <w:t>4.50</w:t>
            </w:r>
          </w:p>
        </w:tc>
        <w:tc>
          <w:tcPr>
            <w:tcW w:w="2683" w:type="dxa"/>
          </w:tcPr>
          <w:p w14:paraId="43E9CD79" w14:textId="77777777" w:rsidR="004D3003" w:rsidRDefault="00000000">
            <w:pPr>
              <w:pStyle w:val="TableParagraph"/>
              <w:spacing w:line="253" w:lineRule="exact"/>
              <w:ind w:right="1371"/>
              <w:jc w:val="right"/>
            </w:pPr>
            <w:r>
              <w:rPr>
                <w:spacing w:val="-2"/>
              </w:rPr>
              <w:t>18.66</w:t>
            </w:r>
          </w:p>
        </w:tc>
      </w:tr>
      <w:tr w:rsidR="004D3003" w14:paraId="18AB210A" w14:textId="77777777">
        <w:trPr>
          <w:trHeight w:val="285"/>
        </w:trPr>
        <w:tc>
          <w:tcPr>
            <w:tcW w:w="2898" w:type="dxa"/>
          </w:tcPr>
          <w:p w14:paraId="72B30F98" w14:textId="77777777" w:rsidR="004D3003" w:rsidRDefault="00000000">
            <w:pPr>
              <w:pStyle w:val="TableParagraph"/>
              <w:spacing w:line="253" w:lineRule="exact"/>
              <w:ind w:left="125"/>
            </w:pPr>
            <w:r>
              <w:rPr>
                <w:spacing w:val="-2"/>
              </w:rPr>
              <w:t>PercVacant</w:t>
            </w:r>
            <w:r>
              <w:rPr>
                <w:spacing w:val="-6"/>
              </w:rPr>
              <w:t xml:space="preserve"> </w:t>
            </w:r>
            <w:r>
              <w:rPr>
                <w:spacing w:val="-2"/>
              </w:rPr>
              <w:t>(proportion)</w:t>
            </w:r>
          </w:p>
        </w:tc>
        <w:tc>
          <w:tcPr>
            <w:tcW w:w="945" w:type="dxa"/>
          </w:tcPr>
          <w:p w14:paraId="5A6A36AC" w14:textId="77777777" w:rsidR="004D3003" w:rsidRDefault="00000000">
            <w:pPr>
              <w:pStyle w:val="TableParagraph"/>
              <w:spacing w:line="253" w:lineRule="exact"/>
              <w:ind w:right="120"/>
              <w:jc w:val="right"/>
            </w:pPr>
            <w:r>
              <w:rPr>
                <w:spacing w:val="-5"/>
              </w:rPr>
              <w:t>784</w:t>
            </w:r>
          </w:p>
        </w:tc>
        <w:tc>
          <w:tcPr>
            <w:tcW w:w="781" w:type="dxa"/>
          </w:tcPr>
          <w:p w14:paraId="37C05973" w14:textId="77777777" w:rsidR="004D3003" w:rsidRDefault="00000000">
            <w:pPr>
              <w:pStyle w:val="TableParagraph"/>
              <w:spacing w:line="253" w:lineRule="exact"/>
              <w:ind w:right="96"/>
              <w:jc w:val="right"/>
            </w:pPr>
            <w:r>
              <w:rPr>
                <w:spacing w:val="-4"/>
              </w:rPr>
              <w:t>0.26</w:t>
            </w:r>
          </w:p>
        </w:tc>
        <w:tc>
          <w:tcPr>
            <w:tcW w:w="764" w:type="dxa"/>
          </w:tcPr>
          <w:p w14:paraId="69345902" w14:textId="77777777" w:rsidR="004D3003" w:rsidRDefault="00000000">
            <w:pPr>
              <w:pStyle w:val="TableParagraph"/>
              <w:spacing w:line="253" w:lineRule="exact"/>
              <w:ind w:right="110"/>
              <w:jc w:val="right"/>
            </w:pPr>
            <w:r>
              <w:rPr>
                <w:spacing w:val="-4"/>
              </w:rPr>
              <w:t>0.20</w:t>
            </w:r>
          </w:p>
        </w:tc>
        <w:tc>
          <w:tcPr>
            <w:tcW w:w="1305" w:type="dxa"/>
          </w:tcPr>
          <w:p w14:paraId="18477F77" w14:textId="77777777" w:rsidR="004D3003" w:rsidRDefault="00000000">
            <w:pPr>
              <w:pStyle w:val="TableParagraph"/>
              <w:spacing w:line="253" w:lineRule="exact"/>
              <w:ind w:left="239"/>
            </w:pPr>
            <w:r>
              <w:rPr>
                <w:spacing w:val="-4"/>
              </w:rPr>
              <w:t>0.00</w:t>
            </w:r>
          </w:p>
        </w:tc>
        <w:tc>
          <w:tcPr>
            <w:tcW w:w="2683" w:type="dxa"/>
          </w:tcPr>
          <w:p w14:paraId="09F1B4A0" w14:textId="77777777" w:rsidR="004D3003" w:rsidRDefault="00000000">
            <w:pPr>
              <w:pStyle w:val="TableParagraph"/>
              <w:spacing w:line="253" w:lineRule="exact"/>
              <w:ind w:right="1354"/>
              <w:jc w:val="right"/>
            </w:pPr>
            <w:r>
              <w:rPr>
                <w:spacing w:val="-4"/>
              </w:rPr>
              <w:t>0.77</w:t>
            </w:r>
          </w:p>
        </w:tc>
      </w:tr>
      <w:tr w:rsidR="004D3003" w14:paraId="0EA52292" w14:textId="77777777">
        <w:trPr>
          <w:trHeight w:val="339"/>
        </w:trPr>
        <w:tc>
          <w:tcPr>
            <w:tcW w:w="2898" w:type="dxa"/>
          </w:tcPr>
          <w:p w14:paraId="781F37F9" w14:textId="77777777" w:rsidR="004D3003" w:rsidRDefault="00000000">
            <w:pPr>
              <w:pStyle w:val="TableParagraph"/>
              <w:ind w:left="125"/>
            </w:pPr>
            <w:r>
              <w:t>PrcNW</w:t>
            </w:r>
            <w:r>
              <w:rPr>
                <w:spacing w:val="-5"/>
              </w:rPr>
              <w:t xml:space="preserve"> (%)</w:t>
            </w:r>
          </w:p>
        </w:tc>
        <w:tc>
          <w:tcPr>
            <w:tcW w:w="945" w:type="dxa"/>
          </w:tcPr>
          <w:p w14:paraId="60B34643" w14:textId="77777777" w:rsidR="004D3003" w:rsidRDefault="00000000">
            <w:pPr>
              <w:pStyle w:val="TableParagraph"/>
              <w:ind w:right="120"/>
              <w:jc w:val="right"/>
            </w:pPr>
            <w:r>
              <w:rPr>
                <w:spacing w:val="-5"/>
              </w:rPr>
              <w:t>887</w:t>
            </w:r>
          </w:p>
        </w:tc>
        <w:tc>
          <w:tcPr>
            <w:tcW w:w="781" w:type="dxa"/>
          </w:tcPr>
          <w:p w14:paraId="589B6D74" w14:textId="77777777" w:rsidR="004D3003" w:rsidRDefault="00000000">
            <w:pPr>
              <w:pStyle w:val="TableParagraph"/>
              <w:ind w:right="104"/>
              <w:jc w:val="right"/>
            </w:pPr>
            <w:r>
              <w:rPr>
                <w:spacing w:val="-2"/>
              </w:rPr>
              <w:t>61.41</w:t>
            </w:r>
          </w:p>
        </w:tc>
        <w:tc>
          <w:tcPr>
            <w:tcW w:w="764" w:type="dxa"/>
          </w:tcPr>
          <w:p w14:paraId="5DC2D14F" w14:textId="77777777" w:rsidR="004D3003" w:rsidRDefault="00000000">
            <w:pPr>
              <w:pStyle w:val="TableParagraph"/>
              <w:ind w:right="110"/>
              <w:jc w:val="right"/>
            </w:pPr>
            <w:r>
              <w:rPr>
                <w:spacing w:val="-2"/>
              </w:rPr>
              <w:t>32.04</w:t>
            </w:r>
          </w:p>
        </w:tc>
        <w:tc>
          <w:tcPr>
            <w:tcW w:w="1305" w:type="dxa"/>
          </w:tcPr>
          <w:p w14:paraId="15E49932" w14:textId="77777777" w:rsidR="004D3003" w:rsidRDefault="00000000">
            <w:pPr>
              <w:pStyle w:val="TableParagraph"/>
              <w:ind w:left="239"/>
            </w:pPr>
            <w:r>
              <w:rPr>
                <w:spacing w:val="-4"/>
              </w:rPr>
              <w:t>2.44</w:t>
            </w:r>
          </w:p>
        </w:tc>
        <w:tc>
          <w:tcPr>
            <w:tcW w:w="2683" w:type="dxa"/>
          </w:tcPr>
          <w:p w14:paraId="7DD5D04D" w14:textId="77777777" w:rsidR="004D3003" w:rsidRDefault="00000000">
            <w:pPr>
              <w:pStyle w:val="TableParagraph"/>
              <w:ind w:right="1370"/>
              <w:jc w:val="right"/>
            </w:pPr>
            <w:r>
              <w:rPr>
                <w:spacing w:val="-2"/>
              </w:rPr>
              <w:t>100.00</w:t>
            </w:r>
          </w:p>
        </w:tc>
      </w:tr>
      <w:tr w:rsidR="004D3003" w14:paraId="2B4157EB" w14:textId="77777777">
        <w:trPr>
          <w:trHeight w:val="319"/>
        </w:trPr>
        <w:tc>
          <w:tcPr>
            <w:tcW w:w="2898" w:type="dxa"/>
          </w:tcPr>
          <w:p w14:paraId="702BF39B" w14:textId="77777777" w:rsidR="004D3003" w:rsidRDefault="00000000">
            <w:pPr>
              <w:pStyle w:val="TableParagraph"/>
              <w:spacing w:before="67" w:line="233" w:lineRule="exact"/>
              <w:ind w:left="127"/>
              <w:rPr>
                <w:rFonts w:ascii="Arial"/>
                <w:b/>
              </w:rPr>
            </w:pPr>
            <w:r>
              <w:rPr>
                <w:rFonts w:ascii="Arial"/>
                <w:b/>
              </w:rPr>
              <w:t>Binary</w:t>
            </w:r>
            <w:r>
              <w:rPr>
                <w:rFonts w:ascii="Arial"/>
                <w:b/>
                <w:spacing w:val="-6"/>
              </w:rPr>
              <w:t xml:space="preserve"> </w:t>
            </w:r>
            <w:r>
              <w:rPr>
                <w:rFonts w:ascii="Arial"/>
                <w:b/>
                <w:spacing w:val="-2"/>
              </w:rPr>
              <w:t>variable</w:t>
            </w:r>
          </w:p>
        </w:tc>
        <w:tc>
          <w:tcPr>
            <w:tcW w:w="945" w:type="dxa"/>
          </w:tcPr>
          <w:p w14:paraId="612D86D4" w14:textId="77777777" w:rsidR="004D3003" w:rsidRDefault="004D3003">
            <w:pPr>
              <w:pStyle w:val="TableParagraph"/>
              <w:spacing w:before="0"/>
              <w:rPr>
                <w:rFonts w:ascii="Times New Roman"/>
              </w:rPr>
            </w:pPr>
          </w:p>
        </w:tc>
        <w:tc>
          <w:tcPr>
            <w:tcW w:w="781" w:type="dxa"/>
          </w:tcPr>
          <w:p w14:paraId="2A9A673B" w14:textId="77777777" w:rsidR="004D3003" w:rsidRDefault="004D3003">
            <w:pPr>
              <w:pStyle w:val="TableParagraph"/>
              <w:spacing w:before="0"/>
              <w:rPr>
                <w:rFonts w:ascii="Times New Roman"/>
              </w:rPr>
            </w:pPr>
          </w:p>
        </w:tc>
        <w:tc>
          <w:tcPr>
            <w:tcW w:w="764" w:type="dxa"/>
          </w:tcPr>
          <w:p w14:paraId="007711B6" w14:textId="77777777" w:rsidR="004D3003" w:rsidRDefault="004D3003">
            <w:pPr>
              <w:pStyle w:val="TableParagraph"/>
              <w:spacing w:before="0"/>
              <w:rPr>
                <w:rFonts w:ascii="Times New Roman"/>
              </w:rPr>
            </w:pPr>
          </w:p>
        </w:tc>
        <w:tc>
          <w:tcPr>
            <w:tcW w:w="1305" w:type="dxa"/>
          </w:tcPr>
          <w:p w14:paraId="72EF2D55" w14:textId="77777777" w:rsidR="004D3003" w:rsidRDefault="004D3003">
            <w:pPr>
              <w:pStyle w:val="TableParagraph"/>
              <w:spacing w:before="0"/>
              <w:rPr>
                <w:rFonts w:ascii="Times New Roman"/>
              </w:rPr>
            </w:pPr>
          </w:p>
        </w:tc>
        <w:tc>
          <w:tcPr>
            <w:tcW w:w="2683" w:type="dxa"/>
          </w:tcPr>
          <w:p w14:paraId="5CAB1B40" w14:textId="77777777" w:rsidR="004D3003" w:rsidRDefault="004D3003">
            <w:pPr>
              <w:pStyle w:val="TableParagraph"/>
              <w:spacing w:before="0"/>
              <w:rPr>
                <w:rFonts w:ascii="Times New Roman"/>
              </w:rPr>
            </w:pPr>
          </w:p>
        </w:tc>
      </w:tr>
    </w:tbl>
    <w:p w14:paraId="04D69AE8" w14:textId="77777777" w:rsidR="004D3003" w:rsidRDefault="00000000">
      <w:pPr>
        <w:tabs>
          <w:tab w:val="left" w:pos="5054"/>
        </w:tabs>
        <w:spacing w:before="45"/>
        <w:ind w:left="421"/>
        <w:rPr>
          <w:rFonts w:ascii="Arial MT"/>
        </w:rPr>
      </w:pPr>
      <w:r>
        <w:rPr>
          <w:rFonts w:ascii="Arial MT"/>
          <w:spacing w:val="-2"/>
        </w:rPr>
        <w:t>WhiteDominant</w:t>
      </w:r>
      <w:r>
        <w:rPr>
          <w:rFonts w:ascii="Arial MT"/>
        </w:rPr>
        <w:tab/>
      </w:r>
      <w:r>
        <w:rPr>
          <w:rFonts w:ascii="Arial"/>
          <w:i/>
        </w:rPr>
        <w:t>n</w:t>
      </w:r>
      <w:r>
        <w:rPr>
          <w:rFonts w:ascii="Arial"/>
          <w:i/>
          <w:spacing w:val="-3"/>
        </w:rPr>
        <w:t xml:space="preserve"> </w:t>
      </w:r>
      <w:r>
        <w:rPr>
          <w:rFonts w:ascii="Arial MT"/>
        </w:rPr>
        <w:t>=</w:t>
      </w:r>
      <w:r>
        <w:rPr>
          <w:rFonts w:ascii="Arial MT"/>
          <w:spacing w:val="-1"/>
        </w:rPr>
        <w:t xml:space="preserve"> </w:t>
      </w:r>
      <w:r>
        <w:rPr>
          <w:rFonts w:ascii="Arial MT"/>
          <w:spacing w:val="-5"/>
        </w:rPr>
        <w:t>887</w:t>
      </w:r>
    </w:p>
    <w:p w14:paraId="3801632A" w14:textId="77777777" w:rsidR="004D3003" w:rsidRDefault="00000000">
      <w:pPr>
        <w:tabs>
          <w:tab w:val="left" w:pos="4859"/>
        </w:tabs>
        <w:ind w:left="665"/>
        <w:rPr>
          <w:rFonts w:ascii="Arial MT"/>
        </w:rPr>
      </w:pPr>
      <w:r>
        <w:rPr>
          <w:rFonts w:ascii="Arial MT"/>
        </w:rPr>
        <w:t>1</w:t>
      </w:r>
      <w:r>
        <w:rPr>
          <w:rFonts w:ascii="Arial MT"/>
          <w:spacing w:val="-5"/>
        </w:rPr>
        <w:t xml:space="preserve"> </w:t>
      </w:r>
      <w:r>
        <w:rPr>
          <w:rFonts w:ascii="Arial MT"/>
        </w:rPr>
        <w:t>(Majority</w:t>
      </w:r>
      <w:r>
        <w:rPr>
          <w:rFonts w:ascii="Arial MT"/>
          <w:spacing w:val="-5"/>
        </w:rPr>
        <w:t xml:space="preserve"> </w:t>
      </w:r>
      <w:r>
        <w:rPr>
          <w:rFonts w:ascii="Arial MT"/>
          <w:spacing w:val="-2"/>
        </w:rPr>
        <w:t>white)</w:t>
      </w:r>
      <w:r>
        <w:rPr>
          <w:rFonts w:ascii="Arial MT"/>
        </w:rPr>
        <w:tab/>
        <w:t>524</w:t>
      </w:r>
      <w:r>
        <w:rPr>
          <w:rFonts w:ascii="Arial MT"/>
          <w:spacing w:val="-5"/>
        </w:rPr>
        <w:t xml:space="preserve"> </w:t>
      </w:r>
      <w:r>
        <w:rPr>
          <w:rFonts w:ascii="Arial MT"/>
          <w:spacing w:val="-2"/>
        </w:rPr>
        <w:t>(59.0%)</w:t>
      </w:r>
    </w:p>
    <w:p w14:paraId="28461488" w14:textId="77777777" w:rsidR="004D3003" w:rsidRDefault="00000000">
      <w:pPr>
        <w:tabs>
          <w:tab w:val="left" w:pos="4859"/>
        </w:tabs>
        <w:spacing w:before="5"/>
        <w:ind w:left="665"/>
        <w:rPr>
          <w:rFonts w:ascii="Arial MT"/>
        </w:rPr>
      </w:pPr>
      <w:r>
        <w:rPr>
          <w:rFonts w:ascii="Arial MT"/>
          <w:noProof/>
        </w:rPr>
        <mc:AlternateContent>
          <mc:Choice Requires="wps">
            <w:drawing>
              <wp:anchor distT="0" distB="0" distL="0" distR="0" simplePos="0" relativeHeight="15728640" behindDoc="0" locked="0" layoutInCell="1" allowOverlap="1" wp14:anchorId="009CA83A" wp14:editId="14EE65E1">
                <wp:simplePos x="0" y="0"/>
                <wp:positionH relativeFrom="page">
                  <wp:posOffset>876300</wp:posOffset>
                </wp:positionH>
                <wp:positionV relativeFrom="paragraph">
                  <wp:posOffset>233985</wp:posOffset>
                </wp:positionV>
                <wp:extent cx="603885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8850" cy="1270"/>
                        </a:xfrm>
                        <a:custGeom>
                          <a:avLst/>
                          <a:gdLst/>
                          <a:ahLst/>
                          <a:cxnLst/>
                          <a:rect l="l" t="t" r="r" b="b"/>
                          <a:pathLst>
                            <a:path w="6038850">
                              <a:moveTo>
                                <a:pt x="0" y="0"/>
                              </a:moveTo>
                              <a:lnTo>
                                <a:pt x="6038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C9665A" id="Graphic 1" o:spid="_x0000_s1026" style="position:absolute;margin-left:69pt;margin-top:18.4pt;width:4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038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" path="m,l6038850,e" filled="f">
                <v:path arrowok="t"/>
                <w10:wrap anchorx="page"/>
              </v:shape>
            </w:pict>
          </mc:Fallback>
        </mc:AlternateContent>
      </w:r>
      <w:r>
        <w:rPr>
          <w:rFonts w:ascii="Arial MT"/>
        </w:rPr>
        <w:t>0</w:t>
      </w:r>
      <w:r>
        <w:rPr>
          <w:rFonts w:ascii="Arial MT"/>
          <w:spacing w:val="-7"/>
        </w:rPr>
        <w:t xml:space="preserve"> </w:t>
      </w:r>
      <w:r>
        <w:rPr>
          <w:rFonts w:ascii="Arial MT"/>
        </w:rPr>
        <w:t>(Majority</w:t>
      </w:r>
      <w:r>
        <w:rPr>
          <w:rFonts w:ascii="Arial MT"/>
          <w:spacing w:val="-7"/>
        </w:rPr>
        <w:t xml:space="preserve"> </w:t>
      </w:r>
      <w:r>
        <w:rPr>
          <w:rFonts w:ascii="Arial MT"/>
        </w:rPr>
        <w:t>non-</w:t>
      </w:r>
      <w:r>
        <w:rPr>
          <w:rFonts w:ascii="Arial MT"/>
          <w:spacing w:val="-2"/>
        </w:rPr>
        <w:t>white)</w:t>
      </w:r>
      <w:r>
        <w:rPr>
          <w:rFonts w:ascii="Arial MT"/>
        </w:rPr>
        <w:tab/>
        <w:t>364</w:t>
      </w:r>
      <w:r>
        <w:rPr>
          <w:rFonts w:ascii="Arial MT"/>
          <w:spacing w:val="-5"/>
        </w:rPr>
        <w:t xml:space="preserve"> </w:t>
      </w:r>
      <w:r>
        <w:rPr>
          <w:rFonts w:ascii="Arial MT"/>
          <w:spacing w:val="-2"/>
        </w:rPr>
        <w:t>(41.0%)</w:t>
      </w:r>
    </w:p>
    <w:p w14:paraId="238E69D1" w14:textId="77777777" w:rsidR="004D3003" w:rsidRDefault="00000000">
      <w:pPr>
        <w:spacing w:before="209"/>
        <w:ind w:left="360" w:right="495"/>
        <w:jc w:val="both"/>
        <w:rPr>
          <w:rFonts w:ascii="Arial MT"/>
        </w:rPr>
      </w:pPr>
      <w:r>
        <w:rPr>
          <w:rFonts w:ascii="Arial"/>
          <w:i/>
        </w:rPr>
        <w:t>Note.</w:t>
      </w:r>
      <w:r>
        <w:rPr>
          <w:rFonts w:ascii="Arial"/>
          <w:i/>
          <w:spacing w:val="-3"/>
        </w:rPr>
        <w:t xml:space="preserve"> </w:t>
      </w:r>
      <w:r>
        <w:rPr>
          <w:rFonts w:ascii="Arial MT"/>
        </w:rPr>
        <w:t>M</w:t>
      </w:r>
      <w:r>
        <w:rPr>
          <w:rFonts w:ascii="Arial MT"/>
          <w:spacing w:val="-3"/>
        </w:rPr>
        <w:t xml:space="preserve"> </w:t>
      </w:r>
      <w:r>
        <w:rPr>
          <w:rFonts w:ascii="Arial MT"/>
        </w:rPr>
        <w:t>=</w:t>
      </w:r>
      <w:r>
        <w:rPr>
          <w:rFonts w:ascii="Arial MT"/>
          <w:spacing w:val="-3"/>
        </w:rPr>
        <w:t xml:space="preserve"> </w:t>
      </w:r>
      <w:r>
        <w:rPr>
          <w:rFonts w:ascii="Arial MT"/>
        </w:rPr>
        <w:t>mean;</w:t>
      </w:r>
      <w:r>
        <w:rPr>
          <w:rFonts w:ascii="Arial MT"/>
          <w:spacing w:val="-3"/>
        </w:rPr>
        <w:t xml:space="preserve"> </w:t>
      </w:r>
      <w:r>
        <w:rPr>
          <w:rFonts w:ascii="Arial MT"/>
        </w:rPr>
        <w:t>SD</w:t>
      </w:r>
      <w:r>
        <w:rPr>
          <w:rFonts w:ascii="Arial MT"/>
          <w:spacing w:val="-3"/>
        </w:rPr>
        <w:t xml:space="preserve"> </w:t>
      </w:r>
      <w:r>
        <w:rPr>
          <w:rFonts w:ascii="Arial MT"/>
        </w:rPr>
        <w:t>=</w:t>
      </w:r>
      <w:r>
        <w:rPr>
          <w:rFonts w:ascii="Arial MT"/>
          <w:spacing w:val="-3"/>
        </w:rPr>
        <w:t xml:space="preserve"> </w:t>
      </w:r>
      <w:r>
        <w:rPr>
          <w:rFonts w:ascii="Arial MT"/>
        </w:rPr>
        <w:t>standard</w:t>
      </w:r>
      <w:r>
        <w:rPr>
          <w:rFonts w:ascii="Arial MT"/>
          <w:spacing w:val="-3"/>
        </w:rPr>
        <w:t xml:space="preserve"> </w:t>
      </w:r>
      <w:r>
        <w:rPr>
          <w:rFonts w:ascii="Arial MT"/>
        </w:rPr>
        <w:t>deviation.</w:t>
      </w:r>
      <w:r>
        <w:rPr>
          <w:rFonts w:ascii="Arial MT"/>
          <w:spacing w:val="-3"/>
        </w:rPr>
        <w:t xml:space="preserve"> </w:t>
      </w:r>
      <w:r>
        <w:rPr>
          <w:rFonts w:ascii="Arial MT"/>
        </w:rPr>
        <w:t>WhiteDominant</w:t>
      </w:r>
      <w:r>
        <w:rPr>
          <w:rFonts w:ascii="Arial MT"/>
          <w:spacing w:val="-3"/>
        </w:rPr>
        <w:t xml:space="preserve"> </w:t>
      </w:r>
      <w:r>
        <w:rPr>
          <w:rFonts w:ascii="Arial MT"/>
        </w:rPr>
        <w:t>is</w:t>
      </w:r>
      <w:r>
        <w:rPr>
          <w:rFonts w:ascii="Arial MT"/>
          <w:spacing w:val="-3"/>
        </w:rPr>
        <w:t xml:space="preserve"> </w:t>
      </w:r>
      <w:r>
        <w:rPr>
          <w:rFonts w:ascii="Arial MT"/>
        </w:rPr>
        <w:t>a</w:t>
      </w:r>
      <w:r>
        <w:rPr>
          <w:rFonts w:ascii="Arial MT"/>
          <w:spacing w:val="-3"/>
        </w:rPr>
        <w:t xml:space="preserve"> </w:t>
      </w:r>
      <w:r>
        <w:rPr>
          <w:rFonts w:ascii="Arial MT"/>
        </w:rPr>
        <w:t>binary</w:t>
      </w:r>
      <w:r>
        <w:rPr>
          <w:rFonts w:ascii="Arial MT"/>
          <w:spacing w:val="-3"/>
        </w:rPr>
        <w:t xml:space="preserve"> </w:t>
      </w:r>
      <w:r>
        <w:rPr>
          <w:rFonts w:ascii="Arial MT"/>
        </w:rPr>
        <w:t>variable</w:t>
      </w:r>
      <w:r>
        <w:rPr>
          <w:rFonts w:ascii="Arial MT"/>
          <w:spacing w:val="-3"/>
        </w:rPr>
        <w:t xml:space="preserve"> </w:t>
      </w:r>
      <w:r>
        <w:rPr>
          <w:rFonts w:ascii="Arial MT"/>
        </w:rPr>
        <w:t>derived</w:t>
      </w:r>
      <w:r>
        <w:rPr>
          <w:rFonts w:ascii="Arial MT"/>
          <w:spacing w:val="-3"/>
        </w:rPr>
        <w:t xml:space="preserve"> </w:t>
      </w:r>
      <w:r>
        <w:rPr>
          <w:rFonts w:ascii="Arial MT"/>
        </w:rPr>
        <w:t>from PrcNW</w:t>
      </w:r>
      <w:r>
        <w:rPr>
          <w:rFonts w:ascii="Arial MT"/>
          <w:spacing w:val="-3"/>
        </w:rPr>
        <w:t xml:space="preserve"> </w:t>
      </w:r>
      <w:r>
        <w:rPr>
          <w:rFonts w:ascii="Arial MT"/>
        </w:rPr>
        <w:t>(1</w:t>
      </w:r>
      <w:r>
        <w:rPr>
          <w:rFonts w:ascii="Arial MT"/>
          <w:spacing w:val="-3"/>
        </w:rPr>
        <w:t xml:space="preserve"> </w:t>
      </w:r>
      <w:r>
        <w:rPr>
          <w:rFonts w:ascii="Arial MT"/>
        </w:rPr>
        <w:t>=</w:t>
      </w:r>
      <w:r>
        <w:rPr>
          <w:rFonts w:ascii="Arial MT"/>
          <w:spacing w:val="-3"/>
        </w:rPr>
        <w:t xml:space="preserve"> </w:t>
      </w:r>
      <w:r>
        <w:rPr>
          <w:rFonts w:ascii="Arial MT"/>
        </w:rPr>
        <w:t>majority</w:t>
      </w:r>
      <w:r>
        <w:rPr>
          <w:rFonts w:ascii="Arial MT"/>
          <w:spacing w:val="-3"/>
        </w:rPr>
        <w:t xml:space="preserve"> </w:t>
      </w:r>
      <w:r>
        <w:rPr>
          <w:rFonts w:ascii="Arial MT"/>
        </w:rPr>
        <w:t>White</w:t>
      </w:r>
      <w:r>
        <w:rPr>
          <w:rFonts w:ascii="Arial MT"/>
          <w:spacing w:val="-3"/>
        </w:rPr>
        <w:t xml:space="preserve"> </w:t>
      </w:r>
      <w:r>
        <w:rPr>
          <w:rFonts w:ascii="Arial MT"/>
        </w:rPr>
        <w:t>tract,</w:t>
      </w:r>
      <w:r>
        <w:rPr>
          <w:rFonts w:ascii="Arial MT"/>
          <w:spacing w:val="-3"/>
        </w:rPr>
        <w:t xml:space="preserve"> </w:t>
      </w:r>
      <w:r>
        <w:rPr>
          <w:rFonts w:ascii="Arial MT"/>
        </w:rPr>
        <w:t>PrcNW</w:t>
      </w:r>
      <w:r>
        <w:rPr>
          <w:rFonts w:ascii="Arial MT"/>
          <w:spacing w:val="-3"/>
        </w:rPr>
        <w:t xml:space="preserve"> </w:t>
      </w:r>
      <w:r>
        <w:rPr>
          <w:rFonts w:ascii="Arial MT"/>
        </w:rPr>
        <w:t>50%;</w:t>
      </w:r>
      <w:r>
        <w:rPr>
          <w:rFonts w:ascii="Arial MT"/>
          <w:spacing w:val="-3"/>
        </w:rPr>
        <w:t xml:space="preserve"> </w:t>
      </w:r>
      <w:r>
        <w:rPr>
          <w:rFonts w:ascii="Arial MT"/>
        </w:rPr>
        <w:t>0</w:t>
      </w:r>
      <w:r>
        <w:rPr>
          <w:rFonts w:ascii="Arial MT"/>
          <w:spacing w:val="-3"/>
        </w:rPr>
        <w:t xml:space="preserve"> </w:t>
      </w:r>
      <w:r>
        <w:rPr>
          <w:rFonts w:ascii="Arial MT"/>
        </w:rPr>
        <w:t>=</w:t>
      </w:r>
      <w:r>
        <w:rPr>
          <w:rFonts w:ascii="Arial MT"/>
          <w:spacing w:val="-3"/>
        </w:rPr>
        <w:t xml:space="preserve"> </w:t>
      </w:r>
      <w:r>
        <w:rPr>
          <w:rFonts w:ascii="Arial MT"/>
        </w:rPr>
        <w:t>majority</w:t>
      </w:r>
      <w:r>
        <w:rPr>
          <w:rFonts w:ascii="Arial MT"/>
          <w:spacing w:val="-3"/>
        </w:rPr>
        <w:t xml:space="preserve"> </w:t>
      </w:r>
      <w:r>
        <w:rPr>
          <w:rFonts w:ascii="Arial MT"/>
        </w:rPr>
        <w:t>non-White</w:t>
      </w:r>
      <w:r>
        <w:rPr>
          <w:rFonts w:ascii="Arial MT"/>
          <w:spacing w:val="-3"/>
        </w:rPr>
        <w:t xml:space="preserve"> </w:t>
      </w:r>
      <w:r>
        <w:rPr>
          <w:rFonts w:ascii="Arial MT"/>
        </w:rPr>
        <w:t>tract,</w:t>
      </w:r>
      <w:r>
        <w:rPr>
          <w:rFonts w:ascii="Arial MT"/>
          <w:spacing w:val="-3"/>
        </w:rPr>
        <w:t xml:space="preserve"> </w:t>
      </w:r>
      <w:r>
        <w:rPr>
          <w:rFonts w:ascii="Arial MT"/>
        </w:rPr>
        <w:t>PrcNW</w:t>
      </w:r>
      <w:r>
        <w:rPr>
          <w:rFonts w:ascii="Arial MT"/>
          <w:spacing w:val="-3"/>
        </w:rPr>
        <w:t xml:space="preserve"> </w:t>
      </w:r>
      <w:r>
        <w:rPr>
          <w:rFonts w:ascii="Arial MT"/>
        </w:rPr>
        <w:t>&lt;</w:t>
      </w:r>
      <w:r>
        <w:rPr>
          <w:rFonts w:ascii="Arial MT"/>
          <w:spacing w:val="-3"/>
        </w:rPr>
        <w:t xml:space="preserve"> </w:t>
      </w:r>
      <w:r>
        <w:rPr>
          <w:rFonts w:ascii="Arial MT"/>
        </w:rPr>
        <w:t>50%). Sample sizes vary due to missing values.</w:t>
      </w:r>
    </w:p>
    <w:p w14:paraId="297E4A8C" w14:textId="77777777" w:rsidR="004D3003" w:rsidRDefault="00000000">
      <w:pPr>
        <w:pStyle w:val="BodyText"/>
        <w:spacing w:before="200"/>
        <w:ind w:firstLine="720"/>
      </w:pPr>
      <w:r>
        <w:t>As the table suggests, two variables (PercVacant and PrcNW) contained missing values. Rather</w:t>
      </w:r>
      <w:r>
        <w:rPr>
          <w:spacing w:val="-4"/>
        </w:rPr>
        <w:t xml:space="preserve"> </w:t>
      </w:r>
      <w:r>
        <w:t>than</w:t>
      </w:r>
      <w:r>
        <w:rPr>
          <w:spacing w:val="-4"/>
        </w:rPr>
        <w:t xml:space="preserve"> </w:t>
      </w:r>
      <w:r>
        <w:t>using</w:t>
      </w:r>
      <w:r>
        <w:rPr>
          <w:spacing w:val="-4"/>
        </w:rPr>
        <w:t xml:space="preserve"> </w:t>
      </w:r>
      <w:r>
        <w:t>complete-case</w:t>
      </w:r>
      <w:r>
        <w:rPr>
          <w:spacing w:val="-4"/>
        </w:rPr>
        <w:t xml:space="preserve"> </w:t>
      </w:r>
      <w:r>
        <w:t>analysis,</w:t>
      </w:r>
      <w:r>
        <w:rPr>
          <w:spacing w:val="-4"/>
        </w:rPr>
        <w:t xml:space="preserve"> </w:t>
      </w:r>
      <w:r>
        <w:t>missing</w:t>
      </w:r>
      <w:r>
        <w:rPr>
          <w:spacing w:val="-4"/>
        </w:rPr>
        <w:t xml:space="preserve"> </w:t>
      </w:r>
      <w:r>
        <w:t>data</w:t>
      </w:r>
      <w:r>
        <w:rPr>
          <w:spacing w:val="-4"/>
        </w:rPr>
        <w:t xml:space="preserve"> </w:t>
      </w:r>
      <w:r>
        <w:t>were</w:t>
      </w:r>
      <w:r>
        <w:rPr>
          <w:spacing w:val="-4"/>
        </w:rPr>
        <w:t xml:space="preserve"> </w:t>
      </w:r>
      <w:r>
        <w:t>addressed</w:t>
      </w:r>
      <w:r>
        <w:rPr>
          <w:spacing w:val="-4"/>
        </w:rPr>
        <w:t xml:space="preserve"> </w:t>
      </w:r>
      <w:r>
        <w:t>using</w:t>
      </w:r>
      <w:r>
        <w:rPr>
          <w:spacing w:val="-4"/>
        </w:rPr>
        <w:t xml:space="preserve"> </w:t>
      </w:r>
      <w:r>
        <w:t>multiple</w:t>
      </w:r>
      <w:r>
        <w:rPr>
          <w:spacing w:val="-4"/>
        </w:rPr>
        <w:t xml:space="preserve"> </w:t>
      </w:r>
      <w:r>
        <w:t>imputation by predictive mean matching (PMM). PMM preserves the observed distribution of the data and avoids imputing implausible values. Ten imputed datasets were generated with ten iterations each. The binary indicator WhiteDominant was then reconstructed from the imputed PrcNW values. The diagnostics showed that the imputation process did not introduce any systemic bias and preserved the underlying data structure. Then, the two multiple regression models were constructed separately within each imputed dataset and pooled using Rubin’s rules.</w:t>
      </w:r>
    </w:p>
    <w:p w14:paraId="6CFEAB9B" w14:textId="77777777" w:rsidR="004D3003" w:rsidRDefault="00000000">
      <w:pPr>
        <w:pStyle w:val="Heading1"/>
        <w:ind w:left="4345"/>
      </w:pPr>
      <w:r>
        <w:rPr>
          <w:spacing w:val="-2"/>
        </w:rPr>
        <w:t>Findings</w:t>
      </w:r>
    </w:p>
    <w:p w14:paraId="010A55D8" w14:textId="3A9708AC" w:rsidR="004D3003" w:rsidRDefault="00000000">
      <w:pPr>
        <w:pStyle w:val="BodyText"/>
        <w:ind w:right="23" w:firstLine="720"/>
      </w:pPr>
      <w:r>
        <w:t>With the data cleaned and variables constructed as described in the Methods and Sample section, pooled OLS regression models were estimated. Based on the literature discussed in the Introduction section, several expectations can be drawn regarding the coefficients before fitting the model. Higher average water pressure was expected to be associated with lower median</w:t>
      </w:r>
      <w:r>
        <w:rPr>
          <w:spacing w:val="40"/>
        </w:rPr>
        <w:t xml:space="preserve"> </w:t>
      </w:r>
      <w:r>
        <w:t>water age, as increased pressure generally corresponds to higher flow velocities and reduced residence</w:t>
      </w:r>
      <w:r>
        <w:rPr>
          <w:spacing w:val="-4"/>
        </w:rPr>
        <w:t xml:space="preserve"> </w:t>
      </w:r>
      <w:r>
        <w:t>time</w:t>
      </w:r>
      <w:r>
        <w:rPr>
          <w:spacing w:val="-4"/>
        </w:rPr>
        <w:t xml:space="preserve"> </w:t>
      </w:r>
      <w:r>
        <w:t>within</w:t>
      </w:r>
      <w:r>
        <w:rPr>
          <w:spacing w:val="-4"/>
        </w:rPr>
        <w:t xml:space="preserve"> </w:t>
      </w:r>
      <w:r>
        <w:t>distribution</w:t>
      </w:r>
      <w:r>
        <w:rPr>
          <w:spacing w:val="-4"/>
        </w:rPr>
        <w:t xml:space="preserve"> </w:t>
      </w:r>
      <w:r>
        <w:t>systems</w:t>
      </w:r>
      <w:r>
        <w:rPr>
          <w:spacing w:val="-4"/>
        </w:rPr>
        <w:t xml:space="preserve"> </w:t>
      </w:r>
      <w:r>
        <w:t>(Sadler</w:t>
      </w:r>
      <w:r>
        <w:rPr>
          <w:spacing w:val="-4"/>
        </w:rPr>
        <w:t xml:space="preserve"> </w:t>
      </w:r>
      <w:r>
        <w:t>et</w:t>
      </w:r>
      <w:r>
        <w:rPr>
          <w:spacing w:val="-4"/>
        </w:rPr>
        <w:t xml:space="preserve"> </w:t>
      </w:r>
      <w:r>
        <w:t>al.,</w:t>
      </w:r>
      <w:r>
        <w:rPr>
          <w:spacing w:val="-4"/>
        </w:rPr>
        <w:t xml:space="preserve"> </w:t>
      </w:r>
      <w:r>
        <w:t>2025).</w:t>
      </w:r>
      <w:r>
        <w:rPr>
          <w:spacing w:val="-4"/>
        </w:rPr>
        <w:t xml:space="preserve"> </w:t>
      </w:r>
      <w:r>
        <w:t>Neighborhood</w:t>
      </w:r>
      <w:r>
        <w:rPr>
          <w:spacing w:val="-4"/>
        </w:rPr>
        <w:t xml:space="preserve"> </w:t>
      </w:r>
      <w:r>
        <w:t>distress</w:t>
      </w:r>
      <w:r>
        <w:rPr>
          <w:spacing w:val="-4"/>
        </w:rPr>
        <w:t xml:space="preserve"> </w:t>
      </w:r>
      <w:r>
        <w:t>and</w:t>
      </w:r>
      <w:r>
        <w:rPr>
          <w:spacing w:val="-4"/>
        </w:rPr>
        <w:t xml:space="preserve"> </w:t>
      </w:r>
      <w:r>
        <w:t>parcel vacancy were expected to be positively associated with water age, reflecting the possibility that economically distressed or highly vacant areas experience slower system turnover due to systemic neglect and suboptimal status of the wate</w:t>
      </w:r>
      <w:r w:rsidR="00FB3BB6">
        <w:t>r</w:t>
      </w:r>
      <w:r>
        <w:t xml:space="preserve"> infrastructure. Finally, census tracts classified as majority-White were expected to exhibit lower water age on average, consistent</w:t>
      </w:r>
      <w:r>
        <w:rPr>
          <w:spacing w:val="40"/>
        </w:rPr>
        <w:t xml:space="preserve"> </w:t>
      </w:r>
      <w:r>
        <w:t>with literature documenting racial disparities in infrastructure investment and service quality (Pulido, 2016). With these expectations established, the models are fitted, and the results are presented in Table 3 below.</w:t>
      </w:r>
    </w:p>
    <w:p w14:paraId="048BEEC1" w14:textId="77777777" w:rsidR="004D3003" w:rsidRDefault="004D3003">
      <w:pPr>
        <w:pStyle w:val="BodyText"/>
        <w:sectPr w:rsidR="004D3003">
          <w:pgSz w:w="12240" w:h="15840"/>
          <w:pgMar w:top="1360" w:right="1440" w:bottom="280" w:left="1080" w:header="720" w:footer="720" w:gutter="0"/>
          <w:cols w:space="720"/>
        </w:sectPr>
      </w:pPr>
    </w:p>
    <w:p w14:paraId="075306D5" w14:textId="77777777" w:rsidR="004D3003" w:rsidRDefault="00000000">
      <w:pPr>
        <w:spacing w:before="80"/>
        <w:ind w:left="360"/>
        <w:rPr>
          <w:rFonts w:ascii="Arial"/>
          <w:b/>
        </w:rPr>
      </w:pPr>
      <w:r>
        <w:rPr>
          <w:rFonts w:ascii="Arial"/>
          <w:b/>
          <w:spacing w:val="-2"/>
        </w:rPr>
        <w:lastRenderedPageBreak/>
        <w:t>Table</w:t>
      </w:r>
      <w:r>
        <w:rPr>
          <w:rFonts w:ascii="Arial"/>
          <w:b/>
          <w:spacing w:val="-11"/>
        </w:rPr>
        <w:t xml:space="preserve"> </w:t>
      </w:r>
      <w:r>
        <w:rPr>
          <w:rFonts w:ascii="Arial"/>
          <w:b/>
          <w:spacing w:val="-10"/>
        </w:rPr>
        <w:t>3</w:t>
      </w:r>
    </w:p>
    <w:p w14:paraId="1739D881" w14:textId="77777777" w:rsidR="004D3003" w:rsidRDefault="00000000">
      <w:pPr>
        <w:spacing w:before="92"/>
        <w:ind w:left="360"/>
        <w:rPr>
          <w:rFonts w:ascii="Arial"/>
          <w:i/>
        </w:rPr>
      </w:pPr>
      <w:r>
        <w:rPr>
          <w:rFonts w:ascii="Arial"/>
          <w:i/>
        </w:rPr>
        <w:t>Pooled</w:t>
      </w:r>
      <w:r>
        <w:rPr>
          <w:rFonts w:ascii="Arial"/>
          <w:i/>
          <w:spacing w:val="-7"/>
        </w:rPr>
        <w:t xml:space="preserve"> </w:t>
      </w:r>
      <w:r>
        <w:rPr>
          <w:rFonts w:ascii="Arial"/>
          <w:i/>
        </w:rPr>
        <w:t>OLS</w:t>
      </w:r>
      <w:r>
        <w:rPr>
          <w:rFonts w:ascii="Arial"/>
          <w:i/>
          <w:spacing w:val="-7"/>
        </w:rPr>
        <w:t xml:space="preserve"> </w:t>
      </w:r>
      <w:r>
        <w:rPr>
          <w:rFonts w:ascii="Arial"/>
          <w:i/>
        </w:rPr>
        <w:t>Regression</w:t>
      </w:r>
      <w:r>
        <w:rPr>
          <w:rFonts w:ascii="Arial"/>
          <w:i/>
          <w:spacing w:val="-7"/>
        </w:rPr>
        <w:t xml:space="preserve"> </w:t>
      </w:r>
      <w:r>
        <w:rPr>
          <w:rFonts w:ascii="Arial"/>
          <w:i/>
        </w:rPr>
        <w:t>Results</w:t>
      </w:r>
      <w:r>
        <w:rPr>
          <w:rFonts w:ascii="Arial"/>
          <w:i/>
          <w:spacing w:val="-7"/>
        </w:rPr>
        <w:t xml:space="preserve"> </w:t>
      </w:r>
      <w:r>
        <w:rPr>
          <w:rFonts w:ascii="Arial"/>
          <w:i/>
        </w:rPr>
        <w:t>Predicting</w:t>
      </w:r>
      <w:r>
        <w:rPr>
          <w:rFonts w:ascii="Arial"/>
          <w:i/>
          <w:spacing w:val="-7"/>
        </w:rPr>
        <w:t xml:space="preserve"> </w:t>
      </w:r>
      <w:r>
        <w:rPr>
          <w:rFonts w:ascii="Arial"/>
          <w:i/>
        </w:rPr>
        <w:t>mean</w:t>
      </w:r>
      <w:r>
        <w:rPr>
          <w:rFonts w:ascii="Arial"/>
          <w:i/>
          <w:spacing w:val="-7"/>
        </w:rPr>
        <w:t xml:space="preserve"> </w:t>
      </w:r>
      <w:r>
        <w:rPr>
          <w:rFonts w:ascii="Arial"/>
          <w:i/>
        </w:rPr>
        <w:t>Water</w:t>
      </w:r>
      <w:r>
        <w:rPr>
          <w:rFonts w:ascii="Arial"/>
          <w:i/>
          <w:spacing w:val="-7"/>
        </w:rPr>
        <w:t xml:space="preserve"> </w:t>
      </w:r>
      <w:r>
        <w:rPr>
          <w:rFonts w:ascii="Arial"/>
          <w:i/>
          <w:spacing w:val="-5"/>
        </w:rPr>
        <w:t>Age</w:t>
      </w:r>
    </w:p>
    <w:p w14:paraId="21338D23" w14:textId="77777777" w:rsidR="004D3003" w:rsidRDefault="004D3003">
      <w:pPr>
        <w:pStyle w:val="BodyText"/>
        <w:spacing w:before="9"/>
        <w:ind w:left="0"/>
        <w:rPr>
          <w:rFonts w:ascii="Arial"/>
          <w:i/>
          <w:sz w:val="15"/>
        </w:rPr>
      </w:pPr>
    </w:p>
    <w:tbl>
      <w:tblPr>
        <w:tblW w:w="0" w:type="auto"/>
        <w:tblInd w:w="347" w:type="dxa"/>
        <w:tblLayout w:type="fixed"/>
        <w:tblCellMar>
          <w:left w:w="0" w:type="dxa"/>
          <w:right w:w="0" w:type="dxa"/>
        </w:tblCellMar>
        <w:tblLook w:val="01E0" w:firstRow="1" w:lastRow="1" w:firstColumn="1" w:lastColumn="1" w:noHBand="0" w:noVBand="0"/>
      </w:tblPr>
      <w:tblGrid>
        <w:gridCol w:w="2048"/>
        <w:gridCol w:w="3154"/>
        <w:gridCol w:w="4158"/>
      </w:tblGrid>
      <w:tr w:rsidR="004D3003" w14:paraId="19BC5788" w14:textId="77777777">
        <w:trPr>
          <w:trHeight w:val="380"/>
        </w:trPr>
        <w:tc>
          <w:tcPr>
            <w:tcW w:w="2048" w:type="dxa"/>
            <w:tcBorders>
              <w:top w:val="single" w:sz="8" w:space="0" w:color="000000"/>
              <w:bottom w:val="single" w:sz="8" w:space="0" w:color="000000"/>
            </w:tcBorders>
          </w:tcPr>
          <w:p w14:paraId="51BA2D32" w14:textId="77777777" w:rsidR="004D3003" w:rsidRDefault="00000000">
            <w:pPr>
              <w:pStyle w:val="TableParagraph"/>
              <w:spacing w:before="40"/>
              <w:ind w:left="125"/>
              <w:rPr>
                <w:rFonts w:ascii="Arial"/>
                <w:b/>
              </w:rPr>
            </w:pPr>
            <w:r>
              <w:rPr>
                <w:rFonts w:ascii="Arial"/>
                <w:b/>
                <w:spacing w:val="-2"/>
              </w:rPr>
              <w:t>Predictors</w:t>
            </w:r>
          </w:p>
        </w:tc>
        <w:tc>
          <w:tcPr>
            <w:tcW w:w="3154" w:type="dxa"/>
            <w:tcBorders>
              <w:top w:val="single" w:sz="8" w:space="0" w:color="000000"/>
              <w:bottom w:val="single" w:sz="8" w:space="0" w:color="000000"/>
            </w:tcBorders>
          </w:tcPr>
          <w:p w14:paraId="6E64AD08" w14:textId="77777777" w:rsidR="004D3003" w:rsidRDefault="00000000">
            <w:pPr>
              <w:pStyle w:val="TableParagraph"/>
              <w:spacing w:before="40"/>
              <w:ind w:left="894"/>
              <w:rPr>
                <w:rFonts w:ascii="Arial"/>
                <w:b/>
              </w:rPr>
            </w:pPr>
            <w:r>
              <w:rPr>
                <w:rFonts w:ascii="Arial"/>
                <w:b/>
              </w:rPr>
              <w:t>Full</w:t>
            </w:r>
            <w:r>
              <w:rPr>
                <w:rFonts w:ascii="Arial"/>
                <w:b/>
                <w:spacing w:val="-4"/>
              </w:rPr>
              <w:t xml:space="preserve"> </w:t>
            </w:r>
            <w:r>
              <w:rPr>
                <w:rFonts w:ascii="Arial"/>
                <w:b/>
                <w:spacing w:val="-2"/>
              </w:rPr>
              <w:t>model</w:t>
            </w:r>
          </w:p>
        </w:tc>
        <w:tc>
          <w:tcPr>
            <w:tcW w:w="4158" w:type="dxa"/>
            <w:tcBorders>
              <w:top w:val="single" w:sz="8" w:space="0" w:color="000000"/>
              <w:bottom w:val="single" w:sz="8" w:space="0" w:color="000000"/>
            </w:tcBorders>
          </w:tcPr>
          <w:p w14:paraId="274EEBE4" w14:textId="77777777" w:rsidR="004D3003" w:rsidRDefault="00000000">
            <w:pPr>
              <w:pStyle w:val="TableParagraph"/>
              <w:spacing w:before="40"/>
              <w:ind w:left="944"/>
              <w:rPr>
                <w:rFonts w:ascii="Arial"/>
                <w:b/>
              </w:rPr>
            </w:pPr>
            <w:r>
              <w:rPr>
                <w:rFonts w:ascii="Arial"/>
                <w:b/>
              </w:rPr>
              <w:t>Reduced</w:t>
            </w:r>
            <w:r>
              <w:rPr>
                <w:rFonts w:ascii="Arial"/>
                <w:b/>
                <w:spacing w:val="-7"/>
              </w:rPr>
              <w:t xml:space="preserve"> </w:t>
            </w:r>
            <w:r>
              <w:rPr>
                <w:rFonts w:ascii="Arial"/>
                <w:b/>
                <w:spacing w:val="-2"/>
              </w:rPr>
              <w:t>model</w:t>
            </w:r>
          </w:p>
        </w:tc>
      </w:tr>
      <w:tr w:rsidR="004D3003" w14:paraId="10533087" w14:textId="77777777">
        <w:trPr>
          <w:trHeight w:val="325"/>
        </w:trPr>
        <w:tc>
          <w:tcPr>
            <w:tcW w:w="2048" w:type="dxa"/>
            <w:tcBorders>
              <w:top w:val="single" w:sz="8" w:space="0" w:color="000000"/>
            </w:tcBorders>
          </w:tcPr>
          <w:p w14:paraId="6976BDBE" w14:textId="77777777" w:rsidR="004D3003" w:rsidRDefault="00000000">
            <w:pPr>
              <w:pStyle w:val="TableParagraph"/>
              <w:spacing w:before="44"/>
              <w:ind w:left="125"/>
            </w:pPr>
            <w:r>
              <w:rPr>
                <w:spacing w:val="-4"/>
              </w:rPr>
              <w:t>AvgP</w:t>
            </w:r>
          </w:p>
        </w:tc>
        <w:tc>
          <w:tcPr>
            <w:tcW w:w="3154" w:type="dxa"/>
            <w:tcBorders>
              <w:top w:val="single" w:sz="8" w:space="0" w:color="000000"/>
            </w:tcBorders>
          </w:tcPr>
          <w:p w14:paraId="0B5A0ADA" w14:textId="77777777" w:rsidR="004D3003" w:rsidRDefault="00000000">
            <w:pPr>
              <w:pStyle w:val="TableParagraph"/>
              <w:spacing w:before="28"/>
              <w:ind w:left="726"/>
            </w:pPr>
            <w:r>
              <w:rPr>
                <w:rFonts w:ascii="Arial" w:hAnsi="Arial"/>
                <w:i/>
              </w:rPr>
              <w:t>−</w:t>
            </w:r>
            <w:r>
              <w:t>0</w:t>
            </w:r>
            <w:r>
              <w:rPr>
                <w:rFonts w:ascii="Arial" w:hAnsi="Arial"/>
                <w:i/>
              </w:rPr>
              <w:t>.</w:t>
            </w:r>
            <w:r>
              <w:t>319</w:t>
            </w:r>
            <w:r>
              <w:rPr>
                <w:spacing w:val="-6"/>
              </w:rPr>
              <w:t xml:space="preserve"> </w:t>
            </w:r>
            <w:r>
              <w:rPr>
                <w:spacing w:val="-2"/>
              </w:rPr>
              <w:t>(0</w:t>
            </w:r>
            <w:r>
              <w:rPr>
                <w:rFonts w:ascii="Arial" w:hAnsi="Arial"/>
                <w:i/>
                <w:spacing w:val="-2"/>
              </w:rPr>
              <w:t>.</w:t>
            </w:r>
            <w:r>
              <w:rPr>
                <w:spacing w:val="-2"/>
              </w:rPr>
              <w:t>172)</w:t>
            </w:r>
          </w:p>
        </w:tc>
        <w:tc>
          <w:tcPr>
            <w:tcW w:w="4158" w:type="dxa"/>
            <w:tcBorders>
              <w:top w:val="single" w:sz="8" w:space="0" w:color="000000"/>
            </w:tcBorders>
          </w:tcPr>
          <w:p w14:paraId="185F0518" w14:textId="77777777" w:rsidR="004D3003" w:rsidRDefault="00000000">
            <w:pPr>
              <w:pStyle w:val="TableParagraph"/>
              <w:spacing w:before="14"/>
              <w:ind w:left="1027"/>
            </w:pPr>
            <w:r>
              <w:rPr>
                <w:rFonts w:ascii="Arial" w:hAnsi="Arial"/>
                <w:i/>
              </w:rPr>
              <w:t>−</w:t>
            </w:r>
            <w:r>
              <w:t>0</w:t>
            </w:r>
            <w:r>
              <w:rPr>
                <w:rFonts w:ascii="Arial" w:hAnsi="Arial"/>
                <w:i/>
              </w:rPr>
              <w:t>.</w:t>
            </w:r>
            <w:r>
              <w:t>306</w:t>
            </w:r>
            <w:r>
              <w:rPr>
                <w:rFonts w:ascii="MS PGothic" w:hAnsi="MS PGothic"/>
                <w:vertAlign w:val="superscript"/>
              </w:rPr>
              <w:t>∗</w:t>
            </w:r>
            <w:r>
              <w:rPr>
                <w:rFonts w:ascii="MS PGothic" w:hAnsi="MS PGothic"/>
              </w:rPr>
              <w:t xml:space="preserve"> </w:t>
            </w:r>
            <w:r>
              <w:rPr>
                <w:spacing w:val="-2"/>
              </w:rPr>
              <w:t>(0</w:t>
            </w:r>
            <w:r>
              <w:rPr>
                <w:rFonts w:ascii="Arial" w:hAnsi="Arial"/>
                <w:i/>
                <w:spacing w:val="-2"/>
              </w:rPr>
              <w:t>.</w:t>
            </w:r>
            <w:r>
              <w:rPr>
                <w:spacing w:val="-2"/>
              </w:rPr>
              <w:t>121)</w:t>
            </w:r>
          </w:p>
        </w:tc>
      </w:tr>
      <w:tr w:rsidR="004D3003" w14:paraId="02474FB9" w14:textId="77777777">
        <w:trPr>
          <w:trHeight w:val="293"/>
        </w:trPr>
        <w:tc>
          <w:tcPr>
            <w:tcW w:w="2048" w:type="dxa"/>
          </w:tcPr>
          <w:p w14:paraId="62797778" w14:textId="77777777" w:rsidR="004D3003" w:rsidRDefault="00000000">
            <w:pPr>
              <w:pStyle w:val="TableParagraph"/>
              <w:spacing w:before="21" w:line="253" w:lineRule="exact"/>
              <w:ind w:left="125"/>
            </w:pPr>
            <w:r>
              <w:rPr>
                <w:spacing w:val="-2"/>
              </w:rPr>
              <w:t>Distress</w:t>
            </w:r>
          </w:p>
        </w:tc>
        <w:tc>
          <w:tcPr>
            <w:tcW w:w="3154" w:type="dxa"/>
          </w:tcPr>
          <w:p w14:paraId="68E91AEC" w14:textId="77777777" w:rsidR="004D3003" w:rsidRDefault="00000000">
            <w:pPr>
              <w:pStyle w:val="TableParagraph"/>
              <w:spacing w:before="21" w:line="253" w:lineRule="exact"/>
              <w:ind w:left="726"/>
            </w:pPr>
            <w:r>
              <w:rPr>
                <w:rFonts w:ascii="Arial" w:hAnsi="Arial"/>
                <w:i/>
              </w:rPr>
              <w:t>−</w:t>
            </w:r>
            <w:r>
              <w:t>3</w:t>
            </w:r>
            <w:r>
              <w:rPr>
                <w:rFonts w:ascii="Arial" w:hAnsi="Arial"/>
                <w:i/>
              </w:rPr>
              <w:t>.</w:t>
            </w:r>
            <w:r>
              <w:t>383</w:t>
            </w:r>
            <w:r>
              <w:rPr>
                <w:spacing w:val="-6"/>
              </w:rPr>
              <w:t xml:space="preserve"> </w:t>
            </w:r>
            <w:r>
              <w:rPr>
                <w:spacing w:val="-2"/>
              </w:rPr>
              <w:t>(2</w:t>
            </w:r>
            <w:r>
              <w:rPr>
                <w:rFonts w:ascii="Arial" w:hAnsi="Arial"/>
                <w:i/>
                <w:spacing w:val="-2"/>
              </w:rPr>
              <w:t>.</w:t>
            </w:r>
            <w:r>
              <w:rPr>
                <w:spacing w:val="-2"/>
              </w:rPr>
              <w:t>153)</w:t>
            </w:r>
          </w:p>
        </w:tc>
        <w:tc>
          <w:tcPr>
            <w:tcW w:w="4158" w:type="dxa"/>
          </w:tcPr>
          <w:p w14:paraId="51BAB1E4" w14:textId="77777777" w:rsidR="004D3003" w:rsidRDefault="00000000">
            <w:pPr>
              <w:pStyle w:val="TableParagraph"/>
              <w:spacing w:before="7" w:line="266" w:lineRule="exact"/>
              <w:ind w:left="1035"/>
            </w:pPr>
            <w:r>
              <w:rPr>
                <w:rFonts w:ascii="Arial" w:hAnsi="Arial"/>
                <w:i/>
                <w:spacing w:val="-2"/>
                <w:w w:val="105"/>
              </w:rPr>
              <w:t>−</w:t>
            </w:r>
            <w:r>
              <w:rPr>
                <w:spacing w:val="-2"/>
                <w:w w:val="105"/>
              </w:rPr>
              <w:t>3</w:t>
            </w:r>
            <w:r>
              <w:rPr>
                <w:rFonts w:ascii="Arial" w:hAnsi="Arial"/>
                <w:i/>
                <w:spacing w:val="-2"/>
                <w:w w:val="105"/>
              </w:rPr>
              <w:t>.</w:t>
            </w:r>
            <w:r>
              <w:rPr>
                <w:spacing w:val="-2"/>
                <w:w w:val="105"/>
              </w:rPr>
              <w:t>162</w:t>
            </w:r>
            <w:r>
              <w:rPr>
                <w:rFonts w:ascii="MS PGothic" w:hAnsi="MS PGothic"/>
                <w:spacing w:val="-2"/>
                <w:w w:val="105"/>
                <w:vertAlign w:val="superscript"/>
              </w:rPr>
              <w:t>∗∗∗</w:t>
            </w:r>
            <w:r>
              <w:rPr>
                <w:rFonts w:ascii="MS PGothic" w:hAnsi="MS PGothic"/>
                <w:spacing w:val="-2"/>
                <w:w w:val="105"/>
              </w:rPr>
              <w:t xml:space="preserve"> </w:t>
            </w:r>
            <w:r>
              <w:rPr>
                <w:spacing w:val="-2"/>
                <w:w w:val="105"/>
              </w:rPr>
              <w:t>(0</w:t>
            </w:r>
            <w:r>
              <w:rPr>
                <w:rFonts w:ascii="Arial" w:hAnsi="Arial"/>
                <w:i/>
                <w:spacing w:val="-2"/>
                <w:w w:val="105"/>
              </w:rPr>
              <w:t>.</w:t>
            </w:r>
            <w:r>
              <w:rPr>
                <w:spacing w:val="-2"/>
                <w:w w:val="105"/>
              </w:rPr>
              <w:t>491)</w:t>
            </w:r>
          </w:p>
        </w:tc>
      </w:tr>
      <w:tr w:rsidR="004D3003" w14:paraId="186604FF" w14:textId="77777777">
        <w:trPr>
          <w:trHeight w:val="285"/>
        </w:trPr>
        <w:tc>
          <w:tcPr>
            <w:tcW w:w="2048" w:type="dxa"/>
          </w:tcPr>
          <w:p w14:paraId="04CA2229" w14:textId="77777777" w:rsidR="004D3003" w:rsidRDefault="00000000">
            <w:pPr>
              <w:pStyle w:val="TableParagraph"/>
              <w:spacing w:line="253" w:lineRule="exact"/>
              <w:ind w:left="125"/>
            </w:pPr>
            <w:r>
              <w:rPr>
                <w:spacing w:val="-2"/>
              </w:rPr>
              <w:t>PercVacant</w:t>
            </w:r>
          </w:p>
        </w:tc>
        <w:tc>
          <w:tcPr>
            <w:tcW w:w="3154" w:type="dxa"/>
          </w:tcPr>
          <w:p w14:paraId="598D29FB" w14:textId="77777777" w:rsidR="004D3003" w:rsidRDefault="00000000">
            <w:pPr>
              <w:pStyle w:val="TableParagraph"/>
              <w:spacing w:line="253" w:lineRule="exact"/>
              <w:ind w:left="601"/>
            </w:pPr>
            <w:r>
              <w:rPr>
                <w:rFonts w:ascii="Arial" w:hAnsi="Arial"/>
                <w:i/>
                <w:spacing w:val="-2"/>
              </w:rPr>
              <w:t>−</w:t>
            </w:r>
            <w:r>
              <w:rPr>
                <w:spacing w:val="-2"/>
              </w:rPr>
              <w:t>11</w:t>
            </w:r>
            <w:r>
              <w:rPr>
                <w:rFonts w:ascii="Arial" w:hAnsi="Arial"/>
                <w:i/>
                <w:spacing w:val="-2"/>
              </w:rPr>
              <w:t>.</w:t>
            </w:r>
            <w:r>
              <w:rPr>
                <w:spacing w:val="-2"/>
              </w:rPr>
              <w:t>313</w:t>
            </w:r>
            <w:r>
              <w:rPr>
                <w:spacing w:val="-9"/>
              </w:rPr>
              <w:t xml:space="preserve"> </w:t>
            </w:r>
            <w:r>
              <w:rPr>
                <w:spacing w:val="-2"/>
              </w:rPr>
              <w:t>(9</w:t>
            </w:r>
            <w:r>
              <w:rPr>
                <w:rFonts w:ascii="Arial" w:hAnsi="Arial"/>
                <w:i/>
                <w:spacing w:val="-2"/>
              </w:rPr>
              <w:t>.</w:t>
            </w:r>
            <w:r>
              <w:rPr>
                <w:spacing w:val="-2"/>
              </w:rPr>
              <w:t>722)</w:t>
            </w:r>
          </w:p>
        </w:tc>
        <w:tc>
          <w:tcPr>
            <w:tcW w:w="4158" w:type="dxa"/>
          </w:tcPr>
          <w:p w14:paraId="17905DAA" w14:textId="77777777" w:rsidR="004D3003" w:rsidRDefault="00000000">
            <w:pPr>
              <w:pStyle w:val="TableParagraph"/>
              <w:spacing w:line="253" w:lineRule="exact"/>
              <w:ind w:left="904"/>
            </w:pPr>
            <w:r>
              <w:rPr>
                <w:rFonts w:ascii="Arial" w:hAnsi="Arial"/>
                <w:i/>
                <w:spacing w:val="-2"/>
              </w:rPr>
              <w:t>–</w:t>
            </w:r>
            <w:r>
              <w:rPr>
                <w:spacing w:val="-2"/>
              </w:rPr>
              <w:t>11</w:t>
            </w:r>
            <w:r>
              <w:rPr>
                <w:rFonts w:ascii="Arial" w:hAnsi="Arial"/>
                <w:i/>
                <w:spacing w:val="-2"/>
              </w:rPr>
              <w:t>.</w:t>
            </w:r>
            <w:r>
              <w:rPr>
                <w:spacing w:val="-2"/>
              </w:rPr>
              <w:t>291</w:t>
            </w:r>
            <w:r>
              <w:rPr>
                <w:spacing w:val="-9"/>
              </w:rPr>
              <w:t xml:space="preserve"> </w:t>
            </w:r>
            <w:r>
              <w:rPr>
                <w:spacing w:val="-2"/>
              </w:rPr>
              <w:t>(9</w:t>
            </w:r>
            <w:r>
              <w:rPr>
                <w:rFonts w:ascii="Arial" w:hAnsi="Arial"/>
                <w:i/>
                <w:spacing w:val="-2"/>
              </w:rPr>
              <w:t>.</w:t>
            </w:r>
            <w:r>
              <w:rPr>
                <w:spacing w:val="-2"/>
              </w:rPr>
              <w:t>714)</w:t>
            </w:r>
          </w:p>
        </w:tc>
      </w:tr>
      <w:tr w:rsidR="004D3003" w14:paraId="30EA3560" w14:textId="77777777">
        <w:trPr>
          <w:trHeight w:val="285"/>
        </w:trPr>
        <w:tc>
          <w:tcPr>
            <w:tcW w:w="2048" w:type="dxa"/>
          </w:tcPr>
          <w:p w14:paraId="1CDA73FE" w14:textId="77777777" w:rsidR="004D3003" w:rsidRDefault="00000000">
            <w:pPr>
              <w:pStyle w:val="TableParagraph"/>
              <w:spacing w:line="253" w:lineRule="exact"/>
              <w:ind w:left="125"/>
            </w:pPr>
            <w:r>
              <w:rPr>
                <w:spacing w:val="-2"/>
              </w:rPr>
              <w:t>WhiteDominant</w:t>
            </w:r>
          </w:p>
        </w:tc>
        <w:tc>
          <w:tcPr>
            <w:tcW w:w="3154" w:type="dxa"/>
          </w:tcPr>
          <w:p w14:paraId="03A0AA73" w14:textId="77777777" w:rsidR="004D3003" w:rsidRDefault="00000000">
            <w:pPr>
              <w:pStyle w:val="TableParagraph"/>
              <w:spacing w:line="253" w:lineRule="exact"/>
              <w:ind w:left="838"/>
            </w:pPr>
            <w:r>
              <w:t>0</w:t>
            </w:r>
            <w:r>
              <w:rPr>
                <w:rFonts w:ascii="Arial"/>
                <w:i/>
              </w:rPr>
              <w:t>.</w:t>
            </w:r>
            <w:r>
              <w:t>482</w:t>
            </w:r>
            <w:r>
              <w:rPr>
                <w:spacing w:val="-7"/>
              </w:rPr>
              <w:t xml:space="preserve"> </w:t>
            </w:r>
            <w:r>
              <w:rPr>
                <w:spacing w:val="-2"/>
              </w:rPr>
              <w:t>(3</w:t>
            </w:r>
            <w:r>
              <w:rPr>
                <w:rFonts w:ascii="Arial"/>
                <w:i/>
                <w:spacing w:val="-2"/>
              </w:rPr>
              <w:t>.</w:t>
            </w:r>
            <w:r>
              <w:rPr>
                <w:spacing w:val="-2"/>
              </w:rPr>
              <w:t>444)</w:t>
            </w:r>
          </w:p>
        </w:tc>
        <w:tc>
          <w:tcPr>
            <w:tcW w:w="4158" w:type="dxa"/>
          </w:tcPr>
          <w:p w14:paraId="45B7A2B8" w14:textId="77777777" w:rsidR="004D3003" w:rsidRDefault="00000000">
            <w:pPr>
              <w:pStyle w:val="TableParagraph"/>
              <w:spacing w:line="253" w:lineRule="exact"/>
              <w:ind w:left="1142"/>
            </w:pPr>
            <w:r>
              <w:t>0</w:t>
            </w:r>
            <w:r>
              <w:rPr>
                <w:rFonts w:ascii="Arial"/>
                <w:i/>
              </w:rPr>
              <w:t>.</w:t>
            </w:r>
            <w:r>
              <w:t>498</w:t>
            </w:r>
            <w:r>
              <w:rPr>
                <w:spacing w:val="-7"/>
              </w:rPr>
              <w:t xml:space="preserve"> </w:t>
            </w:r>
            <w:r>
              <w:rPr>
                <w:spacing w:val="-2"/>
              </w:rPr>
              <w:t>(3</w:t>
            </w:r>
            <w:r>
              <w:rPr>
                <w:rFonts w:ascii="Arial"/>
                <w:i/>
                <w:spacing w:val="-2"/>
              </w:rPr>
              <w:t>.</w:t>
            </w:r>
            <w:r>
              <w:rPr>
                <w:spacing w:val="-2"/>
              </w:rPr>
              <w:t>438)</w:t>
            </w:r>
          </w:p>
        </w:tc>
      </w:tr>
      <w:tr w:rsidR="004D3003" w14:paraId="6C461654" w14:textId="77777777">
        <w:trPr>
          <w:trHeight w:val="330"/>
        </w:trPr>
        <w:tc>
          <w:tcPr>
            <w:tcW w:w="2048" w:type="dxa"/>
          </w:tcPr>
          <w:p w14:paraId="240E771F" w14:textId="77777777" w:rsidR="004D3003" w:rsidRDefault="00000000">
            <w:pPr>
              <w:pStyle w:val="TableParagraph"/>
              <w:ind w:left="125"/>
            </w:pPr>
            <w:r>
              <w:t>AvgP</w:t>
            </w:r>
            <w:r>
              <w:rPr>
                <w:spacing w:val="-5"/>
              </w:rPr>
              <w:t xml:space="preserve"> </w:t>
            </w:r>
            <w:r>
              <w:rPr>
                <w:rFonts w:ascii="Arial" w:hAnsi="Arial"/>
                <w:i/>
              </w:rPr>
              <w:t>×</w:t>
            </w:r>
            <w:r>
              <w:rPr>
                <w:rFonts w:ascii="Arial" w:hAnsi="Arial"/>
                <w:i/>
                <w:spacing w:val="-4"/>
              </w:rPr>
              <w:t xml:space="preserve"> </w:t>
            </w:r>
            <w:r>
              <w:rPr>
                <w:spacing w:val="-2"/>
              </w:rPr>
              <w:t>Distress</w:t>
            </w:r>
          </w:p>
        </w:tc>
        <w:tc>
          <w:tcPr>
            <w:tcW w:w="3154" w:type="dxa"/>
          </w:tcPr>
          <w:p w14:paraId="59FCB288" w14:textId="77777777" w:rsidR="004D3003" w:rsidRDefault="00000000">
            <w:pPr>
              <w:pStyle w:val="TableParagraph"/>
              <w:ind w:right="883"/>
              <w:jc w:val="right"/>
            </w:pPr>
            <w:r>
              <w:t>0</w:t>
            </w:r>
            <w:r>
              <w:rPr>
                <w:rFonts w:ascii="Arial"/>
                <w:i/>
              </w:rPr>
              <w:t>.</w:t>
            </w:r>
            <w:r>
              <w:t>003</w:t>
            </w:r>
            <w:r>
              <w:rPr>
                <w:spacing w:val="-7"/>
              </w:rPr>
              <w:t xml:space="preserve"> </w:t>
            </w:r>
            <w:r>
              <w:rPr>
                <w:spacing w:val="-2"/>
              </w:rPr>
              <w:t>(0</w:t>
            </w:r>
            <w:r>
              <w:rPr>
                <w:rFonts w:ascii="Arial"/>
                <w:i/>
                <w:spacing w:val="-2"/>
              </w:rPr>
              <w:t>.</w:t>
            </w:r>
            <w:r>
              <w:rPr>
                <w:spacing w:val="-2"/>
              </w:rPr>
              <w:t>031)</w:t>
            </w:r>
          </w:p>
        </w:tc>
        <w:tc>
          <w:tcPr>
            <w:tcW w:w="4158" w:type="dxa"/>
          </w:tcPr>
          <w:p w14:paraId="4E59F62E" w14:textId="77777777" w:rsidR="004D3003" w:rsidRDefault="00000000">
            <w:pPr>
              <w:pStyle w:val="TableParagraph"/>
              <w:ind w:left="1029"/>
              <w:rPr>
                <w:rFonts w:ascii="Arial"/>
                <w:i/>
              </w:rPr>
            </w:pPr>
            <w:r>
              <w:rPr>
                <w:rFonts w:ascii="Arial"/>
                <w:i/>
              </w:rPr>
              <w:t>Does</w:t>
            </w:r>
            <w:r>
              <w:rPr>
                <w:rFonts w:ascii="Arial"/>
                <w:i/>
                <w:spacing w:val="-4"/>
              </w:rPr>
              <w:t xml:space="preserve"> </w:t>
            </w:r>
            <w:r>
              <w:rPr>
                <w:rFonts w:ascii="Arial"/>
                <w:i/>
              </w:rPr>
              <w:t>not</w:t>
            </w:r>
            <w:r>
              <w:rPr>
                <w:rFonts w:ascii="Arial"/>
                <w:i/>
                <w:spacing w:val="-3"/>
              </w:rPr>
              <w:t xml:space="preserve"> </w:t>
            </w:r>
            <w:r>
              <w:rPr>
                <w:rFonts w:ascii="Arial"/>
                <w:i/>
                <w:spacing w:val="-2"/>
              </w:rPr>
              <w:t>apply</w:t>
            </w:r>
          </w:p>
        </w:tc>
      </w:tr>
      <w:tr w:rsidR="004D3003" w14:paraId="134EEF14" w14:textId="77777777">
        <w:trPr>
          <w:trHeight w:val="400"/>
        </w:trPr>
        <w:tc>
          <w:tcPr>
            <w:tcW w:w="2048" w:type="dxa"/>
            <w:tcBorders>
              <w:bottom w:val="single" w:sz="8" w:space="0" w:color="000000"/>
            </w:tcBorders>
          </w:tcPr>
          <w:p w14:paraId="57D389A1" w14:textId="77777777" w:rsidR="004D3003" w:rsidRDefault="00000000">
            <w:pPr>
              <w:pStyle w:val="TableParagraph"/>
              <w:spacing w:before="73"/>
              <w:ind w:left="125"/>
            </w:pPr>
            <w:r>
              <w:rPr>
                <w:spacing w:val="-2"/>
              </w:rPr>
              <w:t>Intercept</w:t>
            </w:r>
          </w:p>
        </w:tc>
        <w:tc>
          <w:tcPr>
            <w:tcW w:w="3154" w:type="dxa"/>
            <w:tcBorders>
              <w:bottom w:val="single" w:sz="8" w:space="0" w:color="000000"/>
            </w:tcBorders>
          </w:tcPr>
          <w:p w14:paraId="6953BBBB" w14:textId="77777777" w:rsidR="004D3003" w:rsidRDefault="00000000">
            <w:pPr>
              <w:pStyle w:val="TableParagraph"/>
              <w:spacing w:before="43"/>
              <w:ind w:right="934"/>
              <w:jc w:val="right"/>
            </w:pPr>
            <w:r>
              <w:t>104</w:t>
            </w:r>
            <w:r>
              <w:rPr>
                <w:rFonts w:ascii="Arial" w:hAnsi="Arial"/>
                <w:i/>
              </w:rPr>
              <w:t>.</w:t>
            </w:r>
            <w:r>
              <w:t>736</w:t>
            </w:r>
            <w:r>
              <w:rPr>
                <w:rFonts w:ascii="MS PGothic" w:hAnsi="MS PGothic"/>
                <w:vertAlign w:val="superscript"/>
              </w:rPr>
              <w:t>∗∗∗</w:t>
            </w:r>
            <w:r>
              <w:rPr>
                <w:rFonts w:ascii="MS PGothic" w:hAnsi="MS PGothic"/>
                <w:spacing w:val="24"/>
              </w:rPr>
              <w:t xml:space="preserve"> </w:t>
            </w:r>
            <w:r>
              <w:rPr>
                <w:spacing w:val="-2"/>
              </w:rPr>
              <w:t>(11</w:t>
            </w:r>
            <w:r>
              <w:rPr>
                <w:rFonts w:ascii="Arial" w:hAnsi="Arial"/>
                <w:i/>
                <w:spacing w:val="-2"/>
              </w:rPr>
              <w:t>.</w:t>
            </w:r>
            <w:r>
              <w:rPr>
                <w:spacing w:val="-2"/>
              </w:rPr>
              <w:t>775)</w:t>
            </w:r>
          </w:p>
        </w:tc>
        <w:tc>
          <w:tcPr>
            <w:tcW w:w="4158" w:type="dxa"/>
            <w:tcBorders>
              <w:bottom w:val="single" w:sz="8" w:space="0" w:color="000000"/>
            </w:tcBorders>
          </w:tcPr>
          <w:p w14:paraId="4C55D165" w14:textId="77777777" w:rsidR="004D3003" w:rsidRDefault="00000000">
            <w:pPr>
              <w:pStyle w:val="TableParagraph"/>
              <w:spacing w:before="43"/>
              <w:ind w:left="885"/>
            </w:pPr>
            <w:r>
              <w:t>103</w:t>
            </w:r>
            <w:r>
              <w:rPr>
                <w:rFonts w:ascii="Arial" w:hAnsi="Arial"/>
                <w:i/>
              </w:rPr>
              <w:t>.</w:t>
            </w:r>
            <w:r>
              <w:t>858</w:t>
            </w:r>
            <w:r>
              <w:rPr>
                <w:rFonts w:ascii="MS PGothic" w:hAnsi="MS PGothic"/>
                <w:vertAlign w:val="superscript"/>
              </w:rPr>
              <w:t>∗∗∗</w:t>
            </w:r>
            <w:r>
              <w:rPr>
                <w:rFonts w:ascii="MS PGothic" w:hAnsi="MS PGothic"/>
                <w:spacing w:val="24"/>
              </w:rPr>
              <w:t xml:space="preserve"> </w:t>
            </w:r>
            <w:r>
              <w:rPr>
                <w:spacing w:val="-2"/>
              </w:rPr>
              <w:t>(8</w:t>
            </w:r>
            <w:r>
              <w:rPr>
                <w:rFonts w:ascii="Arial" w:hAnsi="Arial"/>
                <w:i/>
                <w:spacing w:val="-2"/>
              </w:rPr>
              <w:t>.</w:t>
            </w:r>
            <w:r>
              <w:rPr>
                <w:spacing w:val="-2"/>
              </w:rPr>
              <w:t>308)</w:t>
            </w:r>
          </w:p>
        </w:tc>
      </w:tr>
      <w:tr w:rsidR="004D3003" w14:paraId="4334F009" w14:textId="77777777">
        <w:trPr>
          <w:trHeight w:val="319"/>
        </w:trPr>
        <w:tc>
          <w:tcPr>
            <w:tcW w:w="2048" w:type="dxa"/>
            <w:tcBorders>
              <w:top w:val="single" w:sz="8" w:space="0" w:color="000000"/>
            </w:tcBorders>
          </w:tcPr>
          <w:p w14:paraId="56368E82" w14:textId="77777777" w:rsidR="004D3003" w:rsidRDefault="00000000">
            <w:pPr>
              <w:pStyle w:val="TableParagraph"/>
              <w:spacing w:before="37"/>
              <w:ind w:left="125"/>
              <w:rPr>
                <w:rFonts w:ascii="Arial"/>
                <w:i/>
                <w:sz w:val="13"/>
              </w:rPr>
            </w:pPr>
            <w:r>
              <w:rPr>
                <w:rFonts w:ascii="Arial"/>
                <w:i/>
                <w:spacing w:val="-5"/>
                <w:position w:val="-7"/>
              </w:rPr>
              <w:t>R</w:t>
            </w:r>
            <w:r>
              <w:rPr>
                <w:rFonts w:ascii="Arial"/>
                <w:i/>
                <w:spacing w:val="-5"/>
                <w:sz w:val="13"/>
              </w:rPr>
              <w:t>2</w:t>
            </w:r>
          </w:p>
        </w:tc>
        <w:tc>
          <w:tcPr>
            <w:tcW w:w="3154" w:type="dxa"/>
            <w:tcBorders>
              <w:top w:val="single" w:sz="8" w:space="0" w:color="000000"/>
            </w:tcBorders>
          </w:tcPr>
          <w:p w14:paraId="0605EC91" w14:textId="77777777" w:rsidR="004D3003" w:rsidRDefault="00000000">
            <w:pPr>
              <w:pStyle w:val="TableParagraph"/>
              <w:spacing w:before="38"/>
              <w:ind w:right="262"/>
              <w:jc w:val="center"/>
            </w:pPr>
            <w:r>
              <w:rPr>
                <w:spacing w:val="-2"/>
              </w:rPr>
              <w:t>0</w:t>
            </w:r>
            <w:r>
              <w:rPr>
                <w:rFonts w:ascii="Arial"/>
                <w:i/>
                <w:spacing w:val="-2"/>
              </w:rPr>
              <w:t>.</w:t>
            </w:r>
            <w:r>
              <w:rPr>
                <w:spacing w:val="-2"/>
              </w:rPr>
              <w:t>070</w:t>
            </w:r>
          </w:p>
        </w:tc>
        <w:tc>
          <w:tcPr>
            <w:tcW w:w="4158" w:type="dxa"/>
            <w:tcBorders>
              <w:top w:val="single" w:sz="8" w:space="0" w:color="000000"/>
            </w:tcBorders>
          </w:tcPr>
          <w:p w14:paraId="2C513A43" w14:textId="77777777" w:rsidR="004D3003" w:rsidRDefault="00000000">
            <w:pPr>
              <w:pStyle w:val="TableParagraph"/>
              <w:spacing w:before="38"/>
              <w:ind w:right="629"/>
              <w:jc w:val="center"/>
            </w:pPr>
            <w:r>
              <w:rPr>
                <w:spacing w:val="-2"/>
              </w:rPr>
              <w:t>0</w:t>
            </w:r>
            <w:r>
              <w:rPr>
                <w:rFonts w:ascii="Arial"/>
                <w:i/>
                <w:spacing w:val="-2"/>
              </w:rPr>
              <w:t>.</w:t>
            </w:r>
            <w:r>
              <w:rPr>
                <w:spacing w:val="-2"/>
              </w:rPr>
              <w:t>070</w:t>
            </w:r>
          </w:p>
        </w:tc>
      </w:tr>
      <w:tr w:rsidR="004D3003" w14:paraId="5AD8D025" w14:textId="77777777">
        <w:trPr>
          <w:trHeight w:val="302"/>
        </w:trPr>
        <w:tc>
          <w:tcPr>
            <w:tcW w:w="2048" w:type="dxa"/>
          </w:tcPr>
          <w:p w14:paraId="60E95EFC" w14:textId="77777777" w:rsidR="004D3003" w:rsidRDefault="00000000">
            <w:pPr>
              <w:pStyle w:val="TableParagraph"/>
              <w:spacing w:before="22"/>
              <w:ind w:left="125"/>
            </w:pPr>
            <w:r>
              <w:t>Adjusted</w:t>
            </w:r>
            <w:r>
              <w:rPr>
                <w:spacing w:val="-8"/>
              </w:rPr>
              <w:t xml:space="preserve"> </w:t>
            </w:r>
            <w:r>
              <w:rPr>
                <w:rFonts w:ascii="Arial"/>
                <w:i/>
                <w:spacing w:val="-5"/>
              </w:rPr>
              <w:t>R</w:t>
            </w:r>
            <w:r>
              <w:rPr>
                <w:spacing w:val="-5"/>
                <w:vertAlign w:val="superscript"/>
              </w:rPr>
              <w:t>2</w:t>
            </w:r>
          </w:p>
        </w:tc>
        <w:tc>
          <w:tcPr>
            <w:tcW w:w="3154" w:type="dxa"/>
          </w:tcPr>
          <w:p w14:paraId="73EDE1F4" w14:textId="77777777" w:rsidR="004D3003" w:rsidRDefault="00000000">
            <w:pPr>
              <w:pStyle w:val="TableParagraph"/>
              <w:spacing w:before="22"/>
              <w:ind w:right="262"/>
              <w:jc w:val="center"/>
            </w:pPr>
            <w:r>
              <w:rPr>
                <w:spacing w:val="-2"/>
              </w:rPr>
              <w:t>0</w:t>
            </w:r>
            <w:r>
              <w:rPr>
                <w:rFonts w:ascii="Arial"/>
                <w:i/>
                <w:spacing w:val="-2"/>
              </w:rPr>
              <w:t>.</w:t>
            </w:r>
            <w:r>
              <w:rPr>
                <w:spacing w:val="-2"/>
              </w:rPr>
              <w:t>065</w:t>
            </w:r>
          </w:p>
        </w:tc>
        <w:tc>
          <w:tcPr>
            <w:tcW w:w="4158" w:type="dxa"/>
          </w:tcPr>
          <w:p w14:paraId="080249E0" w14:textId="77777777" w:rsidR="004D3003" w:rsidRDefault="00000000">
            <w:pPr>
              <w:pStyle w:val="TableParagraph"/>
              <w:spacing w:before="22"/>
              <w:ind w:right="629"/>
              <w:jc w:val="center"/>
            </w:pPr>
            <w:r>
              <w:rPr>
                <w:spacing w:val="-2"/>
              </w:rPr>
              <w:t>0</w:t>
            </w:r>
            <w:r>
              <w:rPr>
                <w:rFonts w:ascii="Arial"/>
                <w:i/>
                <w:spacing w:val="-2"/>
              </w:rPr>
              <w:t>.</w:t>
            </w:r>
            <w:r>
              <w:rPr>
                <w:spacing w:val="-2"/>
              </w:rPr>
              <w:t>066</w:t>
            </w:r>
          </w:p>
        </w:tc>
      </w:tr>
      <w:tr w:rsidR="004D3003" w14:paraId="498E7AAB" w14:textId="77777777">
        <w:trPr>
          <w:trHeight w:val="292"/>
        </w:trPr>
        <w:tc>
          <w:tcPr>
            <w:tcW w:w="2048" w:type="dxa"/>
          </w:tcPr>
          <w:p w14:paraId="4AB5F701" w14:textId="77777777" w:rsidR="004D3003" w:rsidRDefault="00000000">
            <w:pPr>
              <w:pStyle w:val="TableParagraph"/>
              <w:spacing w:before="20" w:line="253" w:lineRule="exact"/>
              <w:ind w:left="125"/>
            </w:pPr>
            <w:r>
              <w:rPr>
                <w:spacing w:val="-2"/>
              </w:rPr>
              <w:t>Observations</w:t>
            </w:r>
          </w:p>
        </w:tc>
        <w:tc>
          <w:tcPr>
            <w:tcW w:w="3154" w:type="dxa"/>
          </w:tcPr>
          <w:p w14:paraId="41D1B9DB" w14:textId="77777777" w:rsidR="004D3003" w:rsidRDefault="00000000">
            <w:pPr>
              <w:pStyle w:val="TableParagraph"/>
              <w:spacing w:before="20" w:line="253" w:lineRule="exact"/>
              <w:ind w:left="61" w:right="262"/>
              <w:jc w:val="center"/>
            </w:pPr>
            <w:r>
              <w:rPr>
                <w:spacing w:val="-5"/>
              </w:rPr>
              <w:t>894</w:t>
            </w:r>
          </w:p>
        </w:tc>
        <w:tc>
          <w:tcPr>
            <w:tcW w:w="4158" w:type="dxa"/>
          </w:tcPr>
          <w:p w14:paraId="25D3CDE4" w14:textId="77777777" w:rsidR="004D3003" w:rsidRDefault="00000000">
            <w:pPr>
              <w:pStyle w:val="TableParagraph"/>
              <w:spacing w:before="20" w:line="253" w:lineRule="exact"/>
              <w:ind w:right="629"/>
              <w:jc w:val="center"/>
            </w:pPr>
            <w:r>
              <w:rPr>
                <w:spacing w:val="-5"/>
              </w:rPr>
              <w:t>894</w:t>
            </w:r>
          </w:p>
        </w:tc>
      </w:tr>
      <w:tr w:rsidR="004D3003" w14:paraId="0BF9ED6B" w14:textId="77777777">
        <w:trPr>
          <w:trHeight w:val="325"/>
        </w:trPr>
        <w:tc>
          <w:tcPr>
            <w:tcW w:w="2048" w:type="dxa"/>
            <w:tcBorders>
              <w:bottom w:val="single" w:sz="8" w:space="0" w:color="000000"/>
            </w:tcBorders>
          </w:tcPr>
          <w:p w14:paraId="7A04DFF6" w14:textId="77777777" w:rsidR="004D3003" w:rsidRDefault="00000000">
            <w:pPr>
              <w:pStyle w:val="TableParagraph"/>
              <w:ind w:left="125"/>
            </w:pPr>
            <w:r>
              <w:rPr>
                <w:spacing w:val="-2"/>
              </w:rPr>
              <w:t>Imputations</w:t>
            </w:r>
          </w:p>
        </w:tc>
        <w:tc>
          <w:tcPr>
            <w:tcW w:w="3154" w:type="dxa"/>
            <w:tcBorders>
              <w:bottom w:val="single" w:sz="8" w:space="0" w:color="000000"/>
            </w:tcBorders>
          </w:tcPr>
          <w:p w14:paraId="2810EB83" w14:textId="77777777" w:rsidR="004D3003" w:rsidRDefault="00000000">
            <w:pPr>
              <w:pStyle w:val="TableParagraph"/>
              <w:ind w:right="262"/>
              <w:jc w:val="center"/>
            </w:pPr>
            <w:r>
              <w:rPr>
                <w:spacing w:val="-5"/>
              </w:rPr>
              <w:t>10</w:t>
            </w:r>
          </w:p>
        </w:tc>
        <w:tc>
          <w:tcPr>
            <w:tcW w:w="4158" w:type="dxa"/>
            <w:tcBorders>
              <w:bottom w:val="single" w:sz="8" w:space="0" w:color="000000"/>
            </w:tcBorders>
          </w:tcPr>
          <w:p w14:paraId="2C27BFE8" w14:textId="77777777" w:rsidR="004D3003" w:rsidRDefault="00000000">
            <w:pPr>
              <w:pStyle w:val="TableParagraph"/>
              <w:ind w:right="629"/>
              <w:jc w:val="center"/>
            </w:pPr>
            <w:r>
              <w:rPr>
                <w:spacing w:val="-5"/>
              </w:rPr>
              <w:t>10</w:t>
            </w:r>
          </w:p>
        </w:tc>
      </w:tr>
    </w:tbl>
    <w:p w14:paraId="0E15D5F3" w14:textId="77777777" w:rsidR="004D3003" w:rsidRDefault="00000000">
      <w:pPr>
        <w:spacing w:before="111" w:line="228" w:lineRule="auto"/>
        <w:ind w:left="360"/>
        <w:rPr>
          <w:rFonts w:ascii="Arial MT" w:hAnsi="Arial MT"/>
        </w:rPr>
      </w:pPr>
      <w:r>
        <w:rPr>
          <w:rFonts w:ascii="Arial" w:hAnsi="Arial"/>
          <w:i/>
        </w:rPr>
        <w:t xml:space="preserve">Note. </w:t>
      </w:r>
      <w:r>
        <w:rPr>
          <w:rFonts w:ascii="Arial MT" w:hAnsi="Arial MT"/>
        </w:rPr>
        <w:t>Entries are pooled coefficient estimates with standard errors in parentheses. Results are based</w:t>
      </w:r>
      <w:r>
        <w:rPr>
          <w:rFonts w:ascii="Arial MT" w:hAnsi="Arial MT"/>
          <w:spacing w:val="28"/>
        </w:rPr>
        <w:t xml:space="preserve"> </w:t>
      </w:r>
      <w:r>
        <w:rPr>
          <w:rFonts w:ascii="Arial MT" w:hAnsi="Arial MT"/>
        </w:rPr>
        <w:t>on</w:t>
      </w:r>
      <w:r>
        <w:rPr>
          <w:rFonts w:ascii="Arial MT" w:hAnsi="Arial MT"/>
          <w:spacing w:val="28"/>
        </w:rPr>
        <w:t xml:space="preserve"> </w:t>
      </w:r>
      <w:r>
        <w:rPr>
          <w:rFonts w:ascii="Arial MT" w:hAnsi="Arial MT"/>
        </w:rPr>
        <w:t>multiple</w:t>
      </w:r>
      <w:r>
        <w:rPr>
          <w:rFonts w:ascii="Arial MT" w:hAnsi="Arial MT"/>
          <w:spacing w:val="28"/>
        </w:rPr>
        <w:t xml:space="preserve"> </w:t>
      </w:r>
      <w:r>
        <w:rPr>
          <w:rFonts w:ascii="Arial MT" w:hAnsi="Arial MT"/>
        </w:rPr>
        <w:t>imputation</w:t>
      </w:r>
      <w:r>
        <w:rPr>
          <w:rFonts w:ascii="Arial MT" w:hAnsi="Arial MT"/>
          <w:spacing w:val="29"/>
        </w:rPr>
        <w:t xml:space="preserve"> </w:t>
      </w:r>
      <w:r>
        <w:rPr>
          <w:rFonts w:ascii="Arial MT" w:hAnsi="Arial MT"/>
        </w:rPr>
        <w:t>with</w:t>
      </w:r>
      <w:r>
        <w:rPr>
          <w:rFonts w:ascii="Arial MT" w:hAnsi="Arial MT"/>
          <w:spacing w:val="28"/>
        </w:rPr>
        <w:t xml:space="preserve"> </w:t>
      </w:r>
      <w:r>
        <w:rPr>
          <w:rFonts w:ascii="Arial MT" w:hAnsi="Arial MT"/>
        </w:rPr>
        <w:t>predictive</w:t>
      </w:r>
      <w:r>
        <w:rPr>
          <w:rFonts w:ascii="Arial MT" w:hAnsi="Arial MT"/>
          <w:spacing w:val="28"/>
        </w:rPr>
        <w:t xml:space="preserve"> </w:t>
      </w:r>
      <w:r>
        <w:rPr>
          <w:rFonts w:ascii="Arial MT" w:hAnsi="Arial MT"/>
        </w:rPr>
        <w:t>mean</w:t>
      </w:r>
      <w:r>
        <w:rPr>
          <w:rFonts w:ascii="Arial MT" w:hAnsi="Arial MT"/>
          <w:spacing w:val="28"/>
        </w:rPr>
        <w:t xml:space="preserve"> </w:t>
      </w:r>
      <w:r>
        <w:rPr>
          <w:rFonts w:ascii="Arial MT" w:hAnsi="Arial MT"/>
        </w:rPr>
        <w:t>matching</w:t>
      </w:r>
      <w:r>
        <w:rPr>
          <w:rFonts w:ascii="Arial MT" w:hAnsi="Arial MT"/>
          <w:spacing w:val="29"/>
        </w:rPr>
        <w:t xml:space="preserve"> </w:t>
      </w:r>
      <w:r>
        <w:rPr>
          <w:rFonts w:ascii="Arial MT" w:hAnsi="Arial MT"/>
        </w:rPr>
        <w:t>(10</w:t>
      </w:r>
      <w:r>
        <w:rPr>
          <w:rFonts w:ascii="Arial MT" w:hAnsi="Arial MT"/>
          <w:spacing w:val="28"/>
        </w:rPr>
        <w:t xml:space="preserve"> </w:t>
      </w:r>
      <w:r>
        <w:rPr>
          <w:rFonts w:ascii="Arial MT" w:hAnsi="Arial MT"/>
        </w:rPr>
        <w:t>imputations).</w:t>
      </w:r>
      <w:r>
        <w:rPr>
          <w:rFonts w:ascii="Arial MT" w:hAnsi="Arial MT"/>
          <w:spacing w:val="28"/>
        </w:rPr>
        <w:t xml:space="preserve"> </w:t>
      </w:r>
      <w:r>
        <w:rPr>
          <w:rFonts w:ascii="MS PGothic" w:hAnsi="MS PGothic"/>
          <w:vertAlign w:val="superscript"/>
        </w:rPr>
        <w:t>∗</w:t>
      </w:r>
      <w:r>
        <w:rPr>
          <w:rFonts w:ascii="Arial MT" w:hAnsi="Arial MT"/>
        </w:rPr>
        <w:t>p</w:t>
      </w:r>
      <w:r>
        <w:rPr>
          <w:rFonts w:ascii="Arial MT" w:hAnsi="Arial MT"/>
          <w:spacing w:val="29"/>
        </w:rPr>
        <w:t xml:space="preserve"> </w:t>
      </w:r>
      <w:r>
        <w:rPr>
          <w:rFonts w:ascii="Arial MT" w:hAnsi="Arial MT"/>
        </w:rPr>
        <w:t>&lt;</w:t>
      </w:r>
      <w:r>
        <w:rPr>
          <w:rFonts w:ascii="Arial MT" w:hAnsi="Arial MT"/>
          <w:spacing w:val="28"/>
        </w:rPr>
        <w:t xml:space="preserve"> </w:t>
      </w:r>
      <w:r>
        <w:rPr>
          <w:rFonts w:ascii="Arial MT" w:hAnsi="Arial MT"/>
        </w:rPr>
        <w:t>.05,</w:t>
      </w:r>
      <w:r>
        <w:rPr>
          <w:rFonts w:ascii="Arial MT" w:hAnsi="Arial MT"/>
          <w:spacing w:val="13"/>
        </w:rPr>
        <w:t xml:space="preserve"> </w:t>
      </w:r>
      <w:r>
        <w:rPr>
          <w:rFonts w:ascii="MS PGothic" w:hAnsi="MS PGothic"/>
          <w:vertAlign w:val="superscript"/>
        </w:rPr>
        <w:t>∗∗∗</w:t>
      </w:r>
      <w:r>
        <w:rPr>
          <w:rFonts w:ascii="Arial MT" w:hAnsi="Arial MT"/>
        </w:rPr>
        <w:t>p</w:t>
      </w:r>
      <w:r>
        <w:rPr>
          <w:rFonts w:ascii="Arial MT" w:hAnsi="Arial MT"/>
          <w:spacing w:val="14"/>
        </w:rPr>
        <w:t xml:space="preserve"> </w:t>
      </w:r>
      <w:r>
        <w:rPr>
          <w:rFonts w:ascii="Arial MT" w:hAnsi="Arial MT"/>
          <w:spacing w:val="-10"/>
        </w:rPr>
        <w:t>&lt;</w:t>
      </w:r>
    </w:p>
    <w:p w14:paraId="76BD87F7" w14:textId="77777777" w:rsidR="004D3003" w:rsidRDefault="00000000">
      <w:pPr>
        <w:spacing w:line="241" w:lineRule="exact"/>
        <w:ind w:left="360"/>
        <w:rPr>
          <w:rFonts w:ascii="Arial MT"/>
        </w:rPr>
      </w:pPr>
      <w:r>
        <w:rPr>
          <w:rFonts w:ascii="Arial MT"/>
          <w:spacing w:val="-2"/>
        </w:rPr>
        <w:t>.001.</w:t>
      </w:r>
    </w:p>
    <w:p w14:paraId="601613E0" w14:textId="77777777" w:rsidR="004D3003" w:rsidRDefault="00000000">
      <w:pPr>
        <w:pStyle w:val="BodyText"/>
        <w:spacing w:before="200"/>
        <w:ind w:right="305" w:firstLine="720"/>
      </w:pPr>
      <w:r>
        <w:t>Results</w:t>
      </w:r>
      <w:r>
        <w:rPr>
          <w:spacing w:val="-5"/>
        </w:rPr>
        <w:t xml:space="preserve"> </w:t>
      </w:r>
      <w:r>
        <w:t>from</w:t>
      </w:r>
      <w:r>
        <w:rPr>
          <w:spacing w:val="-5"/>
        </w:rPr>
        <w:t xml:space="preserve"> </w:t>
      </w:r>
      <w:r>
        <w:t>the</w:t>
      </w:r>
      <w:r>
        <w:rPr>
          <w:spacing w:val="-5"/>
        </w:rPr>
        <w:t xml:space="preserve"> </w:t>
      </w:r>
      <w:r>
        <w:t>pooled</w:t>
      </w:r>
      <w:r>
        <w:rPr>
          <w:spacing w:val="-5"/>
        </w:rPr>
        <w:t xml:space="preserve"> </w:t>
      </w:r>
      <w:r>
        <w:t>reduced</w:t>
      </w:r>
      <w:r>
        <w:rPr>
          <w:spacing w:val="-5"/>
        </w:rPr>
        <w:t xml:space="preserve"> </w:t>
      </w:r>
      <w:r>
        <w:t>regression</w:t>
      </w:r>
      <w:r>
        <w:rPr>
          <w:spacing w:val="-5"/>
        </w:rPr>
        <w:t xml:space="preserve"> </w:t>
      </w:r>
      <w:r>
        <w:t>model</w:t>
      </w:r>
      <w:r>
        <w:rPr>
          <w:spacing w:val="-5"/>
        </w:rPr>
        <w:t xml:space="preserve"> </w:t>
      </w:r>
      <w:r>
        <w:t>are</w:t>
      </w:r>
      <w:r>
        <w:rPr>
          <w:spacing w:val="-5"/>
        </w:rPr>
        <w:t xml:space="preserve"> </w:t>
      </w:r>
      <w:r>
        <w:t>presented</w:t>
      </w:r>
      <w:r>
        <w:rPr>
          <w:spacing w:val="-5"/>
        </w:rPr>
        <w:t xml:space="preserve"> </w:t>
      </w:r>
      <w:r>
        <w:t>in</w:t>
      </w:r>
      <w:r>
        <w:rPr>
          <w:spacing w:val="-5"/>
        </w:rPr>
        <w:t xml:space="preserve"> </w:t>
      </w:r>
      <w:r>
        <w:t>Table</w:t>
      </w:r>
      <w:r>
        <w:rPr>
          <w:spacing w:val="-5"/>
        </w:rPr>
        <w:t xml:space="preserve"> </w:t>
      </w:r>
      <w:r>
        <w:t>3.</w:t>
      </w:r>
      <w:r>
        <w:rPr>
          <w:spacing w:val="-5"/>
        </w:rPr>
        <w:t xml:space="preserve"> </w:t>
      </w:r>
      <w:r>
        <w:t>Both</w:t>
      </w:r>
      <w:r>
        <w:rPr>
          <w:spacing w:val="-5"/>
        </w:rPr>
        <w:t xml:space="preserve"> </w:t>
      </w:r>
      <w:r>
        <w:t>the full and reduced models explained approximately 7% of the variance in mean water age, indicating substantial unexplained variation. These results suggest that the inclusion of the interaction term did not improve the explanatory power of the model.</w:t>
      </w:r>
    </w:p>
    <w:p w14:paraId="4A057009" w14:textId="77777777" w:rsidR="004D3003" w:rsidRDefault="00000000">
      <w:pPr>
        <w:pStyle w:val="BodyText"/>
        <w:ind w:right="436" w:firstLine="720"/>
      </w:pPr>
      <w:r>
        <w:t>In the reduced specification, mean water pressure was negatively associated with mean water age (b = –0.306, p &lt; .05), consistent with hydraulic expectations that higher pressure</w:t>
      </w:r>
      <w:r>
        <w:rPr>
          <w:spacing w:val="-4"/>
        </w:rPr>
        <w:t xml:space="preserve"> </w:t>
      </w:r>
      <w:r>
        <w:t>reduces</w:t>
      </w:r>
      <w:r>
        <w:rPr>
          <w:spacing w:val="-4"/>
        </w:rPr>
        <w:t xml:space="preserve"> </w:t>
      </w:r>
      <w:r>
        <w:t>residence</w:t>
      </w:r>
      <w:r>
        <w:rPr>
          <w:spacing w:val="-4"/>
        </w:rPr>
        <w:t xml:space="preserve"> </w:t>
      </w:r>
      <w:r>
        <w:t>time</w:t>
      </w:r>
      <w:r>
        <w:rPr>
          <w:spacing w:val="-4"/>
        </w:rPr>
        <w:t xml:space="preserve"> </w:t>
      </w:r>
      <w:r>
        <w:t>within</w:t>
      </w:r>
      <w:r>
        <w:rPr>
          <w:spacing w:val="-4"/>
        </w:rPr>
        <w:t xml:space="preserve"> </w:t>
      </w:r>
      <w:r>
        <w:t>the</w:t>
      </w:r>
      <w:r>
        <w:rPr>
          <w:spacing w:val="-4"/>
        </w:rPr>
        <w:t xml:space="preserve"> </w:t>
      </w:r>
      <w:r>
        <w:t>distribution</w:t>
      </w:r>
      <w:r>
        <w:rPr>
          <w:spacing w:val="-4"/>
        </w:rPr>
        <w:t xml:space="preserve"> </w:t>
      </w:r>
      <w:r>
        <w:t>system.</w:t>
      </w:r>
      <w:r>
        <w:rPr>
          <w:spacing w:val="-4"/>
        </w:rPr>
        <w:t xml:space="preserve"> </w:t>
      </w:r>
      <w:r>
        <w:t>Neither</w:t>
      </w:r>
      <w:r>
        <w:rPr>
          <w:spacing w:val="-4"/>
        </w:rPr>
        <w:t xml:space="preserve"> </w:t>
      </w:r>
      <w:r>
        <w:t>parcel</w:t>
      </w:r>
      <w:r>
        <w:rPr>
          <w:spacing w:val="-4"/>
        </w:rPr>
        <w:t xml:space="preserve"> </w:t>
      </w:r>
      <w:r>
        <w:t>vacancy</w:t>
      </w:r>
      <w:r>
        <w:rPr>
          <w:spacing w:val="-4"/>
        </w:rPr>
        <w:t xml:space="preserve"> </w:t>
      </w:r>
      <w:r>
        <w:t xml:space="preserve">rate nor the majority-White indicator were statistically significant, suggesting that these neighborhood characteristics do not meaningfully predict mean water age in this </w:t>
      </w:r>
      <w:r>
        <w:rPr>
          <w:spacing w:val="-2"/>
        </w:rPr>
        <w:t>specification.</w:t>
      </w:r>
    </w:p>
    <w:p w14:paraId="4DA7E62E" w14:textId="77777777" w:rsidR="004D3003" w:rsidRDefault="00000000">
      <w:pPr>
        <w:pStyle w:val="BodyText"/>
        <w:ind w:right="436" w:firstLine="720"/>
      </w:pPr>
      <w:r>
        <w:t>Given</w:t>
      </w:r>
      <w:r>
        <w:rPr>
          <w:spacing w:val="-4"/>
        </w:rPr>
        <w:t xml:space="preserve"> </w:t>
      </w:r>
      <w:r>
        <w:t>the</w:t>
      </w:r>
      <w:r>
        <w:rPr>
          <w:spacing w:val="-4"/>
        </w:rPr>
        <w:t xml:space="preserve"> </w:t>
      </w:r>
      <w:r>
        <w:t>limited</w:t>
      </w:r>
      <w:r>
        <w:rPr>
          <w:spacing w:val="-4"/>
        </w:rPr>
        <w:t xml:space="preserve"> </w:t>
      </w:r>
      <w:r>
        <w:t>explanatory</w:t>
      </w:r>
      <w:r>
        <w:rPr>
          <w:spacing w:val="-4"/>
        </w:rPr>
        <w:t xml:space="preserve"> </w:t>
      </w:r>
      <w:r>
        <w:t>power</w:t>
      </w:r>
      <w:r>
        <w:rPr>
          <w:spacing w:val="-4"/>
        </w:rPr>
        <w:t xml:space="preserve"> </w:t>
      </w:r>
      <w:r>
        <w:t>of</w:t>
      </w:r>
      <w:r>
        <w:rPr>
          <w:spacing w:val="-4"/>
        </w:rPr>
        <w:t xml:space="preserve"> </w:t>
      </w:r>
      <w:r>
        <w:t>both</w:t>
      </w:r>
      <w:r>
        <w:rPr>
          <w:spacing w:val="-4"/>
        </w:rPr>
        <w:t xml:space="preserve"> </w:t>
      </w:r>
      <w:r>
        <w:t>models,</w:t>
      </w:r>
      <w:r>
        <w:rPr>
          <w:spacing w:val="-4"/>
        </w:rPr>
        <w:t xml:space="preserve"> </w:t>
      </w:r>
      <w:r>
        <w:t>observed</w:t>
      </w:r>
      <w:r>
        <w:rPr>
          <w:spacing w:val="-4"/>
        </w:rPr>
        <w:t xml:space="preserve"> </w:t>
      </w:r>
      <w:r>
        <w:t>values</w:t>
      </w:r>
      <w:r>
        <w:rPr>
          <w:spacing w:val="-4"/>
        </w:rPr>
        <w:t xml:space="preserve"> </w:t>
      </w:r>
      <w:r>
        <w:t>of</w:t>
      </w:r>
      <w:r>
        <w:rPr>
          <w:spacing w:val="-4"/>
        </w:rPr>
        <w:t xml:space="preserve"> </w:t>
      </w:r>
      <w:r>
        <w:t>mean</w:t>
      </w:r>
      <w:r>
        <w:rPr>
          <w:spacing w:val="-4"/>
        </w:rPr>
        <w:t xml:space="preserve"> </w:t>
      </w:r>
      <w:r>
        <w:t>water age were plotted against fitted values from the reduced model using one of the iterations from the imputation process to visually assess predictive performance (Figure 1). Fitted values</w:t>
      </w:r>
      <w:r>
        <w:rPr>
          <w:spacing w:val="-4"/>
        </w:rPr>
        <w:t xml:space="preserve"> </w:t>
      </w:r>
      <w:r>
        <w:t>from</w:t>
      </w:r>
      <w:r>
        <w:rPr>
          <w:spacing w:val="-4"/>
        </w:rPr>
        <w:t xml:space="preserve"> </w:t>
      </w:r>
      <w:r>
        <w:t>the</w:t>
      </w:r>
      <w:r>
        <w:rPr>
          <w:spacing w:val="-4"/>
        </w:rPr>
        <w:t xml:space="preserve"> </w:t>
      </w:r>
      <w:r>
        <w:t>reduced</w:t>
      </w:r>
      <w:r>
        <w:rPr>
          <w:spacing w:val="-4"/>
        </w:rPr>
        <w:t xml:space="preserve"> </w:t>
      </w:r>
      <w:r>
        <w:t>model</w:t>
      </w:r>
      <w:r>
        <w:rPr>
          <w:spacing w:val="-4"/>
        </w:rPr>
        <w:t xml:space="preserve"> </w:t>
      </w:r>
      <w:r>
        <w:t>are</w:t>
      </w:r>
      <w:r>
        <w:rPr>
          <w:spacing w:val="-4"/>
        </w:rPr>
        <w:t xml:space="preserve"> </w:t>
      </w:r>
      <w:r>
        <w:t>presented</w:t>
      </w:r>
      <w:r>
        <w:rPr>
          <w:spacing w:val="-4"/>
        </w:rPr>
        <w:t xml:space="preserve"> </w:t>
      </w:r>
      <w:r>
        <w:t>exclusively,</w:t>
      </w:r>
      <w:r>
        <w:rPr>
          <w:spacing w:val="-4"/>
        </w:rPr>
        <w:t xml:space="preserve"> </w:t>
      </w:r>
      <w:r>
        <w:t>as</w:t>
      </w:r>
      <w:r>
        <w:rPr>
          <w:spacing w:val="-4"/>
        </w:rPr>
        <w:t xml:space="preserve"> </w:t>
      </w:r>
      <w:r>
        <w:t>the</w:t>
      </w:r>
      <w:r>
        <w:rPr>
          <w:spacing w:val="-4"/>
        </w:rPr>
        <w:t xml:space="preserve"> </w:t>
      </w:r>
      <w:r>
        <w:t>interaction</w:t>
      </w:r>
      <w:r>
        <w:rPr>
          <w:spacing w:val="-4"/>
        </w:rPr>
        <w:t xml:space="preserve"> </w:t>
      </w:r>
      <w:r>
        <w:t>term</w:t>
      </w:r>
      <w:r>
        <w:rPr>
          <w:spacing w:val="-4"/>
        </w:rPr>
        <w:t xml:space="preserve"> </w:t>
      </w:r>
      <w:r>
        <w:t>included</w:t>
      </w:r>
      <w:r>
        <w:rPr>
          <w:spacing w:val="-4"/>
        </w:rPr>
        <w:t xml:space="preserve"> </w:t>
      </w:r>
      <w:r>
        <w:t>in the full model did not contribute significantly to model fit and was therefore omitted.</w:t>
      </w:r>
    </w:p>
    <w:p w14:paraId="3D36558B" w14:textId="77777777" w:rsidR="004D3003" w:rsidRDefault="004D3003">
      <w:pPr>
        <w:pStyle w:val="BodyText"/>
        <w:sectPr w:rsidR="004D3003">
          <w:pgSz w:w="12240" w:h="15840"/>
          <w:pgMar w:top="1360" w:right="1440" w:bottom="280" w:left="1080" w:header="720" w:footer="720" w:gutter="0"/>
          <w:cols w:space="720"/>
        </w:sectPr>
      </w:pPr>
    </w:p>
    <w:p w14:paraId="687C7F60" w14:textId="77777777" w:rsidR="004D3003" w:rsidRDefault="00000000">
      <w:pPr>
        <w:spacing w:before="80"/>
        <w:ind w:left="360"/>
        <w:rPr>
          <w:rFonts w:ascii="Arial"/>
          <w:b/>
        </w:rPr>
      </w:pPr>
      <w:r>
        <w:rPr>
          <w:rFonts w:ascii="Arial"/>
          <w:b/>
        </w:rPr>
        <w:lastRenderedPageBreak/>
        <w:t>Figure</w:t>
      </w:r>
      <w:r>
        <w:rPr>
          <w:rFonts w:ascii="Arial"/>
          <w:b/>
          <w:spacing w:val="-6"/>
        </w:rPr>
        <w:t xml:space="preserve"> </w:t>
      </w:r>
      <w:r>
        <w:rPr>
          <w:rFonts w:ascii="Arial"/>
          <w:b/>
          <w:spacing w:val="-10"/>
        </w:rPr>
        <w:t>1</w:t>
      </w:r>
    </w:p>
    <w:p w14:paraId="0B2F6377" w14:textId="77777777" w:rsidR="004D3003" w:rsidRDefault="00000000">
      <w:pPr>
        <w:spacing w:before="200"/>
        <w:ind w:left="360"/>
        <w:rPr>
          <w:rFonts w:ascii="Arial"/>
          <w:i/>
        </w:rPr>
      </w:pPr>
      <w:r>
        <w:rPr>
          <w:rFonts w:ascii="Arial"/>
          <w:i/>
        </w:rPr>
        <w:t>Observed</w:t>
      </w:r>
      <w:r>
        <w:rPr>
          <w:rFonts w:ascii="Arial"/>
          <w:i/>
          <w:spacing w:val="-11"/>
        </w:rPr>
        <w:t xml:space="preserve"> </w:t>
      </w:r>
      <w:r>
        <w:rPr>
          <w:rFonts w:ascii="Arial"/>
          <w:i/>
        </w:rPr>
        <w:t>Versus</w:t>
      </w:r>
      <w:r>
        <w:rPr>
          <w:rFonts w:ascii="Arial"/>
          <w:i/>
          <w:spacing w:val="-10"/>
        </w:rPr>
        <w:t xml:space="preserve"> </w:t>
      </w:r>
      <w:r>
        <w:rPr>
          <w:rFonts w:ascii="Arial"/>
          <w:i/>
        </w:rPr>
        <w:t>Fitted</w:t>
      </w:r>
      <w:r>
        <w:rPr>
          <w:rFonts w:ascii="Arial"/>
          <w:i/>
          <w:spacing w:val="-11"/>
        </w:rPr>
        <w:t xml:space="preserve"> </w:t>
      </w:r>
      <w:r>
        <w:rPr>
          <w:rFonts w:ascii="Arial"/>
          <w:i/>
        </w:rPr>
        <w:t>Values</w:t>
      </w:r>
      <w:r>
        <w:rPr>
          <w:rFonts w:ascii="Arial"/>
          <w:i/>
          <w:spacing w:val="-10"/>
        </w:rPr>
        <w:t xml:space="preserve"> </w:t>
      </w:r>
      <w:r>
        <w:rPr>
          <w:rFonts w:ascii="Arial"/>
          <w:i/>
          <w:spacing w:val="-4"/>
        </w:rPr>
        <w:t>Plot</w:t>
      </w:r>
    </w:p>
    <w:p w14:paraId="34077AB0" w14:textId="77777777" w:rsidR="004D3003" w:rsidRDefault="00000000">
      <w:pPr>
        <w:pStyle w:val="BodyText"/>
        <w:spacing w:before="71"/>
        <w:ind w:left="0"/>
        <w:rPr>
          <w:rFonts w:ascii="Arial"/>
          <w:i/>
          <w:sz w:val="20"/>
        </w:rPr>
      </w:pPr>
      <w:r>
        <w:rPr>
          <w:rFonts w:ascii="Arial"/>
          <w:i/>
          <w:noProof/>
          <w:sz w:val="20"/>
        </w:rPr>
        <w:drawing>
          <wp:anchor distT="0" distB="0" distL="0" distR="0" simplePos="0" relativeHeight="487588352" behindDoc="1" locked="0" layoutInCell="1" allowOverlap="1" wp14:anchorId="18C7340C" wp14:editId="2D245E08">
            <wp:simplePos x="0" y="0"/>
            <wp:positionH relativeFrom="page">
              <wp:posOffset>997297</wp:posOffset>
            </wp:positionH>
            <wp:positionV relativeFrom="paragraph">
              <wp:posOffset>206891</wp:posOffset>
            </wp:positionV>
            <wp:extent cx="5739044" cy="403193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39044" cy="4031932"/>
                    </a:xfrm>
                    <a:prstGeom prst="rect">
                      <a:avLst/>
                    </a:prstGeom>
                  </pic:spPr>
                </pic:pic>
              </a:graphicData>
            </a:graphic>
          </wp:anchor>
        </w:drawing>
      </w:r>
    </w:p>
    <w:p w14:paraId="1DFA7D18" w14:textId="77777777" w:rsidR="004D3003" w:rsidRDefault="004D3003">
      <w:pPr>
        <w:pStyle w:val="BodyText"/>
        <w:spacing w:before="23"/>
        <w:ind w:left="0"/>
        <w:rPr>
          <w:rFonts w:ascii="Arial"/>
          <w:i/>
          <w:sz w:val="22"/>
        </w:rPr>
      </w:pPr>
    </w:p>
    <w:p w14:paraId="2D9DBC50" w14:textId="77777777" w:rsidR="004D3003" w:rsidRDefault="00000000">
      <w:pPr>
        <w:pStyle w:val="BodyText"/>
        <w:ind w:right="524" w:firstLine="720"/>
      </w:pPr>
      <w:r>
        <w:t xml:space="preserve">The wide dispersion of points around the 45-degree reference line indicates substantial deviation between observed and predicted values across the range of fitted outcomes. While fitted values increase modestly with observed water age, most observations are not closely aligned with the line of perfect prediction, reflecting the model’s limited explanatory power. This is consistent with the low </w:t>
      </w:r>
      <w:r>
        <w:rPr>
          <w:i/>
        </w:rPr>
        <w:t>R</w:t>
      </w:r>
      <w:r>
        <w:rPr>
          <w:i/>
          <w:vertAlign w:val="superscript"/>
        </w:rPr>
        <w:t>2</w:t>
      </w:r>
      <w:r>
        <w:rPr>
          <w:i/>
          <w:spacing w:val="-24"/>
        </w:rPr>
        <w:t xml:space="preserve"> </w:t>
      </w:r>
      <w:r>
        <w:t>values obtained from the</w:t>
      </w:r>
      <w:r>
        <w:rPr>
          <w:spacing w:val="-4"/>
        </w:rPr>
        <w:t xml:space="preserve"> </w:t>
      </w:r>
      <w:r>
        <w:t>initial</w:t>
      </w:r>
      <w:r>
        <w:rPr>
          <w:spacing w:val="-4"/>
        </w:rPr>
        <w:t xml:space="preserve"> </w:t>
      </w:r>
      <w:r>
        <w:t>model</w:t>
      </w:r>
      <w:r>
        <w:rPr>
          <w:spacing w:val="-4"/>
        </w:rPr>
        <w:t xml:space="preserve"> </w:t>
      </w:r>
      <w:r>
        <w:t>fit.</w:t>
      </w:r>
      <w:r>
        <w:rPr>
          <w:spacing w:val="-4"/>
        </w:rPr>
        <w:t xml:space="preserve"> </w:t>
      </w:r>
      <w:r>
        <w:t>To</w:t>
      </w:r>
      <w:r>
        <w:rPr>
          <w:spacing w:val="-4"/>
        </w:rPr>
        <w:t xml:space="preserve"> </w:t>
      </w:r>
      <w:r>
        <w:t>further</w:t>
      </w:r>
      <w:r>
        <w:rPr>
          <w:spacing w:val="-4"/>
        </w:rPr>
        <w:t xml:space="preserve"> </w:t>
      </w:r>
      <w:r>
        <w:t>investigate</w:t>
      </w:r>
      <w:r>
        <w:rPr>
          <w:spacing w:val="-4"/>
        </w:rPr>
        <w:t xml:space="preserve"> </w:t>
      </w:r>
      <w:r>
        <w:t>the</w:t>
      </w:r>
      <w:r>
        <w:rPr>
          <w:spacing w:val="-4"/>
        </w:rPr>
        <w:t xml:space="preserve"> </w:t>
      </w:r>
      <w:r>
        <w:t>issue</w:t>
      </w:r>
      <w:r>
        <w:rPr>
          <w:spacing w:val="-4"/>
        </w:rPr>
        <w:t xml:space="preserve"> </w:t>
      </w:r>
      <w:r>
        <w:t>behind</w:t>
      </w:r>
      <w:r>
        <w:rPr>
          <w:spacing w:val="-4"/>
        </w:rPr>
        <w:t xml:space="preserve"> </w:t>
      </w:r>
      <w:r>
        <w:t>the</w:t>
      </w:r>
      <w:r>
        <w:rPr>
          <w:spacing w:val="-4"/>
        </w:rPr>
        <w:t xml:space="preserve"> </w:t>
      </w:r>
      <w:r>
        <w:t>poor</w:t>
      </w:r>
      <w:r>
        <w:rPr>
          <w:spacing w:val="-4"/>
        </w:rPr>
        <w:t xml:space="preserve"> </w:t>
      </w:r>
      <w:r>
        <w:t>model</w:t>
      </w:r>
      <w:r>
        <w:rPr>
          <w:spacing w:val="-4"/>
        </w:rPr>
        <w:t xml:space="preserve"> </w:t>
      </w:r>
      <w:r>
        <w:t>performance,</w:t>
      </w:r>
      <w:r>
        <w:rPr>
          <w:spacing w:val="-4"/>
        </w:rPr>
        <w:t xml:space="preserve"> </w:t>
      </w:r>
      <w:r>
        <w:t>the residuals are plotted against the fitted values of the reduced model (Figure 2).</w:t>
      </w:r>
    </w:p>
    <w:p w14:paraId="174E248E" w14:textId="77777777" w:rsidR="004D3003" w:rsidRDefault="004D3003">
      <w:pPr>
        <w:pStyle w:val="BodyText"/>
        <w:sectPr w:rsidR="004D3003">
          <w:pgSz w:w="12240" w:h="15840"/>
          <w:pgMar w:top="1360" w:right="1440" w:bottom="280" w:left="1080" w:header="720" w:footer="720" w:gutter="0"/>
          <w:cols w:space="720"/>
        </w:sectPr>
      </w:pPr>
    </w:p>
    <w:p w14:paraId="2BDD06BF" w14:textId="77777777" w:rsidR="004D3003" w:rsidRDefault="00000000">
      <w:pPr>
        <w:spacing w:before="80"/>
        <w:ind w:left="360"/>
        <w:rPr>
          <w:rFonts w:ascii="Arial"/>
          <w:b/>
        </w:rPr>
      </w:pPr>
      <w:r>
        <w:rPr>
          <w:rFonts w:ascii="Arial"/>
          <w:b/>
        </w:rPr>
        <w:lastRenderedPageBreak/>
        <w:t>Figure</w:t>
      </w:r>
      <w:r>
        <w:rPr>
          <w:rFonts w:ascii="Arial"/>
          <w:b/>
          <w:spacing w:val="-6"/>
        </w:rPr>
        <w:t xml:space="preserve"> </w:t>
      </w:r>
      <w:r>
        <w:rPr>
          <w:rFonts w:ascii="Arial"/>
          <w:b/>
          <w:spacing w:val="-10"/>
        </w:rPr>
        <w:t>2</w:t>
      </w:r>
    </w:p>
    <w:p w14:paraId="595898D7" w14:textId="77777777" w:rsidR="004D3003" w:rsidRDefault="00000000">
      <w:pPr>
        <w:spacing w:before="200"/>
        <w:ind w:left="360"/>
        <w:rPr>
          <w:rFonts w:ascii="Arial"/>
          <w:i/>
        </w:rPr>
      </w:pPr>
      <w:r>
        <w:rPr>
          <w:rFonts w:ascii="Arial"/>
          <w:i/>
        </w:rPr>
        <w:t>Residuals</w:t>
      </w:r>
      <w:r>
        <w:rPr>
          <w:rFonts w:ascii="Arial"/>
          <w:i/>
          <w:spacing w:val="-11"/>
        </w:rPr>
        <w:t xml:space="preserve"> </w:t>
      </w:r>
      <w:r>
        <w:rPr>
          <w:rFonts w:ascii="Arial"/>
          <w:i/>
        </w:rPr>
        <w:t>Versus</w:t>
      </w:r>
      <w:r>
        <w:rPr>
          <w:rFonts w:ascii="Arial"/>
          <w:i/>
          <w:spacing w:val="-11"/>
        </w:rPr>
        <w:t xml:space="preserve"> </w:t>
      </w:r>
      <w:r>
        <w:rPr>
          <w:rFonts w:ascii="Arial"/>
          <w:i/>
        </w:rPr>
        <w:t>Fitted</w:t>
      </w:r>
      <w:r>
        <w:rPr>
          <w:rFonts w:ascii="Arial"/>
          <w:i/>
          <w:spacing w:val="-11"/>
        </w:rPr>
        <w:t xml:space="preserve"> </w:t>
      </w:r>
      <w:r>
        <w:rPr>
          <w:rFonts w:ascii="Arial"/>
          <w:i/>
        </w:rPr>
        <w:t>Values</w:t>
      </w:r>
      <w:r>
        <w:rPr>
          <w:rFonts w:ascii="Arial"/>
          <w:i/>
          <w:spacing w:val="-10"/>
        </w:rPr>
        <w:t xml:space="preserve"> </w:t>
      </w:r>
      <w:r>
        <w:rPr>
          <w:rFonts w:ascii="Arial"/>
          <w:i/>
          <w:spacing w:val="-4"/>
        </w:rPr>
        <w:t>Plot</w:t>
      </w:r>
    </w:p>
    <w:p w14:paraId="36EC4693" w14:textId="77777777" w:rsidR="004D3003" w:rsidRDefault="00000000">
      <w:pPr>
        <w:pStyle w:val="BodyText"/>
        <w:spacing w:before="9"/>
        <w:ind w:left="0"/>
        <w:rPr>
          <w:rFonts w:ascii="Arial"/>
          <w:i/>
          <w:sz w:val="8"/>
        </w:rPr>
      </w:pPr>
      <w:r>
        <w:rPr>
          <w:rFonts w:ascii="Arial"/>
          <w:i/>
          <w:noProof/>
          <w:sz w:val="8"/>
        </w:rPr>
        <w:drawing>
          <wp:anchor distT="0" distB="0" distL="0" distR="0" simplePos="0" relativeHeight="487588864" behindDoc="1" locked="0" layoutInCell="1" allowOverlap="1" wp14:anchorId="6738146F" wp14:editId="6D74DF5E">
            <wp:simplePos x="0" y="0"/>
            <wp:positionH relativeFrom="page">
              <wp:posOffset>997297</wp:posOffset>
            </wp:positionH>
            <wp:positionV relativeFrom="paragraph">
              <wp:posOffset>79891</wp:posOffset>
            </wp:positionV>
            <wp:extent cx="5739044" cy="403193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39044" cy="4031932"/>
                    </a:xfrm>
                    <a:prstGeom prst="rect">
                      <a:avLst/>
                    </a:prstGeom>
                  </pic:spPr>
                </pic:pic>
              </a:graphicData>
            </a:graphic>
          </wp:anchor>
        </w:drawing>
      </w:r>
    </w:p>
    <w:p w14:paraId="215C4068" w14:textId="77777777" w:rsidR="004D3003" w:rsidRDefault="004D3003">
      <w:pPr>
        <w:pStyle w:val="BodyText"/>
        <w:spacing w:before="23"/>
        <w:ind w:left="0"/>
        <w:rPr>
          <w:rFonts w:ascii="Arial"/>
          <w:i/>
          <w:sz w:val="22"/>
        </w:rPr>
      </w:pPr>
    </w:p>
    <w:p w14:paraId="6B1FA8CD" w14:textId="77777777" w:rsidR="004D3003" w:rsidRDefault="00000000">
      <w:pPr>
        <w:pStyle w:val="BodyText"/>
        <w:ind w:right="524" w:firstLine="720"/>
      </w:pPr>
      <w:r>
        <w:t>Finally, the multicollinearity diagnostics was run, and it did not reveal problematic correlations among predictors. These findings suggest that although some predictors align with</w:t>
      </w:r>
      <w:r>
        <w:rPr>
          <w:spacing w:val="-5"/>
        </w:rPr>
        <w:t xml:space="preserve"> </w:t>
      </w:r>
      <w:r>
        <w:t>theoretical</w:t>
      </w:r>
      <w:r>
        <w:rPr>
          <w:spacing w:val="-5"/>
        </w:rPr>
        <w:t xml:space="preserve"> </w:t>
      </w:r>
      <w:r>
        <w:t>expectations,</w:t>
      </w:r>
      <w:r>
        <w:rPr>
          <w:spacing w:val="-5"/>
        </w:rPr>
        <w:t xml:space="preserve"> </w:t>
      </w:r>
      <w:r>
        <w:t>mean</w:t>
      </w:r>
      <w:r>
        <w:rPr>
          <w:spacing w:val="-5"/>
        </w:rPr>
        <w:t xml:space="preserve"> </w:t>
      </w:r>
      <w:r>
        <w:t>water</w:t>
      </w:r>
      <w:r>
        <w:rPr>
          <w:spacing w:val="-5"/>
        </w:rPr>
        <w:t xml:space="preserve"> </w:t>
      </w:r>
      <w:r>
        <w:t>age</w:t>
      </w:r>
      <w:r>
        <w:rPr>
          <w:spacing w:val="-5"/>
        </w:rPr>
        <w:t xml:space="preserve"> </w:t>
      </w:r>
      <w:r>
        <w:t>in</w:t>
      </w:r>
      <w:r>
        <w:rPr>
          <w:spacing w:val="-5"/>
        </w:rPr>
        <w:t xml:space="preserve"> </w:t>
      </w:r>
      <w:r>
        <w:t>Flint’s</w:t>
      </w:r>
      <w:r>
        <w:rPr>
          <w:spacing w:val="-5"/>
        </w:rPr>
        <w:t xml:space="preserve"> </w:t>
      </w:r>
      <w:r>
        <w:t>distribution</w:t>
      </w:r>
      <w:r>
        <w:rPr>
          <w:spacing w:val="-5"/>
        </w:rPr>
        <w:t xml:space="preserve"> </w:t>
      </w:r>
      <w:r>
        <w:t>system</w:t>
      </w:r>
      <w:r>
        <w:rPr>
          <w:spacing w:val="-5"/>
        </w:rPr>
        <w:t xml:space="preserve"> </w:t>
      </w:r>
      <w:r>
        <w:t>is</w:t>
      </w:r>
      <w:r>
        <w:rPr>
          <w:spacing w:val="-5"/>
        </w:rPr>
        <w:t xml:space="preserve"> </w:t>
      </w:r>
      <w:r>
        <w:t>largely</w:t>
      </w:r>
      <w:r>
        <w:rPr>
          <w:spacing w:val="-5"/>
        </w:rPr>
        <w:t xml:space="preserve"> </w:t>
      </w:r>
      <w:r>
        <w:t>driven by physical network conditions not captured by the included social variables.</w:t>
      </w:r>
    </w:p>
    <w:p w14:paraId="389BA434" w14:textId="77777777" w:rsidR="004D3003" w:rsidRDefault="00000000">
      <w:pPr>
        <w:pStyle w:val="Heading1"/>
        <w:ind w:left="4252"/>
      </w:pPr>
      <w:r>
        <w:rPr>
          <w:spacing w:val="-2"/>
        </w:rPr>
        <w:t>Discussion</w:t>
      </w:r>
    </w:p>
    <w:p w14:paraId="45F72FBD" w14:textId="77777777" w:rsidR="004D3003" w:rsidRDefault="00000000">
      <w:pPr>
        <w:pStyle w:val="BodyText"/>
        <w:ind w:left="1080"/>
      </w:pPr>
      <w:r>
        <w:t>The</w:t>
      </w:r>
      <w:r>
        <w:rPr>
          <w:spacing w:val="-2"/>
        </w:rPr>
        <w:t xml:space="preserve"> </w:t>
      </w:r>
      <w:r>
        <w:t>most</w:t>
      </w:r>
      <w:r>
        <w:rPr>
          <w:spacing w:val="-1"/>
        </w:rPr>
        <w:t xml:space="preserve"> </w:t>
      </w:r>
      <w:r>
        <w:t>notable</w:t>
      </w:r>
      <w:r>
        <w:rPr>
          <w:spacing w:val="-1"/>
        </w:rPr>
        <w:t xml:space="preserve"> </w:t>
      </w:r>
      <w:r>
        <w:t>feature</w:t>
      </w:r>
      <w:r>
        <w:rPr>
          <w:spacing w:val="-1"/>
        </w:rPr>
        <w:t xml:space="preserve"> </w:t>
      </w:r>
      <w:r>
        <w:t>of</w:t>
      </w:r>
      <w:r>
        <w:rPr>
          <w:spacing w:val="-1"/>
        </w:rPr>
        <w:t xml:space="preserve"> </w:t>
      </w:r>
      <w:r>
        <w:t>the</w:t>
      </w:r>
      <w:r>
        <w:rPr>
          <w:spacing w:val="-1"/>
        </w:rPr>
        <w:t xml:space="preserve"> </w:t>
      </w:r>
      <w:r>
        <w:t>results</w:t>
      </w:r>
      <w:r>
        <w:rPr>
          <w:spacing w:val="-2"/>
        </w:rPr>
        <w:t xml:space="preserve"> </w:t>
      </w:r>
      <w:r>
        <w:t>is</w:t>
      </w:r>
      <w:r>
        <w:rPr>
          <w:spacing w:val="-1"/>
        </w:rPr>
        <w:t xml:space="preserve"> </w:t>
      </w:r>
      <w:r>
        <w:t>the</w:t>
      </w:r>
      <w:r>
        <w:rPr>
          <w:spacing w:val="-1"/>
        </w:rPr>
        <w:t xml:space="preserve"> </w:t>
      </w:r>
      <w:r>
        <w:t>model’s</w:t>
      </w:r>
      <w:r>
        <w:rPr>
          <w:spacing w:val="-1"/>
        </w:rPr>
        <w:t xml:space="preserve"> </w:t>
      </w:r>
      <w:r>
        <w:t>limited</w:t>
      </w:r>
      <w:r>
        <w:rPr>
          <w:spacing w:val="-1"/>
        </w:rPr>
        <w:t xml:space="preserve"> </w:t>
      </w:r>
      <w:r>
        <w:t>explanatory</w:t>
      </w:r>
      <w:r>
        <w:rPr>
          <w:spacing w:val="-1"/>
        </w:rPr>
        <w:t xml:space="preserve"> </w:t>
      </w:r>
      <w:r>
        <w:rPr>
          <w:spacing w:val="-2"/>
        </w:rPr>
        <w:t>power.</w:t>
      </w:r>
    </w:p>
    <w:p w14:paraId="36EF3F20" w14:textId="77777777" w:rsidR="004D3003" w:rsidRDefault="00000000">
      <w:pPr>
        <w:pStyle w:val="BodyText"/>
        <w:ind w:right="508"/>
      </w:pPr>
      <w:r>
        <w:t>Even in the reduced model, socioeconomic and hydraulic predictors combined explain less than ten percent of the variation in mean water age. Hence, the nature and potential drawbacks of the outcome variable warrants exploration. As the research from Sadler et al. suggests, water age is a hydraulically simulated system output driven primarily by network topology, pipe volume, and flow dynamics. Then, as an index for water quality in a given census tract, it may not necessarily meaningfully represent water quality statistically. Other factors could likely contribute to the mean water age just as much as the lead concentration and presence of corrosive chemicals which are the central public health problems identified in Flint. For instance, the pipe diameters in different communities could contribute to the flow rate of water which directly impacts the amount of time that water remains in the pipes. The frequency and volume of water usage in a community could also have an impact on the mean water age, as a higher rate of water usage means more water is released from the</w:t>
      </w:r>
      <w:r>
        <w:rPr>
          <w:spacing w:val="-3"/>
        </w:rPr>
        <w:t xml:space="preserve"> </w:t>
      </w:r>
      <w:r>
        <w:t>pipes</w:t>
      </w:r>
      <w:r>
        <w:rPr>
          <w:spacing w:val="-3"/>
        </w:rPr>
        <w:t xml:space="preserve"> </w:t>
      </w:r>
      <w:r>
        <w:t>and</w:t>
      </w:r>
      <w:r>
        <w:rPr>
          <w:spacing w:val="-3"/>
        </w:rPr>
        <w:t xml:space="preserve"> </w:t>
      </w:r>
      <w:r>
        <w:t>consequently</w:t>
      </w:r>
      <w:r>
        <w:rPr>
          <w:spacing w:val="-3"/>
        </w:rPr>
        <w:t xml:space="preserve"> </w:t>
      </w:r>
      <w:r>
        <w:t>reduces</w:t>
      </w:r>
      <w:r>
        <w:rPr>
          <w:spacing w:val="-3"/>
        </w:rPr>
        <w:t xml:space="preserve"> </w:t>
      </w:r>
      <w:r>
        <w:t>mean</w:t>
      </w:r>
      <w:r>
        <w:rPr>
          <w:spacing w:val="-3"/>
        </w:rPr>
        <w:t xml:space="preserve"> </w:t>
      </w:r>
      <w:r>
        <w:t>water</w:t>
      </w:r>
      <w:r>
        <w:rPr>
          <w:spacing w:val="-3"/>
        </w:rPr>
        <w:t xml:space="preserve"> </w:t>
      </w:r>
      <w:r>
        <w:t>age.</w:t>
      </w:r>
      <w:r>
        <w:rPr>
          <w:spacing w:val="-3"/>
        </w:rPr>
        <w:t xml:space="preserve"> </w:t>
      </w:r>
      <w:r>
        <w:t>This</w:t>
      </w:r>
      <w:r>
        <w:rPr>
          <w:spacing w:val="-3"/>
        </w:rPr>
        <w:t xml:space="preserve"> </w:t>
      </w:r>
      <w:r>
        <w:t>discussion</w:t>
      </w:r>
      <w:r>
        <w:rPr>
          <w:spacing w:val="-3"/>
        </w:rPr>
        <w:t xml:space="preserve"> </w:t>
      </w:r>
      <w:r>
        <w:t>around</w:t>
      </w:r>
      <w:r>
        <w:rPr>
          <w:spacing w:val="-3"/>
        </w:rPr>
        <w:t xml:space="preserve"> </w:t>
      </w:r>
      <w:r>
        <w:t>mean</w:t>
      </w:r>
      <w:r>
        <w:rPr>
          <w:spacing w:val="-3"/>
        </w:rPr>
        <w:t xml:space="preserve"> </w:t>
      </w:r>
      <w:r>
        <w:t>water</w:t>
      </w:r>
      <w:r>
        <w:rPr>
          <w:spacing w:val="-3"/>
        </w:rPr>
        <w:t xml:space="preserve"> </w:t>
      </w:r>
      <w:r>
        <w:t>age</w:t>
      </w:r>
    </w:p>
    <w:p w14:paraId="135583D2" w14:textId="77777777" w:rsidR="004D3003" w:rsidRDefault="004D3003">
      <w:pPr>
        <w:pStyle w:val="BodyText"/>
        <w:sectPr w:rsidR="004D3003">
          <w:pgSz w:w="12240" w:h="15840"/>
          <w:pgMar w:top="1360" w:right="1440" w:bottom="280" w:left="1080" w:header="720" w:footer="720" w:gutter="0"/>
          <w:cols w:space="720"/>
        </w:sectPr>
      </w:pPr>
    </w:p>
    <w:p w14:paraId="52AED6EB" w14:textId="77777777" w:rsidR="004D3003" w:rsidRDefault="00000000">
      <w:pPr>
        <w:pStyle w:val="BodyText"/>
        <w:spacing w:before="60"/>
        <w:ind w:right="533"/>
      </w:pPr>
      <w:r>
        <w:lastRenderedPageBreak/>
        <w:t>is</w:t>
      </w:r>
      <w:r>
        <w:rPr>
          <w:spacing w:val="-4"/>
        </w:rPr>
        <w:t xml:space="preserve"> </w:t>
      </w:r>
      <w:r>
        <w:t>important,</w:t>
      </w:r>
      <w:r>
        <w:rPr>
          <w:spacing w:val="-4"/>
        </w:rPr>
        <w:t xml:space="preserve"> </w:t>
      </w:r>
      <w:r>
        <w:t>as</w:t>
      </w:r>
      <w:r>
        <w:rPr>
          <w:spacing w:val="-4"/>
        </w:rPr>
        <w:t xml:space="preserve"> </w:t>
      </w:r>
      <w:r>
        <w:t>the</w:t>
      </w:r>
      <w:r>
        <w:rPr>
          <w:spacing w:val="-4"/>
        </w:rPr>
        <w:t xml:space="preserve"> </w:t>
      </w:r>
      <w:r>
        <w:t>weak</w:t>
      </w:r>
      <w:r>
        <w:rPr>
          <w:spacing w:val="-4"/>
        </w:rPr>
        <w:t xml:space="preserve"> </w:t>
      </w:r>
      <w:r>
        <w:t>associations</w:t>
      </w:r>
      <w:r>
        <w:rPr>
          <w:spacing w:val="-4"/>
        </w:rPr>
        <w:t xml:space="preserve"> </w:t>
      </w:r>
      <w:r>
        <w:t>between</w:t>
      </w:r>
      <w:r>
        <w:rPr>
          <w:spacing w:val="-4"/>
        </w:rPr>
        <w:t xml:space="preserve"> </w:t>
      </w:r>
      <w:r>
        <w:t>water</w:t>
      </w:r>
      <w:r>
        <w:rPr>
          <w:spacing w:val="-4"/>
        </w:rPr>
        <w:t xml:space="preserve"> </w:t>
      </w:r>
      <w:r>
        <w:t>age</w:t>
      </w:r>
      <w:r>
        <w:rPr>
          <w:spacing w:val="-4"/>
        </w:rPr>
        <w:t xml:space="preserve"> </w:t>
      </w:r>
      <w:r>
        <w:t>and</w:t>
      </w:r>
      <w:r>
        <w:rPr>
          <w:spacing w:val="-4"/>
        </w:rPr>
        <w:t xml:space="preserve"> </w:t>
      </w:r>
      <w:r>
        <w:t>socioeconomic</w:t>
      </w:r>
      <w:r>
        <w:rPr>
          <w:spacing w:val="-4"/>
        </w:rPr>
        <w:t xml:space="preserve"> </w:t>
      </w:r>
      <w:r>
        <w:t>vulnerability do not necessarily contradict the extensive environmental justice literature documenting inequitable lead exposure in Flint.</w:t>
      </w:r>
    </w:p>
    <w:p w14:paraId="1877E817" w14:textId="77777777" w:rsidR="004D3003" w:rsidRDefault="00000000">
      <w:pPr>
        <w:pStyle w:val="BodyText"/>
        <w:ind w:right="436" w:firstLine="720"/>
      </w:pPr>
      <w:r>
        <w:t>Hence, while the models themselves are flawed, the findings underscore the importance</w:t>
      </w:r>
      <w:r>
        <w:rPr>
          <w:spacing w:val="-4"/>
        </w:rPr>
        <w:t xml:space="preserve"> </w:t>
      </w:r>
      <w:r>
        <w:t>of</w:t>
      </w:r>
      <w:r>
        <w:rPr>
          <w:spacing w:val="-4"/>
        </w:rPr>
        <w:t xml:space="preserve"> </w:t>
      </w:r>
      <w:r>
        <w:t>aligning</w:t>
      </w:r>
      <w:r>
        <w:rPr>
          <w:spacing w:val="-4"/>
        </w:rPr>
        <w:t xml:space="preserve"> </w:t>
      </w:r>
      <w:r>
        <w:t>outcome</w:t>
      </w:r>
      <w:r>
        <w:rPr>
          <w:spacing w:val="-4"/>
        </w:rPr>
        <w:t xml:space="preserve"> </w:t>
      </w:r>
      <w:r>
        <w:t>measures</w:t>
      </w:r>
      <w:r>
        <w:rPr>
          <w:spacing w:val="-4"/>
        </w:rPr>
        <w:t xml:space="preserve"> </w:t>
      </w:r>
      <w:r>
        <w:t>with</w:t>
      </w:r>
      <w:r>
        <w:rPr>
          <w:spacing w:val="-4"/>
        </w:rPr>
        <w:t xml:space="preserve"> </w:t>
      </w:r>
      <w:r>
        <w:t>research</w:t>
      </w:r>
      <w:r>
        <w:rPr>
          <w:spacing w:val="-4"/>
        </w:rPr>
        <w:t xml:space="preserve"> </w:t>
      </w:r>
      <w:r>
        <w:t>questions</w:t>
      </w:r>
      <w:r>
        <w:rPr>
          <w:spacing w:val="-4"/>
        </w:rPr>
        <w:t xml:space="preserve"> </w:t>
      </w:r>
      <w:r>
        <w:t>in</w:t>
      </w:r>
      <w:r>
        <w:rPr>
          <w:spacing w:val="-4"/>
        </w:rPr>
        <w:t xml:space="preserve"> </w:t>
      </w:r>
      <w:r>
        <w:t>environmental</w:t>
      </w:r>
      <w:r>
        <w:rPr>
          <w:spacing w:val="-4"/>
        </w:rPr>
        <w:t xml:space="preserve"> </w:t>
      </w:r>
      <w:r>
        <w:t>justice studies. Infrastructure metrics such as water age are valuable for system design and operations but proved to be poorly suited for detecting social gradients in exposure which warrants further study and research from the academic community at large to refine the analytical methods and identify more relevant variables regarding Flint Water Crisis to produce</w:t>
      </w:r>
      <w:r>
        <w:rPr>
          <w:spacing w:val="-4"/>
        </w:rPr>
        <w:t xml:space="preserve"> </w:t>
      </w:r>
      <w:r>
        <w:t>more</w:t>
      </w:r>
      <w:r>
        <w:rPr>
          <w:spacing w:val="-4"/>
        </w:rPr>
        <w:t xml:space="preserve"> </w:t>
      </w:r>
      <w:r>
        <w:t>statistically</w:t>
      </w:r>
      <w:r>
        <w:rPr>
          <w:spacing w:val="-4"/>
        </w:rPr>
        <w:t xml:space="preserve"> </w:t>
      </w:r>
      <w:r>
        <w:t>significant</w:t>
      </w:r>
      <w:r>
        <w:rPr>
          <w:spacing w:val="-4"/>
        </w:rPr>
        <w:t xml:space="preserve"> </w:t>
      </w:r>
      <w:r>
        <w:t>results.</w:t>
      </w:r>
      <w:r>
        <w:rPr>
          <w:spacing w:val="-4"/>
        </w:rPr>
        <w:t xml:space="preserve"> </w:t>
      </w:r>
      <w:r>
        <w:t>With</w:t>
      </w:r>
      <w:r>
        <w:rPr>
          <w:spacing w:val="-4"/>
        </w:rPr>
        <w:t xml:space="preserve"> </w:t>
      </w:r>
      <w:r>
        <w:t>statistically</w:t>
      </w:r>
      <w:r>
        <w:rPr>
          <w:spacing w:val="-4"/>
        </w:rPr>
        <w:t xml:space="preserve"> </w:t>
      </w:r>
      <w:r>
        <w:t>meaningful</w:t>
      </w:r>
      <w:r>
        <w:rPr>
          <w:spacing w:val="-4"/>
        </w:rPr>
        <w:t xml:space="preserve"> </w:t>
      </w:r>
      <w:r>
        <w:t>findings,</w:t>
      </w:r>
      <w:r>
        <w:rPr>
          <w:spacing w:val="-4"/>
        </w:rPr>
        <w:t xml:space="preserve"> </w:t>
      </w:r>
      <w:r>
        <w:t>policy recommendations can then be extracted and subsequently implemented.</w:t>
      </w:r>
    </w:p>
    <w:p w14:paraId="4B0F715A" w14:textId="77777777" w:rsidR="004D3003" w:rsidRDefault="004D3003">
      <w:pPr>
        <w:pStyle w:val="BodyText"/>
        <w:sectPr w:rsidR="004D3003">
          <w:pgSz w:w="12240" w:h="15840"/>
          <w:pgMar w:top="1380" w:right="1440" w:bottom="280" w:left="1080" w:header="720" w:footer="720" w:gutter="0"/>
          <w:cols w:space="720"/>
        </w:sectPr>
      </w:pPr>
    </w:p>
    <w:p w14:paraId="2A7C6FF9" w14:textId="77777777" w:rsidR="004D3003" w:rsidRDefault="00000000">
      <w:pPr>
        <w:pStyle w:val="BodyText"/>
        <w:spacing w:before="60"/>
        <w:ind w:left="0" w:right="134"/>
        <w:jc w:val="center"/>
      </w:pPr>
      <w:r>
        <w:rPr>
          <w:spacing w:val="-2"/>
        </w:rPr>
        <w:lastRenderedPageBreak/>
        <w:t>References</w:t>
      </w:r>
    </w:p>
    <w:p w14:paraId="02E07AFA" w14:textId="77777777" w:rsidR="004D3003" w:rsidRDefault="004D3003">
      <w:pPr>
        <w:pStyle w:val="BodyText"/>
        <w:spacing w:before="82"/>
        <w:ind w:left="0"/>
      </w:pPr>
    </w:p>
    <w:p w14:paraId="78DA824A" w14:textId="77777777" w:rsidR="004D3003" w:rsidRDefault="00000000">
      <w:pPr>
        <w:pStyle w:val="BodyText"/>
        <w:spacing w:line="480" w:lineRule="auto"/>
        <w:ind w:left="1080" w:hanging="720"/>
      </w:pPr>
      <w:r>
        <w:t>Hanna-Attisha,</w:t>
      </w:r>
      <w:r>
        <w:rPr>
          <w:spacing w:val="-3"/>
        </w:rPr>
        <w:t xml:space="preserve"> </w:t>
      </w:r>
      <w:r>
        <w:t>Mona,</w:t>
      </w:r>
      <w:r>
        <w:rPr>
          <w:spacing w:val="-3"/>
        </w:rPr>
        <w:t xml:space="preserve"> </w:t>
      </w:r>
      <w:r>
        <w:t>et</w:t>
      </w:r>
      <w:r>
        <w:rPr>
          <w:spacing w:val="-3"/>
        </w:rPr>
        <w:t xml:space="preserve"> </w:t>
      </w:r>
      <w:r>
        <w:t>al.</w:t>
      </w:r>
      <w:r>
        <w:rPr>
          <w:spacing w:val="-3"/>
        </w:rPr>
        <w:t xml:space="preserve"> </w:t>
      </w:r>
      <w:r>
        <w:t>“Elevated</w:t>
      </w:r>
      <w:r>
        <w:rPr>
          <w:spacing w:val="-3"/>
        </w:rPr>
        <w:t xml:space="preserve"> </w:t>
      </w:r>
      <w:r>
        <w:t>Blood</w:t>
      </w:r>
      <w:r>
        <w:rPr>
          <w:spacing w:val="-3"/>
        </w:rPr>
        <w:t xml:space="preserve"> </w:t>
      </w:r>
      <w:r>
        <w:t>Lead</w:t>
      </w:r>
      <w:r>
        <w:rPr>
          <w:spacing w:val="-3"/>
        </w:rPr>
        <w:t xml:space="preserve"> </w:t>
      </w:r>
      <w:r>
        <w:t>Levels</w:t>
      </w:r>
      <w:r>
        <w:rPr>
          <w:spacing w:val="-3"/>
        </w:rPr>
        <w:t xml:space="preserve"> </w:t>
      </w:r>
      <w:r>
        <w:t>in</w:t>
      </w:r>
      <w:r>
        <w:rPr>
          <w:spacing w:val="-3"/>
        </w:rPr>
        <w:t xml:space="preserve"> </w:t>
      </w:r>
      <w:r>
        <w:t>Children</w:t>
      </w:r>
      <w:r>
        <w:rPr>
          <w:spacing w:val="-3"/>
        </w:rPr>
        <w:t xml:space="preserve"> </w:t>
      </w:r>
      <w:r>
        <w:t>Associated</w:t>
      </w:r>
      <w:r>
        <w:rPr>
          <w:spacing w:val="-3"/>
        </w:rPr>
        <w:t xml:space="preserve"> </w:t>
      </w:r>
      <w:r>
        <w:t>with</w:t>
      </w:r>
      <w:r>
        <w:rPr>
          <w:spacing w:val="-3"/>
        </w:rPr>
        <w:t xml:space="preserve"> </w:t>
      </w:r>
      <w:r>
        <w:t>the</w:t>
      </w:r>
      <w:r>
        <w:rPr>
          <w:spacing w:val="-3"/>
        </w:rPr>
        <w:t xml:space="preserve"> </w:t>
      </w:r>
      <w:r>
        <w:t xml:space="preserve">Flint Drinking Water Crisis: A Spatial Analysis of Risk and Public Health Response.” </w:t>
      </w:r>
      <w:r>
        <w:rPr>
          <w:i/>
        </w:rPr>
        <w:t>American Journal of Public Health</w:t>
      </w:r>
      <w:r>
        <w:t xml:space="preserve">, vol. 106, no. 2, 21 Jan. 2016, pp. 283–290, </w:t>
      </w:r>
      <w:hyperlink r:id="rId8">
        <w:r w:rsidR="004D3003">
          <w:rPr>
            <w:spacing w:val="-2"/>
          </w:rPr>
          <w:t>www.ncbi.nlm.nih.gov/pmc/articles/PMC4985856/,</w:t>
        </w:r>
      </w:hyperlink>
      <w:r>
        <w:rPr>
          <w:spacing w:val="-2"/>
        </w:rPr>
        <w:t xml:space="preserve"> https://doi.org/10.2105/ajph.2015.303003.</w:t>
      </w:r>
    </w:p>
    <w:p w14:paraId="71C536EF" w14:textId="77777777" w:rsidR="004D3003" w:rsidRDefault="00000000">
      <w:pPr>
        <w:pStyle w:val="BodyText"/>
        <w:spacing w:line="480" w:lineRule="auto"/>
        <w:ind w:left="1080" w:hanging="720"/>
      </w:pPr>
      <w:r>
        <w:t>Pulido,</w:t>
      </w:r>
      <w:r>
        <w:rPr>
          <w:spacing w:val="-6"/>
        </w:rPr>
        <w:t xml:space="preserve"> </w:t>
      </w:r>
      <w:r>
        <w:t>Laura.</w:t>
      </w:r>
      <w:r>
        <w:rPr>
          <w:spacing w:val="-6"/>
        </w:rPr>
        <w:t xml:space="preserve"> </w:t>
      </w:r>
      <w:r>
        <w:t>“Flint,</w:t>
      </w:r>
      <w:r>
        <w:rPr>
          <w:spacing w:val="-6"/>
        </w:rPr>
        <w:t xml:space="preserve"> </w:t>
      </w:r>
      <w:r>
        <w:t>Environmental</w:t>
      </w:r>
      <w:r>
        <w:rPr>
          <w:spacing w:val="-6"/>
        </w:rPr>
        <w:t xml:space="preserve"> </w:t>
      </w:r>
      <w:r>
        <w:t>Racism,</w:t>
      </w:r>
      <w:r>
        <w:rPr>
          <w:spacing w:val="-6"/>
        </w:rPr>
        <w:t xml:space="preserve"> </w:t>
      </w:r>
      <w:r>
        <w:t>and</w:t>
      </w:r>
      <w:r>
        <w:rPr>
          <w:spacing w:val="-6"/>
        </w:rPr>
        <w:t xml:space="preserve"> </w:t>
      </w:r>
      <w:r>
        <w:t>Racial</w:t>
      </w:r>
      <w:r>
        <w:rPr>
          <w:spacing w:val="-6"/>
        </w:rPr>
        <w:t xml:space="preserve"> </w:t>
      </w:r>
      <w:r>
        <w:t>Capitalism.”</w:t>
      </w:r>
      <w:r>
        <w:rPr>
          <w:spacing w:val="-6"/>
        </w:rPr>
        <w:t xml:space="preserve"> </w:t>
      </w:r>
      <w:r>
        <w:rPr>
          <w:i/>
        </w:rPr>
        <w:t>Capitalism</w:t>
      </w:r>
      <w:r>
        <w:rPr>
          <w:i/>
          <w:spacing w:val="-6"/>
        </w:rPr>
        <w:t xml:space="preserve"> </w:t>
      </w:r>
      <w:r>
        <w:rPr>
          <w:i/>
        </w:rPr>
        <w:t>Nature Socialism</w:t>
      </w:r>
      <w:r>
        <w:t xml:space="preserve">, vol. 27, no. 3, 2 July 2016, pp. 1–16, </w:t>
      </w:r>
      <w:r>
        <w:rPr>
          <w:spacing w:val="-2"/>
        </w:rPr>
        <w:t>https://doi.org/10.1080/10455752.2016.1213013.</w:t>
      </w:r>
    </w:p>
    <w:p w14:paraId="35D96EE1" w14:textId="77777777" w:rsidR="004D3003" w:rsidRDefault="00000000">
      <w:pPr>
        <w:pStyle w:val="BodyText"/>
        <w:spacing w:line="480" w:lineRule="auto"/>
        <w:ind w:left="1080" w:hanging="720"/>
      </w:pPr>
      <w:r>
        <w:t>Sadler,</w:t>
      </w:r>
      <w:r>
        <w:rPr>
          <w:spacing w:val="-7"/>
        </w:rPr>
        <w:t xml:space="preserve"> </w:t>
      </w:r>
      <w:r>
        <w:t>R.</w:t>
      </w:r>
      <w:r>
        <w:rPr>
          <w:spacing w:val="-7"/>
        </w:rPr>
        <w:t xml:space="preserve"> </w:t>
      </w:r>
      <w:r>
        <w:t>C.,</w:t>
      </w:r>
      <w:r>
        <w:rPr>
          <w:spacing w:val="-7"/>
        </w:rPr>
        <w:t xml:space="preserve"> </w:t>
      </w:r>
      <w:r>
        <w:t>et</w:t>
      </w:r>
      <w:r>
        <w:rPr>
          <w:spacing w:val="-7"/>
        </w:rPr>
        <w:t xml:space="preserve"> </w:t>
      </w:r>
      <w:r>
        <w:t>al.</w:t>
      </w:r>
      <w:r>
        <w:rPr>
          <w:spacing w:val="-7"/>
        </w:rPr>
        <w:t xml:space="preserve"> </w:t>
      </w:r>
      <w:r>
        <w:t>“Water</w:t>
      </w:r>
      <w:r>
        <w:rPr>
          <w:spacing w:val="-7"/>
        </w:rPr>
        <w:t xml:space="preserve"> </w:t>
      </w:r>
      <w:r>
        <w:t>Distribution</w:t>
      </w:r>
      <w:r>
        <w:rPr>
          <w:spacing w:val="-7"/>
        </w:rPr>
        <w:t xml:space="preserve"> </w:t>
      </w:r>
      <w:r>
        <w:t>System</w:t>
      </w:r>
      <w:r>
        <w:rPr>
          <w:spacing w:val="-7"/>
        </w:rPr>
        <w:t xml:space="preserve"> </w:t>
      </w:r>
      <w:r>
        <w:t>Rightsizing</w:t>
      </w:r>
      <w:r>
        <w:rPr>
          <w:spacing w:val="-7"/>
        </w:rPr>
        <w:t xml:space="preserve"> </w:t>
      </w:r>
      <w:r>
        <w:t>and</w:t>
      </w:r>
      <w:r>
        <w:rPr>
          <w:spacing w:val="-7"/>
        </w:rPr>
        <w:t xml:space="preserve"> </w:t>
      </w:r>
      <w:r>
        <w:t>Water</w:t>
      </w:r>
      <w:r>
        <w:rPr>
          <w:spacing w:val="-7"/>
        </w:rPr>
        <w:t xml:space="preserve"> </w:t>
      </w:r>
      <w:r>
        <w:t>Age</w:t>
      </w:r>
      <w:r>
        <w:rPr>
          <w:spacing w:val="-7"/>
        </w:rPr>
        <w:t xml:space="preserve"> </w:t>
      </w:r>
      <w:r>
        <w:t>Impacts</w:t>
      </w:r>
      <w:r>
        <w:rPr>
          <w:spacing w:val="-7"/>
        </w:rPr>
        <w:t xml:space="preserve"> </w:t>
      </w:r>
      <w:r>
        <w:t>in</w:t>
      </w:r>
      <w:r>
        <w:rPr>
          <w:spacing w:val="-7"/>
        </w:rPr>
        <w:t xml:space="preserve"> </w:t>
      </w:r>
      <w:r>
        <w:t xml:space="preserve">Shrinking Cities: A Flint, Michigan Case Study.” </w:t>
      </w:r>
      <w:r>
        <w:rPr>
          <w:i/>
        </w:rPr>
        <w:t>PLOS One</w:t>
      </w:r>
      <w:r>
        <w:t xml:space="preserve">, 2025, </w:t>
      </w:r>
      <w:r>
        <w:rPr>
          <w:spacing w:val="-2"/>
        </w:rPr>
        <w:t>https://doi.org/10.1371/journal.pwat.00.</w:t>
      </w:r>
    </w:p>
    <w:p w14:paraId="717F718C" w14:textId="77777777" w:rsidR="004D3003" w:rsidRDefault="00000000">
      <w:pPr>
        <w:pStyle w:val="BodyText"/>
        <w:spacing w:line="480" w:lineRule="auto"/>
        <w:ind w:left="1080" w:hanging="720"/>
      </w:pPr>
      <w:r>
        <w:t>Sadler,</w:t>
      </w:r>
      <w:r>
        <w:rPr>
          <w:spacing w:val="-7"/>
        </w:rPr>
        <w:t xml:space="preserve"> </w:t>
      </w:r>
      <w:r>
        <w:t>Richard</w:t>
      </w:r>
      <w:r>
        <w:rPr>
          <w:spacing w:val="-7"/>
        </w:rPr>
        <w:t xml:space="preserve"> </w:t>
      </w:r>
      <w:r>
        <w:t>Casey,</w:t>
      </w:r>
      <w:r>
        <w:rPr>
          <w:spacing w:val="-7"/>
        </w:rPr>
        <w:t xml:space="preserve"> </w:t>
      </w:r>
      <w:r>
        <w:t>and</w:t>
      </w:r>
      <w:r>
        <w:rPr>
          <w:spacing w:val="-7"/>
        </w:rPr>
        <w:t xml:space="preserve"> </w:t>
      </w:r>
      <w:r>
        <w:t>Andrew</w:t>
      </w:r>
      <w:r>
        <w:rPr>
          <w:spacing w:val="-7"/>
        </w:rPr>
        <w:t xml:space="preserve"> </w:t>
      </w:r>
      <w:r>
        <w:t>R.</w:t>
      </w:r>
      <w:r>
        <w:rPr>
          <w:spacing w:val="-7"/>
        </w:rPr>
        <w:t xml:space="preserve"> </w:t>
      </w:r>
      <w:r>
        <w:t>Highsmith.</w:t>
      </w:r>
      <w:r>
        <w:rPr>
          <w:spacing w:val="-7"/>
        </w:rPr>
        <w:t xml:space="preserve"> </w:t>
      </w:r>
      <w:r>
        <w:t>“Rethinking</w:t>
      </w:r>
      <w:r>
        <w:rPr>
          <w:spacing w:val="-7"/>
        </w:rPr>
        <w:t xml:space="preserve"> </w:t>
      </w:r>
      <w:r>
        <w:t>Tiebout:</w:t>
      </w:r>
      <w:r>
        <w:rPr>
          <w:spacing w:val="-7"/>
        </w:rPr>
        <w:t xml:space="preserve"> </w:t>
      </w:r>
      <w:r>
        <w:t>The</w:t>
      </w:r>
      <w:r>
        <w:rPr>
          <w:spacing w:val="-7"/>
        </w:rPr>
        <w:t xml:space="preserve"> </w:t>
      </w:r>
      <w:r>
        <w:t>Contribution</w:t>
      </w:r>
      <w:r>
        <w:rPr>
          <w:spacing w:val="-7"/>
        </w:rPr>
        <w:t xml:space="preserve"> </w:t>
      </w:r>
      <w:r>
        <w:t xml:space="preserve">of Political Fragmentation and Racial/Economic Segregation to the Flint Water Crisis.” </w:t>
      </w:r>
      <w:r>
        <w:rPr>
          <w:i/>
        </w:rPr>
        <w:t>Environmental Justice</w:t>
      </w:r>
      <w:r>
        <w:t>, vol. 9, no. 5, Oct. 2016, pp. 143–151,</w:t>
      </w:r>
    </w:p>
    <w:p w14:paraId="4133F076" w14:textId="77777777" w:rsidR="004D3003" w:rsidRDefault="00000000">
      <w:pPr>
        <w:pStyle w:val="BodyText"/>
        <w:ind w:left="1080"/>
      </w:pPr>
      <w:r>
        <w:t>https://doi.org/10.1089/env.2016.0015.</w:t>
      </w:r>
      <w:r>
        <w:rPr>
          <w:spacing w:val="-6"/>
        </w:rPr>
        <w:t xml:space="preserve"> </w:t>
      </w:r>
      <w:r>
        <w:t>Accessed</w:t>
      </w:r>
      <w:r>
        <w:rPr>
          <w:spacing w:val="-5"/>
        </w:rPr>
        <w:t xml:space="preserve"> </w:t>
      </w:r>
      <w:r>
        <w:t>14</w:t>
      </w:r>
      <w:r>
        <w:rPr>
          <w:spacing w:val="-5"/>
        </w:rPr>
        <w:t xml:space="preserve"> </w:t>
      </w:r>
      <w:r>
        <w:t>May</w:t>
      </w:r>
      <w:r>
        <w:rPr>
          <w:spacing w:val="-5"/>
        </w:rPr>
        <w:t xml:space="preserve"> </w:t>
      </w:r>
      <w:r>
        <w:rPr>
          <w:spacing w:val="-2"/>
        </w:rPr>
        <w:t>2019.</w:t>
      </w:r>
    </w:p>
    <w:sectPr w:rsidR="004D3003">
      <w:pgSz w:w="12240" w:h="15840"/>
      <w:pgMar w:top="1380" w:right="144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D828B" w14:textId="77777777" w:rsidR="00724457" w:rsidRDefault="00724457" w:rsidP="00CD32DC">
      <w:r>
        <w:separator/>
      </w:r>
    </w:p>
  </w:endnote>
  <w:endnote w:type="continuationSeparator" w:id="0">
    <w:p w14:paraId="428254EA" w14:textId="77777777" w:rsidR="00724457" w:rsidRDefault="00724457" w:rsidP="00CD3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4A905" w14:textId="77777777" w:rsidR="00724457" w:rsidRDefault="00724457" w:rsidP="00CD32DC">
      <w:r>
        <w:separator/>
      </w:r>
    </w:p>
  </w:footnote>
  <w:footnote w:type="continuationSeparator" w:id="0">
    <w:p w14:paraId="3948236D" w14:textId="77777777" w:rsidR="00724457" w:rsidRDefault="00724457" w:rsidP="00CD32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D3003"/>
    <w:rsid w:val="004D3003"/>
    <w:rsid w:val="005D1F8D"/>
    <w:rsid w:val="00724457"/>
    <w:rsid w:val="00837578"/>
    <w:rsid w:val="00887194"/>
    <w:rsid w:val="00CD32DC"/>
    <w:rsid w:val="00FB3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E5413"/>
  <w15:docId w15:val="{F577B63C-2EA8-4A3A-9907-EA4D52567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2"/>
    </w:pPr>
    <w:rPr>
      <w:rFonts w:ascii="Arial MT" w:eastAsia="Arial MT" w:hAnsi="Arial MT" w:cs="Arial MT"/>
    </w:rPr>
  </w:style>
  <w:style w:type="paragraph" w:styleId="Date">
    <w:name w:val="Date"/>
    <w:basedOn w:val="Normal"/>
    <w:next w:val="Normal"/>
    <w:link w:val="DateChar"/>
    <w:uiPriority w:val="99"/>
    <w:semiHidden/>
    <w:unhideWhenUsed/>
    <w:rsid w:val="00CD32DC"/>
  </w:style>
  <w:style w:type="character" w:customStyle="1" w:styleId="DateChar">
    <w:name w:val="Date Char"/>
    <w:basedOn w:val="DefaultParagraphFont"/>
    <w:link w:val="Date"/>
    <w:uiPriority w:val="99"/>
    <w:semiHidden/>
    <w:rsid w:val="00CD32DC"/>
    <w:rPr>
      <w:rFonts w:ascii="Times New Roman" w:eastAsia="Times New Roman" w:hAnsi="Times New Roman" w:cs="Times New Roman"/>
    </w:rPr>
  </w:style>
  <w:style w:type="paragraph" w:styleId="Header">
    <w:name w:val="header"/>
    <w:basedOn w:val="Normal"/>
    <w:link w:val="HeaderChar"/>
    <w:uiPriority w:val="99"/>
    <w:unhideWhenUsed/>
    <w:rsid w:val="00CD32DC"/>
    <w:pPr>
      <w:tabs>
        <w:tab w:val="center" w:pos="4680"/>
        <w:tab w:val="right" w:pos="9360"/>
      </w:tabs>
    </w:pPr>
  </w:style>
  <w:style w:type="character" w:customStyle="1" w:styleId="HeaderChar">
    <w:name w:val="Header Char"/>
    <w:basedOn w:val="DefaultParagraphFont"/>
    <w:link w:val="Header"/>
    <w:uiPriority w:val="99"/>
    <w:rsid w:val="00CD32DC"/>
    <w:rPr>
      <w:rFonts w:ascii="Times New Roman" w:eastAsia="Times New Roman" w:hAnsi="Times New Roman" w:cs="Times New Roman"/>
    </w:rPr>
  </w:style>
  <w:style w:type="paragraph" w:styleId="Footer">
    <w:name w:val="footer"/>
    <w:basedOn w:val="Normal"/>
    <w:link w:val="FooterChar"/>
    <w:uiPriority w:val="99"/>
    <w:unhideWhenUsed/>
    <w:rsid w:val="00CD32DC"/>
    <w:pPr>
      <w:tabs>
        <w:tab w:val="center" w:pos="4680"/>
        <w:tab w:val="right" w:pos="9360"/>
      </w:tabs>
    </w:pPr>
  </w:style>
  <w:style w:type="character" w:customStyle="1" w:styleId="FooterChar">
    <w:name w:val="Footer Char"/>
    <w:basedOn w:val="DefaultParagraphFont"/>
    <w:link w:val="Footer"/>
    <w:uiPriority w:val="99"/>
    <w:rsid w:val="00CD32D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ncbi.nlm.nih.gov/pmc/articles/PMC4985856/" TargetMode="Externa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9</Pages>
  <Words>2172</Words>
  <Characters>12383</Characters>
  <Application>Microsoft Office Word</Application>
  <DocSecurity>0</DocSecurity>
  <Lines>103</Lines>
  <Paragraphs>29</Paragraphs>
  <ScaleCrop>false</ScaleCrop>
  <Company/>
  <LinksUpToDate>false</LinksUpToDate>
  <CharactersWithSpaces>14526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cp:lastModifiedBy>Colin Cui</cp:lastModifiedBy>
  <cp:revision>3</cp:revision>
  <dcterms:created xsi:type="dcterms:W3CDTF">2025-12-26T15:38:00Z</dcterms:created>
  <dcterms:modified xsi:type="dcterms:W3CDTF">2025-12-26T15:49:00Z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2025-12-26T00:00:00Z</vt:filetime>
  </property>
  <property fmtid="{D5CDD505-2E9C-101B-9397-08002B2CF9AE}" pid="3" name="Producer">
    <vt:lpwstr>Skia/PDF m145 Google Docs Renderer</vt:lpwstr>
  </property>
  <property fmtid="{D5CDD505-2E9C-101B-9397-08002B2CF9AE}" pid="4" name="LastSaved">
    <vt:filetime>2025-12-26T00:00:00Z</vt:filetime>
  </property>
</Properties>
</file>