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7B94" w14:textId="77777777" w:rsidR="00F6713E" w:rsidRDefault="00F6713E" w:rsidP="00F6713E">
      <w:pPr>
        <w:widowControl/>
        <w:ind w:firstLineChars="200" w:firstLine="360"/>
        <w:jc w:val="center"/>
        <w:rPr>
          <w:rFonts w:ascii="黑体" w:eastAsia="黑体" w:hAnsi="黑体" w:cs="黑体"/>
          <w:color w:val="231F20"/>
          <w:kern w:val="0"/>
          <w:sz w:val="18"/>
          <w:szCs w:val="18"/>
          <w:lang w:bidi="ar"/>
        </w:rPr>
      </w:pPr>
      <w:bookmarkStart w:id="0" w:name="_Hlk116761254"/>
      <w:bookmarkEnd w:id="0"/>
      <w:r>
        <w:rPr>
          <w:rFonts w:ascii="黑体" w:eastAsia="黑体" w:hAnsi="黑体" w:cs="黑体" w:hint="eastAsia"/>
          <w:color w:val="231F20"/>
          <w:kern w:val="0"/>
          <w:sz w:val="18"/>
          <w:szCs w:val="18"/>
          <w:lang w:bidi="ar"/>
        </w:rPr>
        <w:t>现状分析</w:t>
      </w:r>
    </w:p>
    <w:p w14:paraId="745399E7" w14:textId="77777777" w:rsidR="00F6713E" w:rsidRDefault="00F6713E" w:rsidP="00F6713E">
      <w:pPr>
        <w:widowControl/>
        <w:ind w:firstLineChars="200" w:firstLine="360"/>
        <w:rPr>
          <w:rFonts w:ascii="黑体" w:eastAsia="黑体" w:hAnsi="黑体" w:cs="黑体"/>
          <w:color w:val="231F20"/>
          <w:kern w:val="0"/>
          <w:sz w:val="18"/>
          <w:szCs w:val="18"/>
          <w:lang w:bidi="ar"/>
        </w:rPr>
      </w:pPr>
      <w:r>
        <w:rPr>
          <w:rFonts w:ascii="黑体" w:eastAsia="黑体" w:hAnsi="黑体" w:cs="黑体"/>
          <w:color w:val="231F20"/>
          <w:kern w:val="0"/>
          <w:sz w:val="18"/>
          <w:szCs w:val="18"/>
          <w:lang w:bidi="ar"/>
        </w:rPr>
        <w:t xml:space="preserve">近年来，区块链技术加快演进，不断与金融、物流、能源、制造、生命科学、医疗保健、销售等领域融合，区块链技术也引起了高等教育工作者的关注。 很多国家制定了推动区块链高等教育应用的战略规划。 例如：爱沙尼亚推出 </w:t>
      </w:r>
      <w:proofErr w:type="spellStart"/>
      <w:r>
        <w:rPr>
          <w:rFonts w:ascii="黑体" w:eastAsia="黑体" w:hAnsi="黑体" w:cs="黑体"/>
          <w:color w:val="231F20"/>
          <w:kern w:val="0"/>
          <w:sz w:val="18"/>
          <w:szCs w:val="18"/>
          <w:lang w:bidi="ar"/>
        </w:rPr>
        <w:t>Disciplina</w:t>
      </w:r>
      <w:proofErr w:type="spellEnd"/>
      <w:r>
        <w:rPr>
          <w:rFonts w:ascii="黑体" w:eastAsia="黑体" w:hAnsi="黑体" w:cs="黑体"/>
          <w:color w:val="231F20"/>
          <w:kern w:val="0"/>
          <w:sz w:val="18"/>
          <w:szCs w:val="18"/>
          <w:lang w:bidi="ar"/>
        </w:rPr>
        <w:t>项目， 旨在利用区块链帮助学生监控自己的教育记录，帮助教师建立个人档案等；荷兰成立了区块链联盟，帮助高等教育机构应对区块链应用挑战；德国联邦政府资助一项基于区块链技术的高等教育证书验证项目。</w:t>
      </w:r>
    </w:p>
    <w:p w14:paraId="46443B83" w14:textId="77777777" w:rsidR="00F6713E" w:rsidRDefault="00F6713E" w:rsidP="00F6713E">
      <w:pPr>
        <w:widowControl/>
        <w:ind w:firstLineChars="200" w:firstLine="360"/>
        <w:jc w:val="left"/>
        <w:rPr>
          <w:rFonts w:ascii="黑体" w:eastAsia="黑体" w:hAnsi="黑体" w:cs="黑体"/>
          <w:color w:val="231F20"/>
          <w:kern w:val="0"/>
          <w:sz w:val="18"/>
          <w:szCs w:val="18"/>
          <w:lang w:bidi="ar"/>
        </w:rPr>
      </w:pPr>
      <w:r>
        <w:rPr>
          <w:rFonts w:ascii="黑体" w:eastAsia="黑体" w:hAnsi="黑体" w:cs="黑体" w:hint="eastAsia"/>
          <w:color w:val="231F20"/>
          <w:kern w:val="0"/>
          <w:sz w:val="18"/>
          <w:szCs w:val="18"/>
          <w:lang w:bidi="ar"/>
        </w:rPr>
        <w:t xml:space="preserve">信息技术的快速发展促使高等教育机构为学生提供多形式学习机会，如何记录、验证、共享所有形式的学习，实现学生、高等教育机构和潜在雇主等之间的数据互通，避免教育记录造假，以及保护开放教育资源版权等成为高等教育机构面临的挑战。 </w:t>
      </w:r>
      <w:r>
        <w:rPr>
          <w:rFonts w:ascii="黑体" w:eastAsia="黑体" w:hAnsi="黑体" w:cs="黑体"/>
          <w:color w:val="231F20"/>
          <w:kern w:val="0"/>
          <w:sz w:val="18"/>
          <w:szCs w:val="18"/>
          <w:lang w:bidi="ar"/>
        </w:rPr>
        <w:t>在教育领域中，区块链应用具有可靠、可信、安全和高效率等优势，具备存储、传输、验证考试报告、学习成绩、学术成就、职业兴趣、毕业证等能力。</w:t>
      </w:r>
      <w:r>
        <w:rPr>
          <w:rFonts w:ascii="黑体" w:eastAsia="黑体" w:hAnsi="黑体" w:cs="黑体" w:hint="eastAsia"/>
          <w:color w:val="231F20"/>
          <w:kern w:val="0"/>
          <w:sz w:val="18"/>
          <w:szCs w:val="18"/>
          <w:lang w:bidi="ar"/>
        </w:rPr>
        <w:t xml:space="preserve">通过分布式数据存储、点对点传输、共识机制、加密算法等技术，区块链允许学生控制自己的数据、简化教育机构的活动、提高数据访问的安全性并验证学生的学历，这为高等教育机构应对信息化挑战提供了支持。 当前，不同的教育机构开始尝试利用区块链技术应对挑战。 例如：霍尔伯顿学校利用区块链技术帮助学生记录学习行为和课堂活动表现等；立陶宛 </w:t>
      </w:r>
      <w:proofErr w:type="spellStart"/>
      <w:r>
        <w:rPr>
          <w:rFonts w:ascii="黑体" w:eastAsia="黑体" w:hAnsi="黑体" w:cs="黑体" w:hint="eastAsia"/>
          <w:color w:val="231F20"/>
          <w:kern w:val="0"/>
          <w:sz w:val="20"/>
          <w:szCs w:val="20"/>
          <w:lang w:bidi="ar"/>
        </w:rPr>
        <w:t>BitDegree</w:t>
      </w:r>
      <w:proofErr w:type="spellEnd"/>
      <w:r>
        <w:rPr>
          <w:rFonts w:ascii="黑体" w:eastAsia="黑体" w:hAnsi="黑体" w:cs="黑体" w:hint="eastAsia"/>
          <w:color w:val="231F20"/>
          <w:kern w:val="0"/>
          <w:sz w:val="20"/>
          <w:szCs w:val="20"/>
          <w:lang w:bidi="ar"/>
        </w:rPr>
        <w:t xml:space="preserve"> </w:t>
      </w:r>
      <w:r>
        <w:rPr>
          <w:rFonts w:ascii="黑体" w:eastAsia="黑体" w:hAnsi="黑体" w:cs="黑体" w:hint="eastAsia"/>
          <w:color w:val="231F20"/>
          <w:kern w:val="0"/>
          <w:sz w:val="18"/>
          <w:szCs w:val="18"/>
          <w:lang w:bidi="ar"/>
        </w:rPr>
        <w:t>平台为在职人员提供学习机会，记录并验证考试成绩、作业、问题解决能力等信息， 支持利用比特币支付课程费用及申请奖学金等。</w:t>
      </w:r>
    </w:p>
    <w:p w14:paraId="42ABEF86" w14:textId="77777777" w:rsidR="00F6713E" w:rsidRDefault="00F6713E" w:rsidP="00F6713E">
      <w:pPr>
        <w:widowControl/>
        <w:ind w:firstLineChars="200" w:firstLine="360"/>
        <w:jc w:val="left"/>
        <w:rPr>
          <w:rFonts w:ascii="黑体" w:hAnsi="黑体" w:cs="黑体"/>
          <w:color w:val="231F20"/>
          <w:kern w:val="0"/>
          <w:sz w:val="18"/>
          <w:szCs w:val="18"/>
          <w:lang w:bidi="ar"/>
        </w:rPr>
      </w:pPr>
      <w:r>
        <w:rPr>
          <w:rFonts w:ascii="黑体" w:eastAsia="黑体" w:hAnsi="黑体" w:cs="黑体" w:hint="eastAsia"/>
          <w:color w:val="231F20"/>
          <w:kern w:val="0"/>
          <w:sz w:val="18"/>
          <w:szCs w:val="18"/>
          <w:lang w:bidi="ar"/>
        </w:rPr>
        <w:t>研究调查结果显示，区块链高等教育应用主要领域包括数字证书管理、 费用与奖励/资助和学生就业， 如图 1 所示。 所选样本中，25 所高等教育机构（66%）利用区块链技术发放、存储、共享、认证数字证书；10 所高等教育机构（26%）允许 学生利用代币支付学费，以及发放奖学金助学金、获得捐赠等；9 所高等教育机构（24%）利用区块链技术将学生、教育机构和潜在雇主链接，帮助学生就业。 区块链在招生、数字身份、学习档案、评价与指导、学习环境、学分转移、资料审查、学术活动、知识保护等方面的应用较少。 所选样本中，利用区块链技术记录学习档案、对学生与教师等进行评价与指导、管理学习环境的高等教育机构各有 3 所，利用区块链技术进行招生、学分转移和知识保护的高等教育机构各有 2 所，利用区块链技术管理数字身份、审核资料的高等教育机构各有 1 所，没有高等教育机构利用区块链技术管理学术活动。</w:t>
      </w:r>
      <w:r>
        <w:rPr>
          <w:rFonts w:ascii="黑体" w:hAnsi="黑体" w:cs="黑体" w:hint="eastAsia"/>
          <w:noProof/>
          <w:color w:val="231F20"/>
          <w:kern w:val="0"/>
          <w:sz w:val="18"/>
          <w:szCs w:val="18"/>
          <w:lang w:bidi="ar"/>
        </w:rPr>
        <w:drawing>
          <wp:inline distT="0" distB="0" distL="114300" distR="114300" wp14:anchorId="248C4934" wp14:editId="34E10DDC">
            <wp:extent cx="5803265" cy="3582035"/>
            <wp:effectExtent l="4445" t="4445" r="21590" b="13970"/>
            <wp:docPr id="2" name="图表 2" descr="7b0a202020202263686172745265734964223a20223230343733343530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10C6D6" w14:textId="77777777" w:rsidR="00F6713E" w:rsidRDefault="00F6713E" w:rsidP="00F6713E">
      <w:pPr>
        <w:widowControl/>
        <w:ind w:firstLineChars="200" w:firstLine="360"/>
        <w:jc w:val="left"/>
        <w:rPr>
          <w:rFonts w:ascii="黑体" w:hAnsi="黑体" w:cs="黑体"/>
          <w:color w:val="231F20"/>
          <w:kern w:val="0"/>
          <w:sz w:val="18"/>
          <w:szCs w:val="18"/>
          <w:lang w:bidi="ar"/>
        </w:rPr>
      </w:pPr>
    </w:p>
    <w:p w14:paraId="73A8F3CE" w14:textId="77777777" w:rsidR="00F6713E" w:rsidRDefault="00F6713E" w:rsidP="00F6713E">
      <w:pPr>
        <w:widowControl/>
        <w:ind w:firstLine="420"/>
        <w:jc w:val="left"/>
        <w:rPr>
          <w:rFonts w:ascii="黑体" w:eastAsia="黑体" w:hAnsi="黑体" w:cs="黑体"/>
        </w:rPr>
      </w:pPr>
      <w:r>
        <w:rPr>
          <w:rFonts w:ascii="黑体" w:eastAsia="黑体" w:hAnsi="黑体" w:cs="黑体" w:hint="eastAsia"/>
          <w:color w:val="231F20"/>
          <w:kern w:val="0"/>
          <w:sz w:val="18"/>
          <w:szCs w:val="18"/>
          <w:lang w:bidi="ar"/>
        </w:rPr>
        <w:lastRenderedPageBreak/>
        <w:t>区块链技术可以实现多方输入、分布式存储数据、应对多方输入造成的信任缺失、 实现非中介化交易关联、按照特定规则自动交易、利用交易日志进行验证、实现价值存储等。 在信息技术快速发展的背景下，区块链技术对高等教育改革有积极作用。 它不仅可以进行教育全方位精准画像，赋予学生对其学习记录的自主权和控制权，提高高等教育机构的工作效率，还可以推进高等教育机构、学生、潜在雇主新型关系的重构。 当前， 高等教育机构以各种创新的方式将区块链技术应用于不同的教育情境其中数字证书管理、费用与奖励</w:t>
      </w:r>
      <w:r>
        <w:rPr>
          <w:rFonts w:ascii="黑体" w:eastAsia="黑体" w:hAnsi="黑体" w:cs="黑体" w:hint="eastAsia"/>
          <w:color w:val="231F20"/>
          <w:kern w:val="0"/>
          <w:sz w:val="20"/>
          <w:szCs w:val="20"/>
          <w:lang w:bidi="ar"/>
        </w:rPr>
        <w:t>/</w:t>
      </w:r>
      <w:r>
        <w:rPr>
          <w:rFonts w:ascii="黑体" w:eastAsia="黑体" w:hAnsi="黑体" w:cs="黑体" w:hint="eastAsia"/>
          <w:color w:val="231F20"/>
          <w:kern w:val="0"/>
          <w:sz w:val="18"/>
          <w:szCs w:val="18"/>
          <w:lang w:bidi="ar"/>
        </w:rPr>
        <w:t xml:space="preserve">资助、学生就业是最主要的应用。 同时，高等教育机构已开始探究区块链技术在学习档案、评价与指导、学习环境、学分转移、知识保护、数字身份和资料审查等方面的应用。 </w:t>
      </w:r>
    </w:p>
    <w:p w14:paraId="339E0D8A" w14:textId="77777777" w:rsidR="00F6713E" w:rsidRDefault="00F6713E" w:rsidP="00F6713E">
      <w:pPr>
        <w:widowControl/>
        <w:ind w:firstLine="420"/>
        <w:jc w:val="left"/>
        <w:rPr>
          <w:rFonts w:ascii="黑体" w:eastAsia="黑体" w:hAnsi="黑体" w:cs="黑体"/>
        </w:rPr>
      </w:pPr>
      <w:r>
        <w:rPr>
          <w:rFonts w:ascii="黑体" w:eastAsia="黑体" w:hAnsi="黑体" w:cs="黑体" w:hint="eastAsia"/>
          <w:color w:val="231F20"/>
          <w:kern w:val="0"/>
          <w:sz w:val="18"/>
          <w:szCs w:val="18"/>
          <w:lang w:bidi="ar"/>
        </w:rPr>
        <w:t xml:space="preserve">然而， 大多数高等教育机构仅提出了相关规划或正处于试点测试阶段， 区块链技术在高等教育领域中的应用仍处于初级阶段， 其广泛应用仍面临很多问题和挑战。 从技术角度看，区块链技术在高等教育中的应用面临可扩展性、集成性、数据隐私、数据安全、延迟和标准化等挑战；从推广角度看，区块链技术教育应用仍存在推广度低、数字鸿沟大、实施成本高等问题。高等教育机构应充分意识到区块链技术的优势与不足，消除应用区块链技术的障碍，抓住区块链重塑未来高等教育的机遇。 </w:t>
      </w:r>
    </w:p>
    <w:p w14:paraId="517A2998" w14:textId="77777777" w:rsidR="00F6713E" w:rsidRDefault="00F6713E" w:rsidP="00F6713E">
      <w:pPr>
        <w:widowControl/>
        <w:ind w:firstLine="420"/>
        <w:jc w:val="left"/>
        <w:rPr>
          <w:rFonts w:ascii="黑体" w:eastAsia="黑体" w:hAnsi="黑体" w:cs="黑体"/>
        </w:rPr>
      </w:pPr>
      <w:r>
        <w:rPr>
          <w:rFonts w:ascii="黑体" w:eastAsia="黑体" w:hAnsi="黑体" w:cs="黑体" w:hint="eastAsia"/>
          <w:color w:val="231F20"/>
          <w:kern w:val="0"/>
          <w:sz w:val="18"/>
          <w:szCs w:val="18"/>
          <w:lang w:bidi="ar"/>
        </w:rPr>
        <w:t>高等教育机构应当加强对区块链技术的研究，</w:t>
      </w:r>
      <w:proofErr w:type="gramStart"/>
      <w:r>
        <w:rPr>
          <w:rFonts w:ascii="黑体" w:eastAsia="黑体" w:hAnsi="黑体" w:cs="黑体" w:hint="eastAsia"/>
          <w:color w:val="231F20"/>
          <w:kern w:val="0"/>
          <w:sz w:val="18"/>
          <w:szCs w:val="18"/>
          <w:lang w:bidi="ar"/>
        </w:rPr>
        <w:t>提高区</w:t>
      </w:r>
      <w:proofErr w:type="gramEnd"/>
      <w:r>
        <w:rPr>
          <w:rFonts w:ascii="黑体" w:eastAsia="黑体" w:hAnsi="黑体" w:cs="黑体" w:hint="eastAsia"/>
          <w:color w:val="231F20"/>
          <w:kern w:val="0"/>
          <w:sz w:val="18"/>
          <w:szCs w:val="18"/>
          <w:lang w:bidi="ar"/>
        </w:rPr>
        <w:t>块链技术的成熟度。 虽然，区块链技术通过去中心化可以实现数据安全，但是仍面临被攻击的风险。 高等教育机构应避免数据篡改、泄露等问题，保护学生、教师、机构的数据隐私和安全；加强学生化名与真实身份的映射关系，避免匿名化泛滥带来的数据监控问题。 同时，还应</w:t>
      </w:r>
      <w:proofErr w:type="gramStart"/>
      <w:r>
        <w:rPr>
          <w:rFonts w:ascii="黑体" w:eastAsia="黑体" w:hAnsi="黑体" w:cs="黑体" w:hint="eastAsia"/>
          <w:color w:val="231F20"/>
          <w:kern w:val="0"/>
          <w:sz w:val="18"/>
          <w:szCs w:val="18"/>
          <w:lang w:bidi="ar"/>
        </w:rPr>
        <w:t>提高区</w:t>
      </w:r>
      <w:proofErr w:type="gramEnd"/>
      <w:r>
        <w:rPr>
          <w:rFonts w:ascii="黑体" w:eastAsia="黑体" w:hAnsi="黑体" w:cs="黑体" w:hint="eastAsia"/>
          <w:color w:val="231F20"/>
          <w:kern w:val="0"/>
          <w:sz w:val="18"/>
          <w:szCs w:val="18"/>
          <w:lang w:bidi="ar"/>
        </w:rPr>
        <w:t>块链技术的可扩展性，打破区块链交易速度低的瓶颈，以应对高等教育机构学生人数众多、教育数据庞大的挑战。 此外，高等教育机构应当设计或选用操作界面简单易操作的平台或程序，为所有师生提供技术支持，从而</w:t>
      </w:r>
      <w:proofErr w:type="gramStart"/>
      <w:r>
        <w:rPr>
          <w:rFonts w:ascii="黑体" w:eastAsia="黑体" w:hAnsi="黑体" w:cs="黑体" w:hint="eastAsia"/>
          <w:color w:val="231F20"/>
          <w:kern w:val="0"/>
          <w:sz w:val="18"/>
          <w:szCs w:val="18"/>
          <w:lang w:bidi="ar"/>
        </w:rPr>
        <w:t>提高区</w:t>
      </w:r>
      <w:proofErr w:type="gramEnd"/>
      <w:r>
        <w:rPr>
          <w:rFonts w:ascii="黑体" w:eastAsia="黑体" w:hAnsi="黑体" w:cs="黑体" w:hint="eastAsia"/>
          <w:color w:val="231F20"/>
          <w:kern w:val="0"/>
          <w:sz w:val="18"/>
          <w:szCs w:val="18"/>
          <w:lang w:bidi="ar"/>
        </w:rPr>
        <w:t>块链的可用性和师生接受度；还要增加区块链应用的成本投入，鼓励科研人员加强区块链技术平台或程序的设计与开发，购置数据存储设备和应用设备，保证数据的存储、管理。</w:t>
      </w:r>
    </w:p>
    <w:p w14:paraId="569A8A7A" w14:textId="77777777" w:rsidR="00F6713E" w:rsidRDefault="00F6713E" w:rsidP="00F6713E">
      <w:pPr>
        <w:widowControl/>
        <w:ind w:firstLineChars="200" w:firstLine="360"/>
        <w:jc w:val="left"/>
        <w:rPr>
          <w:rFonts w:ascii="黑体" w:hAnsi="黑体" w:cs="黑体"/>
          <w:color w:val="231F20"/>
          <w:kern w:val="0"/>
          <w:sz w:val="18"/>
          <w:szCs w:val="18"/>
          <w:lang w:bidi="ar"/>
        </w:rPr>
      </w:pPr>
    </w:p>
    <w:p w14:paraId="01BF577F" w14:textId="77777777" w:rsidR="00F6713E" w:rsidRDefault="00F6713E" w:rsidP="00F6713E">
      <w:pPr>
        <w:widowControl/>
        <w:ind w:firstLineChars="200" w:firstLine="360"/>
        <w:jc w:val="left"/>
        <w:rPr>
          <w:rFonts w:ascii="黑体" w:hAnsi="黑体" w:cs="黑体"/>
          <w:color w:val="231F20"/>
          <w:kern w:val="0"/>
          <w:sz w:val="18"/>
          <w:szCs w:val="18"/>
          <w:lang w:bidi="ar"/>
        </w:rPr>
      </w:pPr>
    </w:p>
    <w:p w14:paraId="76E43F2F" w14:textId="77777777" w:rsidR="00F6713E" w:rsidRDefault="00F6713E" w:rsidP="00F6713E">
      <w:pPr>
        <w:pStyle w:val="3"/>
        <w:jc w:val="center"/>
      </w:pPr>
      <w:r>
        <w:rPr>
          <w:rFonts w:hint="eastAsia"/>
        </w:rPr>
        <w:t>系统功能分析</w:t>
      </w:r>
    </w:p>
    <w:p w14:paraId="2D58E211" w14:textId="77777777" w:rsidR="00F6713E" w:rsidRDefault="00F6713E" w:rsidP="00F6713E">
      <w:r>
        <w:rPr>
          <w:rFonts w:hint="eastAsia"/>
        </w:rPr>
        <w:t>为应对传统学历证书造假、由教育机构单方面保存不当，同时探索推动区块链技术在学历认证、求职就业等领域的应用，提高数字认证可信性。提出利用区块链处理证书认证的相关问题</w:t>
      </w:r>
    </w:p>
    <w:p w14:paraId="45E5608B" w14:textId="77777777" w:rsidR="00F6713E" w:rsidRDefault="00F6713E" w:rsidP="00F6713E">
      <w:pPr>
        <w:rPr>
          <w:sz w:val="22"/>
          <w:szCs w:val="28"/>
        </w:rPr>
      </w:pPr>
      <w:r>
        <w:rPr>
          <w:sz w:val="22"/>
          <w:szCs w:val="28"/>
        </w:rPr>
        <w:t>基于区块链的可信认证系统，主要依赖于区块链的共识机制，共识机制能够有效地增加认证的可信度，其学历学位认证机制主要具有以下特点特性，使其设计的基于区块链的认证系统拥有不可篡改、不可抵赖和去中心化的特点。依赖于区块链中的智能合约机制，使得认证过程严格按照合约要求执行，无须人工参与，可信机制具备中立性和安全性。</w:t>
      </w:r>
    </w:p>
    <w:p w14:paraId="0BB5A172" w14:textId="77777777" w:rsidR="00F6713E" w:rsidRDefault="00F6713E" w:rsidP="00F6713E">
      <w:r>
        <w:rPr>
          <w:rFonts w:hint="eastAsia"/>
        </w:rPr>
        <w:t>通常情况下来讲：对于一个证书管理过程，涉及到三方角色：颁发机构、证书持有者、证书验证者。</w:t>
      </w:r>
    </w:p>
    <w:p w14:paraId="51FF49EF" w14:textId="77777777" w:rsidR="00F6713E" w:rsidRDefault="00F6713E" w:rsidP="00F6713E">
      <w:r>
        <w:rPr>
          <w:rFonts w:hint="eastAsia"/>
        </w:rPr>
        <w:t>对</w:t>
      </w:r>
      <w:r>
        <w:t>于传统的证书管理平台，数字证书将现有的纸质证书转换成电子数据，由颁发机构上传给第三方证书注册平台，借助数字签名进行有效性的验证。</w:t>
      </w:r>
    </w:p>
    <w:p w14:paraId="49C44684" w14:textId="77777777" w:rsidR="00F6713E" w:rsidRDefault="00F6713E" w:rsidP="00F6713E">
      <w:pPr>
        <w:pStyle w:val="a8"/>
        <w:widowControl/>
        <w:spacing w:after="420" w:line="26" w:lineRule="atLeast"/>
        <w:rPr>
          <w:sz w:val="21"/>
        </w:rPr>
      </w:pPr>
    </w:p>
    <w:p w14:paraId="09D216FD" w14:textId="77777777" w:rsidR="00F6713E" w:rsidRDefault="00F6713E" w:rsidP="00F6713E">
      <w:pPr>
        <w:pStyle w:val="a8"/>
        <w:widowControl/>
        <w:spacing w:after="420" w:line="26" w:lineRule="atLeast"/>
        <w:rPr>
          <w:sz w:val="21"/>
        </w:rPr>
      </w:pPr>
      <w:r>
        <w:rPr>
          <w:rFonts w:hint="eastAsia"/>
          <w:sz w:val="21"/>
        </w:rPr>
        <w:t>在区块链系统中，认证机构负责从原有数据系统导入数据和检查证书结果。导入数据后，认证机构对证书进行签名并将其存储到链上，并确认证书的真实性和有效性。每个证书都会获得独一无二的数字标识，作为在链上流转的“身份证”。</w:t>
      </w:r>
    </w:p>
    <w:p w14:paraId="5BC8A400" w14:textId="77777777" w:rsidR="00F6713E" w:rsidRDefault="00F6713E" w:rsidP="00F6713E">
      <w:pPr>
        <w:pStyle w:val="a8"/>
        <w:widowControl/>
        <w:spacing w:after="420" w:line="26" w:lineRule="atLeast"/>
        <w:rPr>
          <w:sz w:val="21"/>
        </w:rPr>
      </w:pPr>
      <w:r>
        <w:rPr>
          <w:rFonts w:hint="eastAsia"/>
          <w:sz w:val="21"/>
        </w:rPr>
        <w:lastRenderedPageBreak/>
        <w:t>对于</w:t>
      </w:r>
      <w:r>
        <w:rPr>
          <w:rFonts w:hint="eastAsia"/>
        </w:rPr>
        <w:t>证书验证者</w:t>
      </w:r>
      <w:r>
        <w:rPr>
          <w:rFonts w:hint="eastAsia"/>
          <w:sz w:val="21"/>
        </w:rPr>
        <w:t>而言，不需要手工验证或向发证机构查询证书的真伪，可直接发起证书验证请求，通过区块链证书管理平台进行验证。</w:t>
      </w:r>
    </w:p>
    <w:p w14:paraId="3B4887C4" w14:textId="77777777" w:rsidR="00F6713E" w:rsidRDefault="00F6713E" w:rsidP="00F6713E">
      <w:pPr>
        <w:pStyle w:val="a8"/>
        <w:widowControl/>
        <w:spacing w:after="420" w:line="26" w:lineRule="atLeast"/>
        <w:rPr>
          <w:sz w:val="21"/>
        </w:rPr>
      </w:pPr>
      <w:r>
        <w:rPr>
          <w:rFonts w:hint="eastAsia"/>
          <w:sz w:val="21"/>
        </w:rPr>
        <w:t>在证书管理平台上的任何操作，例如添加证书，都要求调用方被经过注册的认证机构进行授权。</w:t>
      </w:r>
    </w:p>
    <w:p w14:paraId="688D3607" w14:textId="77777777" w:rsidR="00F6713E" w:rsidRDefault="00F6713E" w:rsidP="00F6713E">
      <w:pPr>
        <w:pStyle w:val="a8"/>
        <w:widowControl/>
        <w:spacing w:after="420" w:line="26" w:lineRule="atLeast"/>
        <w:rPr>
          <w:sz w:val="21"/>
        </w:rPr>
      </w:pPr>
      <w:r>
        <w:rPr>
          <w:rFonts w:hint="eastAsia"/>
          <w:sz w:val="21"/>
        </w:rPr>
        <w:t>因此，对</w:t>
      </w:r>
      <w:r>
        <w:rPr>
          <w:rFonts w:hint="eastAsia"/>
        </w:rPr>
        <w:t>证书持有者</w:t>
      </w:r>
      <w:r>
        <w:rPr>
          <w:rFonts w:hint="eastAsia"/>
          <w:sz w:val="21"/>
        </w:rPr>
        <w:t>而言，除了学历证书，还可向认证机构提交其他技能水平证书，由认证人员审核后加入区块链账本，一同进行证书记录。</w:t>
      </w:r>
    </w:p>
    <w:p w14:paraId="0C5EA3DB" w14:textId="77777777" w:rsidR="00F6713E" w:rsidRDefault="00F6713E" w:rsidP="00F6713E">
      <w:pPr>
        <w:pStyle w:val="a8"/>
        <w:widowControl/>
        <w:spacing w:after="420" w:line="26" w:lineRule="atLeast"/>
        <w:rPr>
          <w:sz w:val="21"/>
        </w:rPr>
      </w:pPr>
      <w:r>
        <w:rPr>
          <w:rFonts w:hint="eastAsia"/>
          <w:sz w:val="21"/>
        </w:rPr>
        <w:t>以学位证书为例：</w:t>
      </w:r>
    </w:p>
    <w:p w14:paraId="25C0BEF5" w14:textId="77777777" w:rsidR="00F6713E" w:rsidRDefault="00F6713E" w:rsidP="00F6713E">
      <w:pPr>
        <w:pStyle w:val="a8"/>
        <w:widowControl/>
        <w:numPr>
          <w:ilvl w:val="0"/>
          <w:numId w:val="2"/>
        </w:numPr>
        <w:spacing w:after="420" w:line="26" w:lineRule="atLeast"/>
        <w:rPr>
          <w:rFonts w:ascii="宋体" w:eastAsia="宋体" w:hAnsi="宋体" w:cs="宋体"/>
        </w:rPr>
      </w:pPr>
      <w:r>
        <w:rPr>
          <w:rFonts w:ascii="宋体" w:eastAsia="宋体" w:hAnsi="宋体" w:cs="宋体"/>
        </w:rPr>
        <w:t>教育局统一上传学历学位认证信息和教育部直属 的技能认证考核证书。由教育部统一录入保证了数据来源是 真实性和可靠性，也可以提高录入的效率，防止各个机构录 入的信息不同步，给用户造成一定的不便。</w:t>
      </w:r>
    </w:p>
    <w:p w14:paraId="6E6A91E5" w14:textId="77777777" w:rsidR="00F6713E" w:rsidRDefault="00F6713E" w:rsidP="00F6713E">
      <w:pPr>
        <w:pStyle w:val="a8"/>
        <w:widowControl/>
        <w:numPr>
          <w:ilvl w:val="0"/>
          <w:numId w:val="2"/>
        </w:numPr>
        <w:spacing w:after="420" w:line="26" w:lineRule="atLeast"/>
        <w:rPr>
          <w:sz w:val="21"/>
        </w:rPr>
      </w:pPr>
      <w:r>
        <w:rPr>
          <w:rFonts w:ascii="宋体" w:eastAsia="宋体" w:hAnsi="宋体" w:cs="宋体"/>
        </w:rPr>
        <w:t xml:space="preserve">学校录入在校学生每个学期的情况，其中包括一 </w:t>
      </w:r>
      <w:proofErr w:type="gramStart"/>
      <w:r>
        <w:rPr>
          <w:rFonts w:ascii="宋体" w:eastAsia="宋体" w:hAnsi="宋体" w:cs="宋体"/>
        </w:rPr>
        <w:t>个</w:t>
      </w:r>
      <w:proofErr w:type="gramEnd"/>
      <w:r>
        <w:rPr>
          <w:rFonts w:ascii="宋体" w:eastAsia="宋体" w:hAnsi="宋体" w:cs="宋体"/>
        </w:rPr>
        <w:t xml:space="preserve">学期学生的绩点、获得奖项、处分以及总体表现等能够体 现出学生的学习情况。同时，也可以查询在校学生学习情况， 可以更方便地进行学生管理。 </w:t>
      </w:r>
    </w:p>
    <w:p w14:paraId="096BF6AE" w14:textId="77777777" w:rsidR="00F6713E" w:rsidRDefault="00F6713E" w:rsidP="00F6713E">
      <w:pPr>
        <w:pStyle w:val="a8"/>
        <w:widowControl/>
        <w:numPr>
          <w:ilvl w:val="0"/>
          <w:numId w:val="2"/>
        </w:numPr>
        <w:spacing w:after="420" w:line="26" w:lineRule="atLeast"/>
        <w:rPr>
          <w:sz w:val="21"/>
        </w:rPr>
      </w:pPr>
      <w:r>
        <w:rPr>
          <w:rFonts w:ascii="宋体" w:eastAsia="宋体" w:hAnsi="宋体" w:cs="宋体"/>
        </w:rPr>
        <w:t>培训机构上</w:t>
      </w:r>
      <w:proofErr w:type="gramStart"/>
      <w:r>
        <w:rPr>
          <w:rFonts w:ascii="宋体" w:eastAsia="宋体" w:hAnsi="宋体" w:cs="宋体"/>
        </w:rPr>
        <w:t>传每个</w:t>
      </w:r>
      <w:proofErr w:type="gramEnd"/>
      <w:r>
        <w:rPr>
          <w:rFonts w:ascii="宋体" w:eastAsia="宋体" w:hAnsi="宋体" w:cs="宋体"/>
        </w:rPr>
        <w:t>课程的考核标准，在系统进行备案以便被审查。在每个课程结束以后，</w:t>
      </w:r>
      <w:proofErr w:type="gramStart"/>
      <w:r>
        <w:rPr>
          <w:rFonts w:ascii="宋体" w:eastAsia="宋体" w:hAnsi="宋体" w:cs="宋体"/>
        </w:rPr>
        <w:t>上传该学员</w:t>
      </w:r>
      <w:proofErr w:type="gramEnd"/>
      <w:r>
        <w:rPr>
          <w:rFonts w:ascii="宋体" w:eastAsia="宋体" w:hAnsi="宋体" w:cs="宋体"/>
        </w:rPr>
        <w:t>的在该课程整个的表现，并且对通过考核的学员</w:t>
      </w:r>
      <w:proofErr w:type="gramStart"/>
      <w:r>
        <w:rPr>
          <w:rFonts w:ascii="宋体" w:eastAsia="宋体" w:hAnsi="宋体" w:cs="宋体"/>
        </w:rPr>
        <w:t>上传该课程</w:t>
      </w:r>
      <w:proofErr w:type="gramEnd"/>
      <w:r>
        <w:rPr>
          <w:rFonts w:ascii="宋体" w:eastAsia="宋体" w:hAnsi="宋体" w:cs="宋体"/>
        </w:rPr>
        <w:t xml:space="preserve">的技能 认证证书。 </w:t>
      </w:r>
    </w:p>
    <w:p w14:paraId="0DE327B0" w14:textId="77777777" w:rsidR="00F6713E" w:rsidRDefault="00F6713E" w:rsidP="00F6713E">
      <w:pPr>
        <w:pStyle w:val="a8"/>
        <w:widowControl/>
        <w:numPr>
          <w:ilvl w:val="0"/>
          <w:numId w:val="2"/>
        </w:numPr>
        <w:spacing w:after="420" w:line="26" w:lineRule="atLeast"/>
        <w:rPr>
          <w:sz w:val="21"/>
        </w:rPr>
      </w:pPr>
      <w:r>
        <w:rPr>
          <w:rFonts w:ascii="宋体" w:eastAsia="宋体" w:hAnsi="宋体" w:cs="宋体"/>
        </w:rPr>
        <w:t>工商局审核培训机构加入区块链，并且在一定时 期进行根据培训机构上传的考核标准进行考察，防止培训机构恶意颁发证书的现象。</w:t>
      </w:r>
    </w:p>
    <w:p w14:paraId="5E76406F" w14:textId="77777777" w:rsidR="00F6713E" w:rsidRDefault="00F6713E" w:rsidP="00F6713E">
      <w:pPr>
        <w:pStyle w:val="a8"/>
        <w:widowControl/>
        <w:numPr>
          <w:ilvl w:val="0"/>
          <w:numId w:val="2"/>
        </w:numPr>
        <w:spacing w:after="420" w:line="26" w:lineRule="atLeast"/>
        <w:rPr>
          <w:sz w:val="21"/>
        </w:rPr>
      </w:pPr>
      <w:r>
        <w:rPr>
          <w:rFonts w:ascii="宋体" w:eastAsia="宋体" w:hAnsi="宋体" w:cs="宋体"/>
        </w:rPr>
        <w:t xml:space="preserve">个体用户可以查询自己所有的技能证书和学历学 位认证信息，并且根据学历学位的毕业院校查到在该学校所有学期的学习情况。 </w:t>
      </w:r>
    </w:p>
    <w:p w14:paraId="7992D6AF" w14:textId="77777777" w:rsidR="00F6713E" w:rsidRDefault="00F6713E" w:rsidP="00F6713E">
      <w:pPr>
        <w:pStyle w:val="a8"/>
        <w:widowControl/>
        <w:numPr>
          <w:ilvl w:val="0"/>
          <w:numId w:val="2"/>
        </w:numPr>
        <w:spacing w:after="420" w:line="26" w:lineRule="atLeast"/>
        <w:rPr>
          <w:sz w:val="21"/>
        </w:rPr>
      </w:pPr>
      <w:r>
        <w:rPr>
          <w:rFonts w:ascii="宋体" w:eastAsia="宋体" w:hAnsi="宋体" w:cs="宋体"/>
        </w:rPr>
        <w:t>用人单位查询应聘者的学历和技能证书的真伪性， 而且还可以查询该应聘者的获取学历期间的表现与学习情况，可以更好地进行择取。</w:t>
      </w:r>
    </w:p>
    <w:p w14:paraId="1142FB27" w14:textId="77777777" w:rsidR="00F6713E" w:rsidRDefault="00F6713E" w:rsidP="00F6713E">
      <w:r>
        <w:rPr>
          <w:rFonts w:hint="eastAsia"/>
        </w:rPr>
        <w:t>然而仅仅实现上述功能显然是不足以发挥区块链的优势。对于本文阐述的相关链中，需要实现如下几个技术难题：</w:t>
      </w:r>
    </w:p>
    <w:p w14:paraId="51A9B925" w14:textId="77777777" w:rsidR="00F6713E" w:rsidRDefault="00F6713E" w:rsidP="00F6713E">
      <w:pPr>
        <w:widowControl/>
        <w:jc w:val="left"/>
      </w:pPr>
      <w:r>
        <w:rPr>
          <w:rFonts w:hint="eastAsia"/>
        </w:rPr>
        <w:t>（1）用户身份安全认证：证书认证涉及个人信息流动。</w:t>
      </w:r>
      <w:r>
        <w:t xml:space="preserve"> </w:t>
      </w:r>
      <w:r>
        <w:rPr>
          <w:rFonts w:hint="eastAsia"/>
        </w:rPr>
        <w:t xml:space="preserve">教育资源共享平台往往掌握大量 </w:t>
      </w:r>
    </w:p>
    <w:p w14:paraId="7730A032" w14:textId="77777777" w:rsidR="00F6713E" w:rsidRDefault="00F6713E" w:rsidP="00F6713E">
      <w:pPr>
        <w:widowControl/>
        <w:jc w:val="left"/>
      </w:pPr>
      <w:r>
        <w:rPr>
          <w:rFonts w:hint="eastAsia"/>
        </w:rPr>
        <w:t>用户数据</w:t>
      </w:r>
      <w:r>
        <w:t xml:space="preserve">, </w:t>
      </w:r>
      <w:r>
        <w:rPr>
          <w:rFonts w:hint="eastAsia"/>
        </w:rPr>
        <w:t>为了保证用户的隐私安全</w:t>
      </w:r>
      <w:r>
        <w:t xml:space="preserve">, </w:t>
      </w:r>
      <w:r>
        <w:rPr>
          <w:rFonts w:hint="eastAsia"/>
        </w:rPr>
        <w:t>采用匿名的用户身份</w:t>
      </w:r>
      <w:r>
        <w:t xml:space="preserve">, </w:t>
      </w:r>
      <w:r>
        <w:rPr>
          <w:rFonts w:hint="eastAsia"/>
        </w:rPr>
        <w:t>并且让用户私</w:t>
      </w:r>
      <w:proofErr w:type="gramStart"/>
      <w:r>
        <w:rPr>
          <w:rFonts w:hint="eastAsia"/>
        </w:rPr>
        <w:t>钥</w:t>
      </w:r>
      <w:proofErr w:type="gramEnd"/>
      <w:r>
        <w:rPr>
          <w:rFonts w:hint="eastAsia"/>
        </w:rPr>
        <w:t>掌握在自己手中</w:t>
      </w:r>
      <w:r>
        <w:t xml:space="preserve">. </w:t>
      </w:r>
    </w:p>
    <w:p w14:paraId="1F7EA39D" w14:textId="77777777" w:rsidR="00F6713E" w:rsidRDefault="00F6713E" w:rsidP="00F6713E">
      <w:pPr>
        <w:widowControl/>
        <w:jc w:val="left"/>
      </w:pPr>
      <w:r>
        <w:rPr>
          <w:rFonts w:hint="eastAsia"/>
        </w:rPr>
        <w:lastRenderedPageBreak/>
        <w:t>（2）双认证环节：在证书认证过程中，不仅仅限于 机构对用户进行认证</w:t>
      </w:r>
      <w:r>
        <w:t xml:space="preserve">, </w:t>
      </w:r>
      <w:r>
        <w:rPr>
          <w:rFonts w:hint="eastAsia"/>
        </w:rPr>
        <w:t>用户同样也对机构进行认证</w:t>
      </w:r>
      <w:r>
        <w:t>.</w:t>
      </w:r>
      <w:r>
        <w:rPr>
          <w:rFonts w:hint="eastAsia"/>
        </w:rPr>
        <w:t>双向认证可以提高用户的信任</w:t>
      </w:r>
      <w:r>
        <w:t xml:space="preserve">, </w:t>
      </w:r>
      <w:r>
        <w:rPr>
          <w:rFonts w:hint="eastAsia"/>
        </w:rPr>
        <w:t>增加用户的使用率</w:t>
      </w:r>
      <w:r>
        <w:t xml:space="preserve">. </w:t>
      </w:r>
      <w:r>
        <w:rPr>
          <w:rFonts w:hint="eastAsia"/>
        </w:rPr>
        <w:t>并且可以及时发现用户或者机构的恶意行为</w:t>
      </w:r>
      <w:r>
        <w:t>.</w:t>
      </w:r>
    </w:p>
    <w:p w14:paraId="585784D7" w14:textId="77777777" w:rsidR="00F6713E" w:rsidRDefault="00F6713E" w:rsidP="00F6713E">
      <w:pPr>
        <w:widowControl/>
        <w:jc w:val="left"/>
      </w:pPr>
      <w:r>
        <w:rPr>
          <w:rFonts w:hint="eastAsia"/>
        </w:rPr>
        <w:t>（3）恶意用户追溯</w:t>
      </w:r>
      <w:r>
        <w:t xml:space="preserve">: </w:t>
      </w:r>
      <w:r>
        <w:rPr>
          <w:rFonts w:hint="eastAsia"/>
        </w:rPr>
        <w:t>针对教育资源共享时</w:t>
      </w:r>
      <w:r>
        <w:t xml:space="preserve">, </w:t>
      </w:r>
      <w:r>
        <w:rPr>
          <w:rFonts w:hint="eastAsia"/>
        </w:rPr>
        <w:t>用户量大</w:t>
      </w:r>
      <w:r>
        <w:t>.</w:t>
      </w:r>
      <w:r>
        <w:rPr>
          <w:rFonts w:hint="eastAsia"/>
        </w:rPr>
        <w:t>确保当系统中出现恶意用户时</w:t>
      </w:r>
      <w:r>
        <w:t xml:space="preserve">, </w:t>
      </w:r>
      <w:r>
        <w:rPr>
          <w:rFonts w:hint="eastAsia"/>
        </w:rPr>
        <w:t>可以及时将恶意用户记录</w:t>
      </w:r>
      <w:proofErr w:type="gramStart"/>
      <w:r>
        <w:rPr>
          <w:rFonts w:hint="eastAsia"/>
        </w:rPr>
        <w:t>在本域和</w:t>
      </w:r>
      <w:proofErr w:type="gramEnd"/>
      <w:r>
        <w:rPr>
          <w:rFonts w:hint="eastAsia"/>
        </w:rPr>
        <w:t>跨域区块链上</w:t>
      </w:r>
      <w:r>
        <w:t xml:space="preserve">, </w:t>
      </w:r>
      <w:r>
        <w:rPr>
          <w:rFonts w:hint="eastAsia"/>
        </w:rPr>
        <w:t>并且不再为该用户服务</w:t>
      </w:r>
      <w:r>
        <w:t xml:space="preserve">. </w:t>
      </w:r>
      <w:r>
        <w:rPr>
          <w:rFonts w:hint="eastAsia"/>
        </w:rPr>
        <w:t>这样可以防止恶意用户在其他机构节点进行再次注册.</w:t>
      </w:r>
    </w:p>
    <w:p w14:paraId="30901EE6" w14:textId="77777777" w:rsidR="00F6713E" w:rsidRDefault="00F6713E" w:rsidP="00F6713E">
      <w:pPr>
        <w:widowControl/>
        <w:jc w:val="left"/>
      </w:pPr>
      <w:r>
        <w:rPr>
          <w:rFonts w:hint="eastAsia"/>
        </w:rPr>
        <w:t>（4）可信度量机制</w:t>
      </w:r>
    </w:p>
    <w:p w14:paraId="23FE1B86" w14:textId="77777777" w:rsidR="00F6713E" w:rsidRDefault="00F6713E" w:rsidP="00F6713E">
      <w:pPr>
        <w:widowControl/>
        <w:jc w:val="left"/>
      </w:pPr>
      <w:r>
        <w:rPr>
          <w:rFonts w:hint="eastAsia"/>
        </w:rPr>
        <w:t>采取可信的度量机制对链中的静态以及动态行为进行可信度度量，及时将可信度反馈给网络其他节点，保证授权节点集</w:t>
      </w:r>
      <w:r>
        <w:t>的实时可信。</w:t>
      </w:r>
    </w:p>
    <w:p w14:paraId="66729F78" w14:textId="77777777" w:rsidR="00F6713E" w:rsidRDefault="00F6713E" w:rsidP="00F6713E">
      <w:pPr>
        <w:widowControl/>
        <w:jc w:val="left"/>
      </w:pPr>
    </w:p>
    <w:p w14:paraId="04B5131A" w14:textId="77777777" w:rsidR="00F6713E" w:rsidRPr="00F6713E" w:rsidRDefault="00F6713E" w:rsidP="00CC2093">
      <w:pPr>
        <w:rPr>
          <w:b/>
          <w:bCs/>
        </w:rPr>
      </w:pPr>
    </w:p>
    <w:p w14:paraId="7FF6804C" w14:textId="6E9FD4D6" w:rsidR="00CC2093" w:rsidRDefault="00CC2093" w:rsidP="00F6713E">
      <w:pPr>
        <w:pStyle w:val="1"/>
      </w:pPr>
      <w:r>
        <w:rPr>
          <w:rFonts w:hint="eastAsia"/>
        </w:rPr>
        <w:t>系统架构与可行性分析</w:t>
      </w:r>
    </w:p>
    <w:p w14:paraId="2EA4E144" w14:textId="77777777" w:rsidR="00CC2093" w:rsidRDefault="00CC2093" w:rsidP="00CC2093"/>
    <w:p w14:paraId="0662B8B6" w14:textId="48AE0879" w:rsidR="00CC2093" w:rsidRDefault="00CC2093" w:rsidP="00CC2093">
      <w:pPr>
        <w:numPr>
          <w:ilvl w:val="0"/>
          <w:numId w:val="1"/>
        </w:numPr>
      </w:pPr>
      <w:r>
        <w:rPr>
          <w:rFonts w:hint="eastAsia"/>
        </w:rPr>
        <w:t>系统架构</w:t>
      </w:r>
    </w:p>
    <w:p w14:paraId="165FB693" w14:textId="1F863F42" w:rsidR="00CC2093" w:rsidRDefault="00E37708" w:rsidP="00CC2093">
      <w:pPr>
        <w:tabs>
          <w:tab w:val="left" w:pos="312"/>
        </w:tabs>
      </w:pPr>
      <w:r w:rsidRPr="00E37708">
        <w:rPr>
          <w:noProof/>
        </w:rPr>
        <w:lastRenderedPageBreak/>
        <w:drawing>
          <wp:anchor distT="0" distB="0" distL="114300" distR="114300" simplePos="0" relativeHeight="251658240" behindDoc="0" locked="0" layoutInCell="1" allowOverlap="1" wp14:anchorId="11BE9391" wp14:editId="237FB274">
            <wp:simplePos x="0" y="0"/>
            <wp:positionH relativeFrom="column">
              <wp:posOffset>533400</wp:posOffset>
            </wp:positionH>
            <wp:positionV relativeFrom="paragraph">
              <wp:posOffset>464820</wp:posOffset>
            </wp:positionV>
            <wp:extent cx="3856054" cy="5799323"/>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6054" cy="5799323"/>
                    </a:xfrm>
                    <a:prstGeom prst="rect">
                      <a:avLst/>
                    </a:prstGeom>
                  </pic:spPr>
                </pic:pic>
              </a:graphicData>
            </a:graphic>
          </wp:anchor>
        </w:drawing>
      </w:r>
      <w:r w:rsidR="00CC2093">
        <w:tab/>
      </w:r>
      <w:r w:rsidR="00CC2093">
        <w:rPr>
          <w:rFonts w:hint="eastAsia"/>
        </w:rPr>
        <w:t>基于区块链的学历认证的系统架构如图</w:t>
      </w:r>
      <w:r w:rsidR="00452599">
        <w:t>1</w:t>
      </w:r>
      <w:r w:rsidR="00CC2093">
        <w:rPr>
          <w:rFonts w:hint="eastAsia"/>
        </w:rPr>
        <w:t xml:space="preserve"> 所示，该系统可分为３个模块，视图层、功能层及区块链层。</w:t>
      </w:r>
    </w:p>
    <w:p w14:paraId="5062C63B" w14:textId="4A399E99" w:rsidR="005637F9" w:rsidRDefault="005637F9" w:rsidP="00CC2093">
      <w:pPr>
        <w:tabs>
          <w:tab w:val="left" w:pos="312"/>
        </w:tabs>
      </w:pPr>
    </w:p>
    <w:p w14:paraId="6CA6E15C" w14:textId="1F7963F3" w:rsidR="005637F9" w:rsidRDefault="005637F9" w:rsidP="00CC2093">
      <w:pPr>
        <w:tabs>
          <w:tab w:val="left" w:pos="312"/>
        </w:tabs>
      </w:pPr>
    </w:p>
    <w:p w14:paraId="4DEB101E" w14:textId="4DD61B2D" w:rsidR="005637F9" w:rsidRDefault="005637F9" w:rsidP="00CC2093">
      <w:pPr>
        <w:tabs>
          <w:tab w:val="left" w:pos="312"/>
        </w:tabs>
      </w:pPr>
    </w:p>
    <w:p w14:paraId="29DD63BE" w14:textId="2D48340F" w:rsidR="005637F9" w:rsidRDefault="005637F9" w:rsidP="00CC2093">
      <w:pPr>
        <w:tabs>
          <w:tab w:val="left" w:pos="312"/>
        </w:tabs>
      </w:pPr>
    </w:p>
    <w:p w14:paraId="4601FA97" w14:textId="77777777" w:rsidR="005637F9" w:rsidRDefault="005637F9" w:rsidP="00CC2093">
      <w:pPr>
        <w:tabs>
          <w:tab w:val="left" w:pos="312"/>
        </w:tabs>
      </w:pPr>
    </w:p>
    <w:p w14:paraId="5787F8C6" w14:textId="5625BA73" w:rsidR="00CC2093" w:rsidRPr="00CC2093" w:rsidRDefault="00CC2093" w:rsidP="00CC2093">
      <w:pPr>
        <w:tabs>
          <w:tab w:val="left" w:pos="312"/>
        </w:tabs>
      </w:pPr>
    </w:p>
    <w:p w14:paraId="1454CAC7" w14:textId="77777777" w:rsidR="00CC2093" w:rsidRDefault="00CC2093" w:rsidP="00CC2093">
      <w:r>
        <w:rPr>
          <w:rFonts w:hint="eastAsia"/>
        </w:rPr>
        <w:t>1.1视图层</w:t>
      </w:r>
    </w:p>
    <w:p w14:paraId="41292A3B" w14:textId="77777777" w:rsidR="0098402A" w:rsidRDefault="0098402A" w:rsidP="0098402A">
      <w:r>
        <w:rPr>
          <w:rFonts w:hint="eastAsia"/>
        </w:rPr>
        <w:t>视图层主要用于非核心业务逻辑处理以及界面展示，无法储存敏感信息，所有核心数据需要从区块链中提取。因此为了提高效率，在两方面进行了优化，一方面是数据持久化，提高视图层缓存数据的时间，另一方面是在授权节点集筛选时，优先选择性</w:t>
      </w:r>
      <w:proofErr w:type="gramStart"/>
      <w:r>
        <w:rPr>
          <w:rFonts w:hint="eastAsia"/>
        </w:rPr>
        <w:t>能较高</w:t>
      </w:r>
      <w:proofErr w:type="gramEnd"/>
      <w:r>
        <w:rPr>
          <w:rFonts w:hint="eastAsia"/>
        </w:rPr>
        <w:t>的可信节点，以达到快速向视图层提供数据的目的。</w:t>
      </w:r>
    </w:p>
    <w:p w14:paraId="6345FA64" w14:textId="77777777" w:rsidR="0098402A" w:rsidRDefault="0098402A" w:rsidP="0098402A"/>
    <w:p w14:paraId="0EA3A9D2" w14:textId="20565425" w:rsidR="0098402A" w:rsidRDefault="0098402A" w:rsidP="0098402A">
      <w:r>
        <w:t>视图层面</w:t>
      </w:r>
      <w:r w:rsidR="00473510">
        <w:rPr>
          <w:rFonts w:hint="eastAsia"/>
        </w:rPr>
        <w:t>主要</w:t>
      </w:r>
      <w:r>
        <w:rPr>
          <w:rFonts w:hint="eastAsia"/>
        </w:rPr>
        <w:t>分为</w:t>
      </w:r>
      <w:r w:rsidR="00473510">
        <w:rPr>
          <w:rFonts w:hint="eastAsia"/>
        </w:rPr>
        <w:t>3</w:t>
      </w:r>
      <w:r>
        <w:rPr>
          <w:rFonts w:hint="eastAsia"/>
        </w:rPr>
        <w:t>种操作界面，</w:t>
      </w:r>
      <w:r w:rsidR="00473510">
        <w:rPr>
          <w:rFonts w:hint="eastAsia"/>
        </w:rPr>
        <w:t>个体用户、企业用户</w:t>
      </w:r>
      <w:r>
        <w:rPr>
          <w:rFonts w:hint="eastAsia"/>
        </w:rPr>
        <w:t>与管理员（教育机构、学校等）</w:t>
      </w:r>
      <w:r>
        <w:t>，</w:t>
      </w:r>
      <w:r>
        <w:rPr>
          <w:rFonts w:hint="eastAsia"/>
        </w:rPr>
        <w:t>满</w:t>
      </w:r>
      <w:r>
        <w:rPr>
          <w:rFonts w:hint="eastAsia"/>
        </w:rPr>
        <w:lastRenderedPageBreak/>
        <w:t>足移动端与网页端的操作需求，将</w:t>
      </w:r>
      <w:r>
        <w:t>采用 HTML5 标准开发</w:t>
      </w:r>
      <w:r>
        <w:rPr>
          <w:rFonts w:hint="eastAsia"/>
        </w:rPr>
        <w:t>前端网页</w:t>
      </w:r>
      <w:proofErr w:type="gramStart"/>
      <w:r>
        <w:rPr>
          <w:rFonts w:hint="eastAsia"/>
        </w:rPr>
        <w:t>和微信小</w:t>
      </w:r>
      <w:proofErr w:type="gramEnd"/>
      <w:r>
        <w:rPr>
          <w:rFonts w:hint="eastAsia"/>
        </w:rPr>
        <w:t>程序开发移动端页面。</w:t>
      </w:r>
    </w:p>
    <w:p w14:paraId="08AC3558" w14:textId="43828853" w:rsidR="00CC2093" w:rsidRPr="0098402A" w:rsidRDefault="00CC2093" w:rsidP="00CC2093"/>
    <w:p w14:paraId="108AB12C" w14:textId="77777777" w:rsidR="00CC2093" w:rsidRDefault="00CC2093" w:rsidP="00CC2093">
      <w:r>
        <w:rPr>
          <w:rFonts w:hint="eastAsia"/>
        </w:rPr>
        <w:t>1.2 功能层</w:t>
      </w:r>
    </w:p>
    <w:p w14:paraId="59759DAF" w14:textId="640EEAB2" w:rsidR="005637F9" w:rsidRDefault="0098402A" w:rsidP="005637F9">
      <w:r>
        <w:rPr>
          <w:rFonts w:hint="eastAsia"/>
        </w:rPr>
        <w:t>功能层主要进行</w:t>
      </w:r>
      <w:r w:rsidR="005637F9">
        <w:rPr>
          <w:rFonts w:hint="eastAsia"/>
        </w:rPr>
        <w:t>数据</w:t>
      </w:r>
      <w:r>
        <w:rPr>
          <w:rFonts w:hint="eastAsia"/>
        </w:rPr>
        <w:t>的查询，上</w:t>
      </w:r>
      <w:proofErr w:type="gramStart"/>
      <w:r>
        <w:rPr>
          <w:rFonts w:hint="eastAsia"/>
        </w:rPr>
        <w:t>传以及</w:t>
      </w:r>
      <w:proofErr w:type="gramEnd"/>
      <w:r>
        <w:rPr>
          <w:rFonts w:hint="eastAsia"/>
        </w:rPr>
        <w:t>修改。</w:t>
      </w:r>
    </w:p>
    <w:p w14:paraId="7EECC3EA" w14:textId="77777777" w:rsidR="00473510" w:rsidRDefault="00473510" w:rsidP="005637F9"/>
    <w:p w14:paraId="246115DB" w14:textId="0CBD47DA" w:rsidR="005637F9" w:rsidRDefault="005637F9" w:rsidP="005637F9">
      <w:r>
        <w:rPr>
          <w:rFonts w:hint="eastAsia"/>
        </w:rPr>
        <w:t>写入功能将完成对</w:t>
      </w:r>
      <w:r w:rsidR="00473510">
        <w:rPr>
          <w:rFonts w:hint="eastAsia"/>
        </w:rPr>
        <w:t>个体</w:t>
      </w:r>
      <w:r>
        <w:rPr>
          <w:rFonts w:hint="eastAsia"/>
        </w:rPr>
        <w:t>用户提供的学业信息，如：个人信息、在校成绩，以及证明材料，如：获奖证书扫描件，录入系统的操作。流程如下：1）系统在收到请求录入信息的指令后弹出履历输入窗口。2）用户填写学业信息并以文件形式上</w:t>
      </w:r>
      <w:proofErr w:type="gramStart"/>
      <w:r>
        <w:rPr>
          <w:rFonts w:hint="eastAsia"/>
        </w:rPr>
        <w:t>传证明</w:t>
      </w:r>
      <w:proofErr w:type="gramEnd"/>
      <w:r>
        <w:rPr>
          <w:rFonts w:hint="eastAsia"/>
        </w:rPr>
        <w:t>材料。3）系统</w:t>
      </w:r>
      <w:r w:rsidR="00473510">
        <w:rPr>
          <w:rFonts w:hint="eastAsia"/>
        </w:rPr>
        <w:t>将</w:t>
      </w:r>
      <w:r>
        <w:rPr>
          <w:rFonts w:hint="eastAsia"/>
        </w:rPr>
        <w:t>收到的</w:t>
      </w:r>
      <w:r w:rsidR="00473510">
        <w:rPr>
          <w:rFonts w:hint="eastAsia"/>
        </w:rPr>
        <w:t>传输至区块链层进行校验，校验成功后上链</w:t>
      </w:r>
      <w:r>
        <w:rPr>
          <w:rFonts w:hint="eastAsia"/>
        </w:rPr>
        <w:t>。</w:t>
      </w:r>
      <w:r w:rsidR="00473510">
        <w:rPr>
          <w:rFonts w:hint="eastAsia"/>
        </w:rPr>
        <w:t>企业用户与管理员无法使用写入功能。</w:t>
      </w:r>
    </w:p>
    <w:p w14:paraId="1EB36AA4" w14:textId="77777777" w:rsidR="00473510" w:rsidRDefault="00473510" w:rsidP="005637F9"/>
    <w:p w14:paraId="3B90419C" w14:textId="684425BD" w:rsidR="005637F9" w:rsidRDefault="00173F2A" w:rsidP="005637F9">
      <w:r>
        <w:rPr>
          <w:rFonts w:hint="eastAsia"/>
        </w:rPr>
        <w:t>修</w:t>
      </w:r>
      <w:r w:rsidR="005637F9">
        <w:rPr>
          <w:rFonts w:hint="eastAsia"/>
        </w:rPr>
        <w:t>改功能满足个人用户对错误履历信息的修改</w:t>
      </w:r>
      <w:r w:rsidR="00473510">
        <w:rPr>
          <w:rFonts w:hint="eastAsia"/>
        </w:rPr>
        <w:t>和管理员进行学位剥夺的</w:t>
      </w:r>
      <w:r w:rsidR="005637F9">
        <w:rPr>
          <w:rFonts w:hint="eastAsia"/>
        </w:rPr>
        <w:t>需求。用户在发出修改申请后，需重新填写履历信息并提交系统。系统将对收到的信息再次进行真实性验证，无误则把信息链上存证，否则将再次提示用户检验信息正确性。</w:t>
      </w:r>
      <w:r w:rsidR="00452599">
        <w:rPr>
          <w:rFonts w:hint="eastAsia"/>
        </w:rPr>
        <w:t>管理员无法直接</w:t>
      </w:r>
      <w:r>
        <w:rPr>
          <w:rFonts w:hint="eastAsia"/>
        </w:rPr>
        <w:t>修改</w:t>
      </w:r>
      <w:r w:rsidR="00452599">
        <w:rPr>
          <w:rFonts w:hint="eastAsia"/>
        </w:rPr>
        <w:t>用户的学历信息，在实施“</w:t>
      </w:r>
      <w:r>
        <w:rPr>
          <w:rFonts w:hint="eastAsia"/>
        </w:rPr>
        <w:t>修改</w:t>
      </w:r>
      <w:r w:rsidR="00452599">
        <w:rPr>
          <w:rFonts w:hint="eastAsia"/>
        </w:rPr>
        <w:t>”功能的过程中，实质为向用户相对应学历信息后追加失效声明。</w:t>
      </w:r>
    </w:p>
    <w:p w14:paraId="2831C95A" w14:textId="77777777" w:rsidR="005637F9" w:rsidRDefault="005637F9" w:rsidP="005637F9"/>
    <w:p w14:paraId="190646B5" w14:textId="7CE3EEB3" w:rsidR="005637F9" w:rsidRDefault="005637F9" w:rsidP="005637F9">
      <w:r>
        <w:rPr>
          <w:rFonts w:hint="eastAsia"/>
        </w:rPr>
        <w:t>数据</w:t>
      </w:r>
      <w:r w:rsidR="00473510">
        <w:rPr>
          <w:rFonts w:hint="eastAsia"/>
        </w:rPr>
        <w:t>查询</w:t>
      </w:r>
      <w:r>
        <w:rPr>
          <w:rFonts w:hint="eastAsia"/>
        </w:rPr>
        <w:t>功能面向普通用户与管理员，系统从区块链上读取请求的数据并提供给用户。用户分为个人用户与企业用户，区别在于个人用户仅可查看本人的履历信息，而企业用户可查看所有应聘者的学业认证信息。用户向系统发出查看请求后，系统将首先判断用户类型。是个人用户将根据用户身份认证信息查找对应的学业认证信息，然后向用户展示；若是企业用户，则依据其提供的条件信息</w:t>
      </w:r>
      <w:r w:rsidR="00473510">
        <w:rPr>
          <w:rFonts w:hint="eastAsia"/>
        </w:rPr>
        <w:t>向个人用户提交申请，获得授权后返回对应信息</w:t>
      </w:r>
      <w:r>
        <w:rPr>
          <w:rFonts w:hint="eastAsia"/>
        </w:rPr>
        <w:t>。</w:t>
      </w:r>
    </w:p>
    <w:p w14:paraId="20D34C65" w14:textId="77777777" w:rsidR="005637F9" w:rsidRDefault="005637F9" w:rsidP="005637F9"/>
    <w:p w14:paraId="652692D5" w14:textId="77777777" w:rsidR="005637F9" w:rsidRDefault="005637F9" w:rsidP="005637F9">
      <w:r>
        <w:rPr>
          <w:rFonts w:hint="eastAsia"/>
        </w:rPr>
        <w:t>数据储存是本系统</w:t>
      </w:r>
      <w:proofErr w:type="gramStart"/>
      <w:r>
        <w:rPr>
          <w:rFonts w:hint="eastAsia"/>
        </w:rPr>
        <w:t>最</w:t>
      </w:r>
      <w:proofErr w:type="gramEnd"/>
      <w:r>
        <w:rPr>
          <w:rFonts w:hint="eastAsia"/>
        </w:rPr>
        <w:t>核心的功能。数据储存模块向系统中其他模块提供数据存取服务。由于需储存的数据量大且更改操作较少，现阶段可用纠</w:t>
      </w:r>
      <w:proofErr w:type="gramStart"/>
      <w:r>
        <w:rPr>
          <w:rFonts w:hint="eastAsia"/>
        </w:rPr>
        <w:t>删</w:t>
      </w:r>
      <w:proofErr w:type="gramEnd"/>
      <w:r>
        <w:rPr>
          <w:rFonts w:hint="eastAsia"/>
        </w:rPr>
        <w:t>码冗余算法进行数据处理与储存。</w:t>
      </w:r>
    </w:p>
    <w:p w14:paraId="13DBF4E9" w14:textId="77777777" w:rsidR="005637F9" w:rsidRDefault="005637F9" w:rsidP="005637F9">
      <w:r>
        <w:rPr>
          <w:rFonts w:hint="eastAsia"/>
        </w:rPr>
        <w:t>该模块一般采用纠</w:t>
      </w:r>
      <w:proofErr w:type="gramStart"/>
      <w:r>
        <w:rPr>
          <w:rFonts w:hint="eastAsia"/>
        </w:rPr>
        <w:t>删</w:t>
      </w:r>
      <w:proofErr w:type="gramEnd"/>
      <w:r>
        <w:rPr>
          <w:rFonts w:hint="eastAsia"/>
        </w:rPr>
        <w:t>码中的RS码作为主要的编解码手段。其核心思路是先将接受到的数据分片，得到k</w:t>
      </w:r>
      <w:proofErr w:type="gramStart"/>
      <w:r>
        <w:rPr>
          <w:rFonts w:hint="eastAsia"/>
        </w:rPr>
        <w:t>个</w:t>
      </w:r>
      <w:proofErr w:type="gramEnd"/>
      <w:r>
        <w:rPr>
          <w:rFonts w:hint="eastAsia"/>
        </w:rPr>
        <w:t xml:space="preserve">分片数据。然后通过RS编码增加m </w:t>
      </w:r>
      <w:proofErr w:type="gramStart"/>
      <w:r>
        <w:rPr>
          <w:rFonts w:hint="eastAsia"/>
        </w:rPr>
        <w:t>个</w:t>
      </w:r>
      <w:proofErr w:type="gramEnd"/>
      <w:r>
        <w:rPr>
          <w:rFonts w:hint="eastAsia"/>
        </w:rPr>
        <w:t>校验数据后形成n</w:t>
      </w:r>
      <w:proofErr w:type="gramStart"/>
      <w:r>
        <w:rPr>
          <w:rFonts w:hint="eastAsia"/>
        </w:rPr>
        <w:t>个</w:t>
      </w:r>
      <w:proofErr w:type="gramEnd"/>
      <w:r>
        <w:rPr>
          <w:rFonts w:hint="eastAsia"/>
        </w:rPr>
        <w:t>编码数据，并将编码后的数据储存于链上。在进行还原时系统从大于等于k</w:t>
      </w:r>
      <w:proofErr w:type="gramStart"/>
      <w:r>
        <w:rPr>
          <w:rFonts w:hint="eastAsia"/>
        </w:rPr>
        <w:t>个</w:t>
      </w:r>
      <w:proofErr w:type="gramEnd"/>
      <w:r>
        <w:rPr>
          <w:rFonts w:hint="eastAsia"/>
        </w:rPr>
        <w:t>联盟链中读取编码数据,及可通过生成对应数据矩阵的逆矩阵与编码数据列向量进行乘积,获得原始数据。</w:t>
      </w:r>
    </w:p>
    <w:p w14:paraId="0A0C3DC3" w14:textId="5D9B2BAB" w:rsidR="0098402A" w:rsidRPr="005637F9" w:rsidRDefault="00384EB9" w:rsidP="0098402A">
      <w:r>
        <w:rPr>
          <w:rFonts w:hint="eastAsia"/>
        </w:rPr>
        <w:t>1</w:t>
      </w:r>
    </w:p>
    <w:p w14:paraId="33BB911E" w14:textId="77777777" w:rsidR="00CC2093" w:rsidRPr="0098402A" w:rsidRDefault="00CC2093" w:rsidP="00CC2093"/>
    <w:p w14:paraId="3DBB0537" w14:textId="24E72314" w:rsidR="00CC2093" w:rsidRDefault="00CC2093" w:rsidP="00CC2093">
      <w:r>
        <w:rPr>
          <w:rFonts w:hint="eastAsia"/>
        </w:rPr>
        <w:t>1.3 区块链层</w:t>
      </w:r>
    </w:p>
    <w:p w14:paraId="52397594" w14:textId="5E21247C" w:rsidR="00384EB9" w:rsidRDefault="00384EB9" w:rsidP="00CC2093">
      <w:r>
        <w:rPr>
          <w:rFonts w:hint="eastAsia"/>
        </w:rPr>
        <w:t>1</w:t>
      </w:r>
      <w:r>
        <w:t>.3.1</w:t>
      </w:r>
      <w:r>
        <w:rPr>
          <w:rFonts w:hint="eastAsia"/>
        </w:rPr>
        <w:t>智能合约</w:t>
      </w:r>
    </w:p>
    <w:p w14:paraId="2FB9BFFC" w14:textId="0BA45B25" w:rsidR="00FE3F48" w:rsidRDefault="00FE3F48" w:rsidP="00FE3F48">
      <w:pPr>
        <w:ind w:firstLineChars="200" w:firstLine="420"/>
      </w:pPr>
      <w:r w:rsidRPr="00FE3F48">
        <w:rPr>
          <w:rFonts w:hint="eastAsia"/>
        </w:rPr>
        <w:t>智能合约是一套以数字形式定义的约定，包括合约参与方可以在上面执行这些约定的协议</w:t>
      </w:r>
      <w:r w:rsidRPr="00FE3F48">
        <w:t>.智能合约的基本思想是，各种各样的合约条款可以嵌入到人们使用的硬件和软件中，从而使得攻击者攻击时需要付出很大的代价</w:t>
      </w:r>
      <w:r>
        <w:rPr>
          <w:rFonts w:hint="eastAsia"/>
        </w:rPr>
        <w:t>[</w:t>
      </w:r>
      <w:r>
        <w:t>1]</w:t>
      </w:r>
      <w:r>
        <w:rPr>
          <w:rFonts w:hint="eastAsia"/>
        </w:rPr>
        <w:t>。</w:t>
      </w:r>
    </w:p>
    <w:p w14:paraId="7506E9E5" w14:textId="0FA7F7D6" w:rsidR="00FE3F48" w:rsidRDefault="000702DD" w:rsidP="00FE3F48">
      <w:r>
        <w:tab/>
      </w:r>
      <w:r>
        <w:rPr>
          <w:rFonts w:hint="eastAsia"/>
        </w:rPr>
        <w:t>简而言之，</w:t>
      </w:r>
      <w:r w:rsidRPr="000702DD">
        <w:rPr>
          <w:rFonts w:hint="eastAsia"/>
        </w:rPr>
        <w:t>智能合约是用计算机语言取代了法律语言记录条款、由程序自动执行的合约</w:t>
      </w:r>
      <w:r>
        <w:rPr>
          <w:rFonts w:hint="eastAsia"/>
        </w:rPr>
        <w:t>。</w:t>
      </w:r>
    </w:p>
    <w:p w14:paraId="39DB8A1C" w14:textId="50D9E471" w:rsidR="000702DD" w:rsidRDefault="000702DD" w:rsidP="00FE3F48">
      <w:r>
        <w:rPr>
          <w:rFonts w:hint="eastAsia"/>
        </w:rPr>
        <w:t>这个概念</w:t>
      </w:r>
      <w:r w:rsidRPr="000702DD">
        <w:t>是上世纪90年代由密码学家尼克·萨博提</w:t>
      </w:r>
      <w:r>
        <w:rPr>
          <w:rFonts w:hint="eastAsia"/>
        </w:rPr>
        <w:t>出</w:t>
      </w:r>
      <w:r w:rsidRPr="000702DD">
        <w:t>，由于当时缺乏可信的执行环境，智能合约没有被应用和发展，直到以太坊的出现，才让智能合约得以“复活”。</w:t>
      </w:r>
      <w:r>
        <w:rPr>
          <w:rFonts w:hint="eastAsia"/>
        </w:rPr>
        <w:t>其在区块链中的运作流程如图</w:t>
      </w:r>
      <w:r w:rsidR="00452599">
        <w:t>2</w:t>
      </w:r>
    </w:p>
    <w:p w14:paraId="6305015A" w14:textId="3C579F52" w:rsidR="000702DD" w:rsidRDefault="000702DD" w:rsidP="00FE3F48">
      <w:r w:rsidRPr="00FE3F48">
        <w:rPr>
          <w:b/>
          <w:bCs/>
          <w:noProof/>
        </w:rPr>
        <w:lastRenderedPageBreak/>
        <w:drawing>
          <wp:inline distT="0" distB="0" distL="0" distR="0" wp14:anchorId="0887DF97" wp14:editId="12A34A75">
            <wp:extent cx="5274310" cy="2563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3495"/>
                    </a:xfrm>
                    <a:prstGeom prst="rect">
                      <a:avLst/>
                    </a:prstGeom>
                  </pic:spPr>
                </pic:pic>
              </a:graphicData>
            </a:graphic>
          </wp:inline>
        </w:drawing>
      </w:r>
    </w:p>
    <w:p w14:paraId="0FE9C311" w14:textId="0BAFD45E" w:rsidR="00FE3F48" w:rsidRDefault="00FE3F48" w:rsidP="00CC2093">
      <w:pPr>
        <w:rPr>
          <w:b/>
          <w:bCs/>
        </w:rPr>
      </w:pPr>
    </w:p>
    <w:p w14:paraId="04458A42" w14:textId="77777777" w:rsidR="000702DD" w:rsidRDefault="000702DD" w:rsidP="000702DD">
      <w:r>
        <w:rPr>
          <w:rFonts w:hint="eastAsia"/>
        </w:rPr>
        <w:t>与传统的合约相比，智能合约有三大特点：</w:t>
      </w:r>
    </w:p>
    <w:p w14:paraId="51AC181A" w14:textId="77777777" w:rsidR="000702DD" w:rsidRDefault="000702DD" w:rsidP="000702DD">
      <w:r>
        <w:t>1、合约内容公开透明</w:t>
      </w:r>
    </w:p>
    <w:p w14:paraId="62CE329D" w14:textId="29877E89" w:rsidR="000702DD" w:rsidRDefault="000702DD" w:rsidP="000702DD">
      <w:r>
        <w:rPr>
          <w:rFonts w:hint="eastAsia"/>
        </w:rPr>
        <w:t>智能合约部署在区块链上，其合约内容可被所有节点查询。</w:t>
      </w:r>
    </w:p>
    <w:p w14:paraId="0AE742B0" w14:textId="77777777" w:rsidR="000702DD" w:rsidRDefault="000702DD" w:rsidP="000702DD">
      <w:r>
        <w:t>2、合约内容不可篡改</w:t>
      </w:r>
    </w:p>
    <w:p w14:paraId="46D24DBC" w14:textId="328F9B32" w:rsidR="000702DD" w:rsidRDefault="000702DD" w:rsidP="000702DD">
      <w:r>
        <w:rPr>
          <w:rFonts w:hint="eastAsia"/>
        </w:rPr>
        <w:t>同区块中的交易信息一样，若攻击者希望对合约进行修改，则需要不断</w:t>
      </w:r>
      <w:r w:rsidR="00F602F0">
        <w:rPr>
          <w:rFonts w:hint="eastAsia"/>
        </w:rPr>
        <w:t>计算父区块的哈希值直至创世区块，整个过程至少达到需要整个区块链</w:t>
      </w:r>
      <w:proofErr w:type="gramStart"/>
      <w:r w:rsidR="00F602F0">
        <w:rPr>
          <w:rFonts w:hint="eastAsia"/>
        </w:rPr>
        <w:t>系统算力的</w:t>
      </w:r>
      <w:proofErr w:type="gramEnd"/>
      <w:r w:rsidR="00F602F0">
        <w:rPr>
          <w:rFonts w:hint="eastAsia"/>
        </w:rPr>
        <w:t>5</w:t>
      </w:r>
      <w:r w:rsidR="00F602F0">
        <w:t>1%</w:t>
      </w:r>
      <w:r w:rsidR="00F602F0">
        <w:rPr>
          <w:rFonts w:hint="eastAsia"/>
        </w:rPr>
        <w:t>，因此</w:t>
      </w:r>
      <w:r w:rsidR="00F602F0">
        <w:t>合约内容</w:t>
      </w:r>
      <w:r w:rsidR="00F602F0">
        <w:rPr>
          <w:rFonts w:hint="eastAsia"/>
        </w:rPr>
        <w:t>几乎</w:t>
      </w:r>
      <w:r w:rsidR="00F602F0">
        <w:t>不可篡改</w:t>
      </w:r>
      <w:r>
        <w:rPr>
          <w:rFonts w:hint="eastAsia"/>
        </w:rPr>
        <w:t>。</w:t>
      </w:r>
    </w:p>
    <w:p w14:paraId="1C24E530" w14:textId="4A41A67A" w:rsidR="000702DD" w:rsidRDefault="000702DD" w:rsidP="000702DD">
      <w:r>
        <w:t>3、永久运行</w:t>
      </w:r>
    </w:p>
    <w:p w14:paraId="2F9483BC" w14:textId="664AA2B5" w:rsidR="000702DD" w:rsidRDefault="000702DD" w:rsidP="000702DD">
      <w:r>
        <w:rPr>
          <w:rFonts w:hint="eastAsia"/>
        </w:rPr>
        <w:t>运行在区块链上的智能合约，同样被区块链上网络节点共同维护，只要区块链在，智能合约就能</w:t>
      </w:r>
      <w:r w:rsidR="00F602F0">
        <w:rPr>
          <w:rFonts w:hint="eastAsia"/>
        </w:rPr>
        <w:t>不断得到维护而</w:t>
      </w:r>
      <w:r>
        <w:rPr>
          <w:rFonts w:hint="eastAsia"/>
        </w:rPr>
        <w:t>运行下去。</w:t>
      </w:r>
    </w:p>
    <w:p w14:paraId="6F8E8E13" w14:textId="4994A354" w:rsidR="000702DD" w:rsidRDefault="00F602F0" w:rsidP="000702DD">
      <w:r>
        <w:rPr>
          <w:rFonts w:hint="eastAsia"/>
        </w:rPr>
        <w:t>因而</w:t>
      </w:r>
      <w:r w:rsidR="000702DD">
        <w:rPr>
          <w:rFonts w:hint="eastAsia"/>
        </w:rPr>
        <w:t>与传统的合约相比</w:t>
      </w:r>
      <w:r>
        <w:rPr>
          <w:rFonts w:hint="eastAsia"/>
        </w:rPr>
        <w:t>，智能合约</w:t>
      </w:r>
      <w:r w:rsidR="000702DD">
        <w:rPr>
          <w:rFonts w:hint="eastAsia"/>
        </w:rPr>
        <w:t>主要有如下优势：</w:t>
      </w:r>
    </w:p>
    <w:p w14:paraId="4CD8FDFE" w14:textId="77777777" w:rsidR="000702DD" w:rsidRDefault="000702DD" w:rsidP="000702DD">
      <w:r>
        <w:t>1、去信任。</w:t>
      </w:r>
    </w:p>
    <w:p w14:paraId="26ECC26E" w14:textId="03F0F393" w:rsidR="000702DD" w:rsidRDefault="000702DD" w:rsidP="000702DD">
      <w:r>
        <w:rPr>
          <w:rFonts w:hint="eastAsia"/>
        </w:rPr>
        <w:t>由于智能合约内容公开透明且不可篡改。</w:t>
      </w:r>
      <w:r w:rsidR="00F602F0">
        <w:rPr>
          <w:rFonts w:hint="eastAsia"/>
        </w:rPr>
        <w:t>极大增强了</w:t>
      </w:r>
      <w:r>
        <w:t>交易</w:t>
      </w:r>
      <w:r w:rsidR="00F602F0">
        <w:rPr>
          <w:rFonts w:hint="eastAsia"/>
        </w:rPr>
        <w:t>双方的</w:t>
      </w:r>
      <w:r>
        <w:t>信任</w:t>
      </w:r>
      <w:r w:rsidR="00F602F0">
        <w:rPr>
          <w:rFonts w:hint="eastAsia"/>
        </w:rPr>
        <w:t>感</w:t>
      </w:r>
      <w:r>
        <w:t>，</w:t>
      </w:r>
      <w:r w:rsidR="00F602F0">
        <w:rPr>
          <w:rFonts w:hint="eastAsia"/>
        </w:rPr>
        <w:t>因而促进</w:t>
      </w:r>
      <w:r>
        <w:t>交易</w:t>
      </w:r>
      <w:r w:rsidR="00F602F0">
        <w:rPr>
          <w:rFonts w:hint="eastAsia"/>
        </w:rPr>
        <w:t>安全进行。</w:t>
      </w:r>
    </w:p>
    <w:p w14:paraId="58E631CB" w14:textId="77777777" w:rsidR="000702DD" w:rsidRDefault="000702DD" w:rsidP="000702DD">
      <w:r>
        <w:t>2、经济、高效</w:t>
      </w:r>
    </w:p>
    <w:p w14:paraId="60A9C887" w14:textId="5979FA2C" w:rsidR="000702DD" w:rsidRDefault="000702DD" w:rsidP="000702DD">
      <w:r>
        <w:rPr>
          <w:rFonts w:hint="eastAsia"/>
        </w:rPr>
        <w:t>相比传统合约经常会因为对合约条款理解的分歧，造成纠纷；智能合约通过计算语言</w:t>
      </w:r>
      <w:r w:rsidR="00F602F0">
        <w:rPr>
          <w:rFonts w:hint="eastAsia"/>
        </w:rPr>
        <w:t>能够</w:t>
      </w:r>
      <w:r>
        <w:rPr>
          <w:rFonts w:hint="eastAsia"/>
        </w:rPr>
        <w:t>很好避免了分歧，</w:t>
      </w:r>
      <w:r w:rsidR="00F602F0">
        <w:rPr>
          <w:rFonts w:hint="eastAsia"/>
        </w:rPr>
        <w:t>从而降低</w:t>
      </w:r>
      <w:r>
        <w:rPr>
          <w:rFonts w:hint="eastAsia"/>
        </w:rPr>
        <w:t>达成共识的成本。</w:t>
      </w:r>
    </w:p>
    <w:p w14:paraId="6B18BD73" w14:textId="77777777" w:rsidR="000702DD" w:rsidRDefault="000702DD" w:rsidP="000702DD">
      <w:r>
        <w:t>3、无需第三方仲裁</w:t>
      </w:r>
    </w:p>
    <w:p w14:paraId="4BAB9459" w14:textId="1066F17A" w:rsidR="00F602F0" w:rsidRPr="00FE3F48" w:rsidRDefault="000702DD" w:rsidP="000702DD">
      <w:r>
        <w:t>智能合约根据最终的结果自动执行，</w:t>
      </w:r>
      <w:r w:rsidR="00F602F0">
        <w:rPr>
          <w:rFonts w:hint="eastAsia"/>
        </w:rPr>
        <w:t>因而能够避免进行</w:t>
      </w:r>
      <w:r>
        <w:t>第三方仲裁。</w:t>
      </w:r>
    </w:p>
    <w:p w14:paraId="7ADC47D2" w14:textId="6BA9C38B" w:rsidR="00FE3F48" w:rsidRDefault="00473510" w:rsidP="00CC2093">
      <w:pPr>
        <w:rPr>
          <w:noProof/>
        </w:rPr>
      </w:pPr>
      <w:r>
        <w:rPr>
          <w:rFonts w:hint="eastAsia"/>
          <w:noProof/>
        </w:rPr>
        <w:t>在本系统中，</w:t>
      </w:r>
      <w:r w:rsidR="00384EB9">
        <w:rPr>
          <w:rFonts w:hint="eastAsia"/>
          <w:noProof/>
        </w:rPr>
        <w:t>智能合约运行流程如下</w:t>
      </w:r>
    </w:p>
    <w:p w14:paraId="6ABF9D4F" w14:textId="2D131BBD" w:rsidR="00E37708" w:rsidRDefault="00E37708" w:rsidP="00CC2093">
      <w:pPr>
        <w:rPr>
          <w:noProof/>
        </w:rPr>
      </w:pPr>
      <w:r w:rsidRPr="00E37708">
        <w:rPr>
          <w:noProof/>
        </w:rPr>
        <w:lastRenderedPageBreak/>
        <w:drawing>
          <wp:inline distT="0" distB="0" distL="0" distR="0" wp14:anchorId="511BFD99" wp14:editId="03F4B089">
            <wp:extent cx="5274310" cy="347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4085"/>
                    </a:xfrm>
                    <a:prstGeom prst="rect">
                      <a:avLst/>
                    </a:prstGeom>
                  </pic:spPr>
                </pic:pic>
              </a:graphicData>
            </a:graphic>
          </wp:inline>
        </w:drawing>
      </w:r>
    </w:p>
    <w:p w14:paraId="3FAB9338" w14:textId="343B9CA4" w:rsidR="00384EB9" w:rsidRDefault="00384EB9" w:rsidP="00CC2093">
      <w:pPr>
        <w:rPr>
          <w:noProof/>
        </w:rPr>
      </w:pPr>
    </w:p>
    <w:p w14:paraId="6DF51C7D" w14:textId="4646216A" w:rsidR="00384EB9" w:rsidRDefault="00384EB9" w:rsidP="00CC2093">
      <w:pPr>
        <w:rPr>
          <w:noProof/>
        </w:rPr>
      </w:pPr>
      <w:r>
        <w:rPr>
          <w:rFonts w:hint="eastAsia"/>
          <w:noProof/>
        </w:rPr>
        <w:t>所用接口如表1</w:t>
      </w:r>
    </w:p>
    <w:tbl>
      <w:tblPr>
        <w:tblW w:w="5240" w:type="dxa"/>
        <w:tblLook w:val="04A0" w:firstRow="1" w:lastRow="0" w:firstColumn="1" w:lastColumn="0" w:noHBand="0" w:noVBand="1"/>
      </w:tblPr>
      <w:tblGrid>
        <w:gridCol w:w="1340"/>
        <w:gridCol w:w="1207"/>
        <w:gridCol w:w="2693"/>
      </w:tblGrid>
      <w:tr w:rsidR="00173F2A" w:rsidRPr="00173F2A" w14:paraId="3EFA25CD" w14:textId="77777777" w:rsidTr="00173F2A">
        <w:trPr>
          <w:trHeight w:val="276"/>
        </w:trPr>
        <w:tc>
          <w:tcPr>
            <w:tcW w:w="13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00EDA"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数据名称</w:t>
            </w:r>
          </w:p>
        </w:tc>
        <w:tc>
          <w:tcPr>
            <w:tcW w:w="1207" w:type="dxa"/>
            <w:tcBorders>
              <w:top w:val="single" w:sz="4" w:space="0" w:color="000000"/>
              <w:left w:val="nil"/>
              <w:bottom w:val="single" w:sz="4" w:space="0" w:color="000000"/>
              <w:right w:val="single" w:sz="4" w:space="0" w:color="000000"/>
            </w:tcBorders>
            <w:shd w:val="clear" w:color="auto" w:fill="auto"/>
            <w:vAlign w:val="center"/>
            <w:hideMark/>
          </w:tcPr>
          <w:p w14:paraId="0DA6AE25"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数据类型</w:t>
            </w:r>
          </w:p>
        </w:tc>
        <w:tc>
          <w:tcPr>
            <w:tcW w:w="2693" w:type="dxa"/>
            <w:tcBorders>
              <w:top w:val="single" w:sz="4" w:space="0" w:color="000000"/>
              <w:left w:val="nil"/>
              <w:bottom w:val="single" w:sz="4" w:space="0" w:color="000000"/>
              <w:right w:val="single" w:sz="4" w:space="0" w:color="000000"/>
            </w:tcBorders>
            <w:shd w:val="clear" w:color="auto" w:fill="auto"/>
            <w:vAlign w:val="center"/>
            <w:hideMark/>
          </w:tcPr>
          <w:p w14:paraId="4E73791D"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数据含义</w:t>
            </w:r>
          </w:p>
        </w:tc>
      </w:tr>
      <w:tr w:rsidR="00173F2A" w:rsidRPr="00173F2A" w14:paraId="41346953"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D890244"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Address</w:t>
            </w:r>
          </w:p>
        </w:tc>
        <w:tc>
          <w:tcPr>
            <w:tcW w:w="1207" w:type="dxa"/>
            <w:tcBorders>
              <w:top w:val="nil"/>
              <w:left w:val="nil"/>
              <w:bottom w:val="single" w:sz="4" w:space="0" w:color="000000"/>
              <w:right w:val="single" w:sz="4" w:space="0" w:color="000000"/>
            </w:tcBorders>
            <w:shd w:val="clear" w:color="auto" w:fill="auto"/>
            <w:vAlign w:val="center"/>
            <w:hideMark/>
          </w:tcPr>
          <w:p w14:paraId="2C28A78C"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String</w:t>
            </w:r>
          </w:p>
        </w:tc>
        <w:tc>
          <w:tcPr>
            <w:tcW w:w="2693" w:type="dxa"/>
            <w:tcBorders>
              <w:top w:val="nil"/>
              <w:left w:val="nil"/>
              <w:bottom w:val="single" w:sz="4" w:space="0" w:color="000000"/>
              <w:right w:val="single" w:sz="4" w:space="0" w:color="000000"/>
            </w:tcBorders>
            <w:shd w:val="clear" w:color="auto" w:fill="auto"/>
            <w:vAlign w:val="center"/>
            <w:hideMark/>
          </w:tcPr>
          <w:p w14:paraId="2EB06C38"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颁发单位</w:t>
            </w:r>
          </w:p>
        </w:tc>
      </w:tr>
      <w:tr w:rsidR="00173F2A" w:rsidRPr="00173F2A" w14:paraId="6B57AE1E"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2B96BD9"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Name</w:t>
            </w:r>
          </w:p>
        </w:tc>
        <w:tc>
          <w:tcPr>
            <w:tcW w:w="1207" w:type="dxa"/>
            <w:tcBorders>
              <w:top w:val="nil"/>
              <w:left w:val="nil"/>
              <w:bottom w:val="single" w:sz="4" w:space="0" w:color="000000"/>
              <w:right w:val="single" w:sz="4" w:space="0" w:color="000000"/>
            </w:tcBorders>
            <w:shd w:val="clear" w:color="auto" w:fill="auto"/>
            <w:vAlign w:val="center"/>
            <w:hideMark/>
          </w:tcPr>
          <w:p w14:paraId="6E6B1D60"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String</w:t>
            </w:r>
          </w:p>
        </w:tc>
        <w:tc>
          <w:tcPr>
            <w:tcW w:w="2693" w:type="dxa"/>
            <w:tcBorders>
              <w:top w:val="nil"/>
              <w:left w:val="nil"/>
              <w:bottom w:val="single" w:sz="4" w:space="0" w:color="000000"/>
              <w:right w:val="single" w:sz="4" w:space="0" w:color="000000"/>
            </w:tcBorders>
            <w:shd w:val="clear" w:color="auto" w:fill="auto"/>
            <w:vAlign w:val="center"/>
            <w:hideMark/>
          </w:tcPr>
          <w:p w14:paraId="1E52D8E6"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姓名</w:t>
            </w:r>
          </w:p>
        </w:tc>
      </w:tr>
      <w:tr w:rsidR="00173F2A" w:rsidRPr="00173F2A" w14:paraId="5C01F69F"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1DBFA871"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Id</w:t>
            </w:r>
          </w:p>
        </w:tc>
        <w:tc>
          <w:tcPr>
            <w:tcW w:w="1207" w:type="dxa"/>
            <w:tcBorders>
              <w:top w:val="nil"/>
              <w:left w:val="nil"/>
              <w:bottom w:val="single" w:sz="4" w:space="0" w:color="000000"/>
              <w:right w:val="single" w:sz="4" w:space="0" w:color="000000"/>
            </w:tcBorders>
            <w:shd w:val="clear" w:color="auto" w:fill="auto"/>
            <w:vAlign w:val="center"/>
            <w:hideMark/>
          </w:tcPr>
          <w:p w14:paraId="5CADAE1F" w14:textId="77777777" w:rsidR="00173F2A" w:rsidRPr="00173F2A" w:rsidRDefault="00173F2A" w:rsidP="00173F2A">
            <w:pPr>
              <w:widowControl/>
              <w:jc w:val="left"/>
              <w:rPr>
                <w:rFonts w:ascii="等线" w:eastAsia="等线" w:hAnsi="等线" w:cs="宋体"/>
                <w:color w:val="000000"/>
                <w:kern w:val="0"/>
                <w:sz w:val="20"/>
                <w:szCs w:val="20"/>
              </w:rPr>
            </w:pPr>
            <w:proofErr w:type="spellStart"/>
            <w:r w:rsidRPr="00173F2A">
              <w:rPr>
                <w:rFonts w:ascii="等线" w:eastAsia="等线" w:hAnsi="等线" w:cs="宋体" w:hint="eastAsia"/>
                <w:color w:val="000000"/>
                <w:kern w:val="0"/>
                <w:sz w:val="20"/>
                <w:szCs w:val="20"/>
              </w:rPr>
              <w:t>Uint</w:t>
            </w:r>
            <w:proofErr w:type="spellEnd"/>
          </w:p>
        </w:tc>
        <w:tc>
          <w:tcPr>
            <w:tcW w:w="2693" w:type="dxa"/>
            <w:tcBorders>
              <w:top w:val="nil"/>
              <w:left w:val="nil"/>
              <w:bottom w:val="single" w:sz="4" w:space="0" w:color="000000"/>
              <w:right w:val="single" w:sz="4" w:space="0" w:color="000000"/>
            </w:tcBorders>
            <w:shd w:val="clear" w:color="auto" w:fill="auto"/>
            <w:vAlign w:val="center"/>
            <w:hideMark/>
          </w:tcPr>
          <w:p w14:paraId="0DFDC883"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唯一id标识</w:t>
            </w:r>
          </w:p>
        </w:tc>
      </w:tr>
      <w:tr w:rsidR="00173F2A" w:rsidRPr="00173F2A" w14:paraId="135D66D9"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525F11F8"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Num</w:t>
            </w:r>
          </w:p>
        </w:tc>
        <w:tc>
          <w:tcPr>
            <w:tcW w:w="1207" w:type="dxa"/>
            <w:tcBorders>
              <w:top w:val="nil"/>
              <w:left w:val="nil"/>
              <w:bottom w:val="single" w:sz="4" w:space="0" w:color="000000"/>
              <w:right w:val="single" w:sz="4" w:space="0" w:color="000000"/>
            </w:tcBorders>
            <w:shd w:val="clear" w:color="auto" w:fill="auto"/>
            <w:vAlign w:val="center"/>
            <w:hideMark/>
          </w:tcPr>
          <w:p w14:paraId="244139A0" w14:textId="77777777" w:rsidR="00173F2A" w:rsidRPr="00173F2A" w:rsidRDefault="00173F2A" w:rsidP="00173F2A">
            <w:pPr>
              <w:widowControl/>
              <w:jc w:val="left"/>
              <w:rPr>
                <w:rFonts w:ascii="等线" w:eastAsia="等线" w:hAnsi="等线" w:cs="宋体"/>
                <w:color w:val="000000"/>
                <w:kern w:val="0"/>
                <w:sz w:val="20"/>
                <w:szCs w:val="20"/>
              </w:rPr>
            </w:pPr>
            <w:proofErr w:type="spellStart"/>
            <w:r w:rsidRPr="00173F2A">
              <w:rPr>
                <w:rFonts w:ascii="等线" w:eastAsia="等线" w:hAnsi="等线" w:cs="宋体" w:hint="eastAsia"/>
                <w:color w:val="000000"/>
                <w:kern w:val="0"/>
                <w:sz w:val="20"/>
                <w:szCs w:val="20"/>
              </w:rPr>
              <w:t>Uint</w:t>
            </w:r>
            <w:proofErr w:type="spellEnd"/>
          </w:p>
        </w:tc>
        <w:tc>
          <w:tcPr>
            <w:tcW w:w="2693" w:type="dxa"/>
            <w:tcBorders>
              <w:top w:val="nil"/>
              <w:left w:val="nil"/>
              <w:bottom w:val="single" w:sz="4" w:space="0" w:color="000000"/>
              <w:right w:val="single" w:sz="4" w:space="0" w:color="000000"/>
            </w:tcBorders>
            <w:shd w:val="clear" w:color="auto" w:fill="auto"/>
            <w:vAlign w:val="center"/>
            <w:hideMark/>
          </w:tcPr>
          <w:p w14:paraId="754C837E"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证书编号</w:t>
            </w:r>
          </w:p>
        </w:tc>
      </w:tr>
      <w:tr w:rsidR="00173F2A" w:rsidRPr="00173F2A" w14:paraId="56D16D51" w14:textId="77777777" w:rsidTr="00173F2A">
        <w:trPr>
          <w:trHeight w:val="276"/>
        </w:trPr>
        <w:tc>
          <w:tcPr>
            <w:tcW w:w="1340" w:type="dxa"/>
            <w:tcBorders>
              <w:top w:val="nil"/>
              <w:left w:val="single" w:sz="4" w:space="0" w:color="000000"/>
              <w:bottom w:val="single" w:sz="4" w:space="0" w:color="000000"/>
              <w:right w:val="single" w:sz="4" w:space="0" w:color="000000"/>
            </w:tcBorders>
            <w:shd w:val="clear" w:color="auto" w:fill="auto"/>
            <w:vAlign w:val="center"/>
            <w:hideMark/>
          </w:tcPr>
          <w:p w14:paraId="013F3FDE"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Time</w:t>
            </w:r>
          </w:p>
        </w:tc>
        <w:tc>
          <w:tcPr>
            <w:tcW w:w="1207" w:type="dxa"/>
            <w:tcBorders>
              <w:top w:val="nil"/>
              <w:left w:val="nil"/>
              <w:bottom w:val="single" w:sz="4" w:space="0" w:color="000000"/>
              <w:right w:val="single" w:sz="4" w:space="0" w:color="000000"/>
            </w:tcBorders>
            <w:shd w:val="clear" w:color="auto" w:fill="auto"/>
            <w:vAlign w:val="center"/>
            <w:hideMark/>
          </w:tcPr>
          <w:p w14:paraId="7281E17E" w14:textId="77777777" w:rsidR="00173F2A" w:rsidRPr="00173F2A" w:rsidRDefault="00173F2A" w:rsidP="00173F2A">
            <w:pPr>
              <w:widowControl/>
              <w:jc w:val="left"/>
              <w:rPr>
                <w:rFonts w:ascii="等线" w:eastAsia="等线" w:hAnsi="等线" w:cs="宋体"/>
                <w:color w:val="000000"/>
                <w:kern w:val="0"/>
                <w:sz w:val="20"/>
                <w:szCs w:val="20"/>
              </w:rPr>
            </w:pPr>
            <w:proofErr w:type="spellStart"/>
            <w:r w:rsidRPr="00173F2A">
              <w:rPr>
                <w:rFonts w:ascii="等线" w:eastAsia="等线" w:hAnsi="等线" w:cs="宋体" w:hint="eastAsia"/>
                <w:color w:val="000000"/>
                <w:kern w:val="0"/>
                <w:sz w:val="20"/>
                <w:szCs w:val="20"/>
              </w:rPr>
              <w:t>Uint</w:t>
            </w:r>
            <w:proofErr w:type="spellEnd"/>
          </w:p>
        </w:tc>
        <w:tc>
          <w:tcPr>
            <w:tcW w:w="2693" w:type="dxa"/>
            <w:tcBorders>
              <w:top w:val="nil"/>
              <w:left w:val="nil"/>
              <w:bottom w:val="single" w:sz="4" w:space="0" w:color="000000"/>
              <w:right w:val="single" w:sz="4" w:space="0" w:color="000000"/>
            </w:tcBorders>
            <w:shd w:val="clear" w:color="auto" w:fill="auto"/>
            <w:vAlign w:val="center"/>
            <w:hideMark/>
          </w:tcPr>
          <w:p w14:paraId="7BB4814D" w14:textId="77777777" w:rsidR="00173F2A" w:rsidRPr="00173F2A" w:rsidRDefault="00173F2A" w:rsidP="00173F2A">
            <w:pPr>
              <w:widowControl/>
              <w:jc w:val="left"/>
              <w:rPr>
                <w:rFonts w:ascii="等线" w:eastAsia="等线" w:hAnsi="等线" w:cs="宋体"/>
                <w:color w:val="000000"/>
                <w:kern w:val="0"/>
                <w:sz w:val="20"/>
                <w:szCs w:val="20"/>
              </w:rPr>
            </w:pPr>
            <w:r w:rsidRPr="00173F2A">
              <w:rPr>
                <w:rFonts w:ascii="等线" w:eastAsia="等线" w:hAnsi="等线" w:cs="宋体" w:hint="eastAsia"/>
                <w:color w:val="000000"/>
                <w:kern w:val="0"/>
                <w:sz w:val="20"/>
                <w:szCs w:val="20"/>
              </w:rPr>
              <w:t>签发时间</w:t>
            </w:r>
          </w:p>
        </w:tc>
      </w:tr>
    </w:tbl>
    <w:p w14:paraId="0B7CC7F6" w14:textId="77777777" w:rsidR="00384EB9" w:rsidRDefault="00384EB9" w:rsidP="00CC2093">
      <w:pPr>
        <w:rPr>
          <w:noProof/>
        </w:rPr>
      </w:pPr>
    </w:p>
    <w:p w14:paraId="416E292E" w14:textId="355CC788" w:rsidR="00384EB9" w:rsidRDefault="00384EB9" w:rsidP="00384EB9">
      <w:r>
        <w:rPr>
          <w:rFonts w:hint="eastAsia"/>
        </w:rPr>
        <w:t>1</w:t>
      </w:r>
      <w:r>
        <w:t>.3.2</w:t>
      </w:r>
      <w:r>
        <w:rPr>
          <w:rFonts w:hint="eastAsia"/>
        </w:rPr>
        <w:t>校验系统</w:t>
      </w:r>
    </w:p>
    <w:p w14:paraId="25577241" w14:textId="6AFBA18A" w:rsidR="00452599" w:rsidRDefault="00E37708" w:rsidP="00CC2093">
      <w:r>
        <w:rPr>
          <w:rFonts w:hint="eastAsia"/>
        </w:rPr>
        <w:t>校验</w:t>
      </w:r>
      <w:r w:rsidR="00DE3E26">
        <w:rPr>
          <w:rFonts w:hint="eastAsia"/>
        </w:rPr>
        <w:t>系统为利用电子签名算法对所储存内容进行加密校验。</w:t>
      </w:r>
    </w:p>
    <w:p w14:paraId="1FAB7BB7" w14:textId="77777777" w:rsidR="00E37708" w:rsidRDefault="00E37708" w:rsidP="00CC2093"/>
    <w:p w14:paraId="259B9D51" w14:textId="77777777" w:rsidR="00CC2093" w:rsidRDefault="00CC2093" w:rsidP="00CC2093"/>
    <w:p w14:paraId="5DEEE572" w14:textId="77777777" w:rsidR="00CC2093" w:rsidRDefault="00CC2093" w:rsidP="00CC2093">
      <w:pPr>
        <w:numPr>
          <w:ilvl w:val="0"/>
          <w:numId w:val="1"/>
        </w:numPr>
        <w:tabs>
          <w:tab w:val="clear" w:pos="312"/>
        </w:tabs>
      </w:pPr>
      <w:r>
        <w:rPr>
          <w:rFonts w:hint="eastAsia"/>
        </w:rPr>
        <w:t>可行性分析</w:t>
      </w:r>
    </w:p>
    <w:p w14:paraId="30E52905" w14:textId="77777777" w:rsidR="00CC2093" w:rsidRDefault="00CC2093" w:rsidP="00CC2093">
      <w:r>
        <w:rPr>
          <w:rFonts w:hint="eastAsia"/>
        </w:rPr>
        <w:t>2</w:t>
      </w:r>
      <w:r>
        <w:t>.</w:t>
      </w:r>
      <w:r>
        <w:rPr>
          <w:rFonts w:hint="eastAsia"/>
        </w:rPr>
        <w:t>1 技术可行性</w:t>
      </w:r>
    </w:p>
    <w:p w14:paraId="62638027" w14:textId="77777777" w:rsidR="00CC2093" w:rsidRDefault="00CC2093" w:rsidP="00CC2093">
      <w:r>
        <w:rPr>
          <w:rFonts w:hint="eastAsia"/>
        </w:rPr>
        <w:t>借助区块链技术，可以保证系统中数据存证的高效性与可靠性以及信息共享时的安全性。结合纠</w:t>
      </w:r>
      <w:proofErr w:type="gramStart"/>
      <w:r>
        <w:rPr>
          <w:rFonts w:hint="eastAsia"/>
        </w:rPr>
        <w:t>删</w:t>
      </w:r>
      <w:proofErr w:type="gramEnd"/>
      <w:r>
        <w:rPr>
          <w:rFonts w:hint="eastAsia"/>
        </w:rPr>
        <w:t>码技术，可实现对原始数据的可靠保存并减少对储存资源的需求。存证时主要利用区块链的去中心性和不可篡改性。在每一个数据节点都保有备份，即使单一节点遭受攻击信息被篡改，依旧可通过其余节点保证原始数据的正确性；此外在更新认证将在多个节点留下不可篡改的记录，保障数据真实性。</w:t>
      </w:r>
    </w:p>
    <w:p w14:paraId="1E38421E" w14:textId="77777777" w:rsidR="00CC2093" w:rsidRDefault="00CC2093" w:rsidP="00CC2093"/>
    <w:p w14:paraId="6915213B" w14:textId="7C357B20" w:rsidR="00CC2093" w:rsidRDefault="00CC2093" w:rsidP="00CC2093">
      <w:r>
        <w:rPr>
          <w:rFonts w:hint="eastAsia"/>
        </w:rPr>
        <w:t>2</w:t>
      </w:r>
      <w:r>
        <w:t>.</w:t>
      </w:r>
      <w:r>
        <w:rPr>
          <w:rFonts w:hint="eastAsia"/>
        </w:rPr>
        <w:t>2 市场可行性</w:t>
      </w:r>
    </w:p>
    <w:p w14:paraId="6AA8D0AA" w14:textId="77777777" w:rsidR="00CC2093" w:rsidRDefault="00CC2093" w:rsidP="00CC2093">
      <w:pPr>
        <w:rPr>
          <w:b/>
          <w:bCs/>
        </w:rPr>
      </w:pPr>
      <w:r>
        <w:rPr>
          <w:b/>
          <w:bCs/>
        </w:rPr>
        <w:t>研发能力/周期</w:t>
      </w:r>
    </w:p>
    <w:p w14:paraId="6959E9BD" w14:textId="77777777" w:rsidR="00CC2093" w:rsidRDefault="00CC2093" w:rsidP="00CC2093">
      <w:r>
        <w:rPr>
          <w:rFonts w:hint="eastAsia"/>
        </w:rPr>
        <w:t>对政府与企业进行调研，</w:t>
      </w:r>
      <w:proofErr w:type="gramStart"/>
      <w:r>
        <w:rPr>
          <w:rFonts w:hint="eastAsia"/>
        </w:rPr>
        <w:t>发现竞品在</w:t>
      </w:r>
      <w:proofErr w:type="gramEnd"/>
      <w:r>
        <w:rPr>
          <w:rFonts w:hint="eastAsia"/>
        </w:rPr>
        <w:t>市场仍存在大范围空缺，产品需求仍然旺盛，产品在研发完成后投入市场竞争将具有市场竞争力。</w:t>
      </w:r>
    </w:p>
    <w:p w14:paraId="3968EBA6" w14:textId="77777777" w:rsidR="00CC2093" w:rsidRDefault="00CC2093" w:rsidP="00CC2093">
      <w:pPr>
        <w:rPr>
          <w:b/>
          <w:bCs/>
        </w:rPr>
      </w:pPr>
    </w:p>
    <w:p w14:paraId="0925200A" w14:textId="77777777" w:rsidR="00CC2093" w:rsidRDefault="00CC2093" w:rsidP="00CC2093">
      <w:pPr>
        <w:rPr>
          <w:b/>
          <w:bCs/>
        </w:rPr>
      </w:pPr>
      <w:r>
        <w:rPr>
          <w:b/>
          <w:bCs/>
        </w:rPr>
        <w:lastRenderedPageBreak/>
        <w:t>资金需求/配置</w:t>
      </w:r>
    </w:p>
    <w:p w14:paraId="704AE636" w14:textId="77777777" w:rsidR="00CC2093" w:rsidRDefault="00CC2093" w:rsidP="00CC2093">
      <w:r>
        <w:rPr>
          <w:rFonts w:hint="eastAsia"/>
        </w:rPr>
        <w:t>初始储备资金将支持产品完成初步研发，第一轮融资将于产品初步成型后进行，并且项目将正确来自教育部和财政部的专项补贴支持。</w:t>
      </w:r>
    </w:p>
    <w:p w14:paraId="046EA9DF" w14:textId="77777777" w:rsidR="00CC2093" w:rsidRDefault="00CC2093" w:rsidP="00CC2093">
      <w:pPr>
        <w:rPr>
          <w:b/>
          <w:bCs/>
        </w:rPr>
      </w:pPr>
      <w:r>
        <w:rPr>
          <w:b/>
          <w:bCs/>
        </w:rPr>
        <w:t>市场需求</w:t>
      </w:r>
    </w:p>
    <w:p w14:paraId="2477740E" w14:textId="77777777" w:rsidR="00CC2093" w:rsidRDefault="00CC2093" w:rsidP="00F6713E">
      <w:r>
        <w:rPr>
          <w:rFonts w:hint="eastAsia"/>
        </w:rPr>
        <w:t>目前由于学生学业认证、核实过程步骤繁琐，学历造假现象依旧存在且缺少简单高效的解决手段。求职者通过造假以获得面试机会甚至被录用，严重损害了企业与普通应聘者的利益。在这一情况下，基于区块链的学业认证系统有着极大的市场潜力。由于区块链系统的可追溯性、透明性、不可篡改性，系统的安全性与权威性得到保障，能够很好地满足市场需求。</w:t>
      </w:r>
    </w:p>
    <w:p w14:paraId="15ABFEBA" w14:textId="77777777" w:rsidR="00CC2093" w:rsidRDefault="00CC2093" w:rsidP="00F6713E"/>
    <w:p w14:paraId="6DE65886" w14:textId="77777777" w:rsidR="00F6713E" w:rsidRDefault="000702DD" w:rsidP="00F6713E">
      <w:pPr>
        <w:rPr>
          <w:rFonts w:ascii="微软雅黑" w:eastAsia="微软雅黑" w:hAnsi="微软雅黑" w:cs="微软雅黑"/>
        </w:rPr>
      </w:pPr>
      <w:r w:rsidRPr="00F6713E">
        <w:t xml:space="preserve">[1]徐宁 &amp; 樊郁徽.(2020).基于区块链技术的商品交易智能合约设计. 怀化学院学报(05),99-104. </w:t>
      </w:r>
      <w:proofErr w:type="gramStart"/>
      <w:r w:rsidRPr="00F6713E">
        <w:t>doi:10.16074/j.cnki.cn</w:t>
      </w:r>
      <w:proofErr w:type="gramEnd"/>
      <w:r w:rsidRPr="00F6713E">
        <w:t>43-1394/z.2020.05.</w:t>
      </w:r>
      <w:r>
        <w:t>020.</w:t>
      </w:r>
      <w:r w:rsidR="00F6713E" w:rsidRPr="00F6713E">
        <w:rPr>
          <w:rFonts w:ascii="微软雅黑" w:eastAsia="微软雅黑" w:hAnsi="微软雅黑" w:cs="微软雅黑" w:hint="eastAsia"/>
        </w:rPr>
        <w:t xml:space="preserve"> </w:t>
      </w:r>
    </w:p>
    <w:p w14:paraId="574120CB" w14:textId="37485B61" w:rsidR="00F6713E" w:rsidRDefault="00F6713E" w:rsidP="00F6713E">
      <w:pPr>
        <w:pStyle w:val="1"/>
        <w:jc w:val="center"/>
        <w:rPr>
          <w:rFonts w:ascii="仿宋" w:eastAsia="仿宋" w:hAnsi="仿宋" w:cs="仿宋"/>
          <w:sz w:val="28"/>
          <w:szCs w:val="36"/>
        </w:rPr>
      </w:pPr>
      <w:r>
        <w:rPr>
          <w:rFonts w:ascii="微软雅黑" w:eastAsia="微软雅黑" w:hAnsi="微软雅黑" w:cs="微软雅黑" w:hint="eastAsia"/>
        </w:rPr>
        <w:t>不足与展望</w:t>
      </w:r>
    </w:p>
    <w:p w14:paraId="7893F611" w14:textId="77777777" w:rsidR="00F6713E" w:rsidRDefault="00F6713E" w:rsidP="00F6713E">
      <w:pPr>
        <w:ind w:firstLineChars="200" w:firstLine="560"/>
        <w:rPr>
          <w:rFonts w:ascii="仿宋" w:eastAsia="仿宋" w:hAnsi="仿宋" w:cs="仿宋"/>
          <w:sz w:val="28"/>
          <w:szCs w:val="36"/>
        </w:rPr>
      </w:pPr>
      <w:r>
        <w:rPr>
          <w:rFonts w:ascii="仿宋" w:eastAsia="仿宋" w:hAnsi="仿宋" w:cs="仿宋" w:hint="eastAsia"/>
          <w:sz w:val="28"/>
          <w:szCs w:val="36"/>
        </w:rPr>
        <w:t>结合上文不难发现，区块链在教育终端的应用范围十分广泛且有效，有望进一步提升信息化时代教育模式和教育形式，提高各方在教育信息等方面的信息公开化、透明化，极大地解决了目前学位造假、论文造假等问题，是区块链在应用领域下的一大分支。</w:t>
      </w:r>
    </w:p>
    <w:p w14:paraId="5F53E0B6" w14:textId="77777777" w:rsidR="00F6713E" w:rsidRDefault="00F6713E" w:rsidP="00F6713E">
      <w:pPr>
        <w:ind w:firstLineChars="200" w:firstLine="560"/>
        <w:rPr>
          <w:rFonts w:ascii="仿宋" w:eastAsia="仿宋" w:hAnsi="仿宋" w:cs="仿宋"/>
          <w:color w:val="222222"/>
          <w:sz w:val="28"/>
          <w:szCs w:val="28"/>
          <w:shd w:val="clear" w:color="auto" w:fill="FFFFFF"/>
        </w:rPr>
      </w:pPr>
      <w:r>
        <w:rPr>
          <w:rFonts w:ascii="仿宋" w:eastAsia="仿宋" w:hAnsi="仿宋" w:cs="仿宋" w:hint="eastAsia"/>
          <w:sz w:val="28"/>
          <w:szCs w:val="36"/>
        </w:rPr>
        <w:t>然而，区块链在教育等方面的解决方案与应用也从来不是十全十美的，其自身仍存在一些不足与弊端亟待解决。首先，</w:t>
      </w:r>
      <w:r>
        <w:rPr>
          <w:rFonts w:ascii="仿宋" w:eastAsia="仿宋" w:hAnsi="仿宋" w:cs="仿宋" w:hint="eastAsia"/>
          <w:color w:val="222222"/>
          <w:sz w:val="28"/>
          <w:szCs w:val="28"/>
          <w:shd w:val="clear" w:color="auto" w:fill="FFFFFF"/>
        </w:rPr>
        <w:t>存储机制耗费资源。这是区块链本身运行机制导致的弊端，区块链系统每一个节点都实时同步完整账本数据，来实现其数据防篡改、抗摧毁。不过这种模式产生了大量冗余数据，并将随着区块链的数据存储量增长、数据操作量的增加，大量消耗存储资源；同时，各个节点也将耗费大量的计算资源和电量用于处理数据同步。据报道，2017年</w:t>
      </w:r>
      <w:proofErr w:type="gramStart"/>
      <w:r>
        <w:rPr>
          <w:rFonts w:ascii="仿宋" w:eastAsia="仿宋" w:hAnsi="仿宋" w:cs="仿宋" w:hint="eastAsia"/>
          <w:color w:val="222222"/>
          <w:sz w:val="28"/>
          <w:szCs w:val="28"/>
          <w:shd w:val="clear" w:color="auto" w:fill="FFFFFF"/>
        </w:rPr>
        <w:t>某数字</w:t>
      </w:r>
      <w:proofErr w:type="gramEnd"/>
      <w:r>
        <w:rPr>
          <w:rFonts w:ascii="仿宋" w:eastAsia="仿宋" w:hAnsi="仿宋" w:cs="仿宋" w:hint="eastAsia"/>
          <w:color w:val="222222"/>
          <w:sz w:val="28"/>
          <w:szCs w:val="28"/>
          <w:shd w:val="clear" w:color="auto" w:fill="FFFFFF"/>
        </w:rPr>
        <w:t>货币单个节点的区块链体积已经超过180GB，新的用户将花费大量的时间来同步这些数据。由此可见，随着时间的推移，每个节点的存储压力将越发增大，新节点的接入难度也相应增加，这很不利于系统的部署与拓</w:t>
      </w:r>
      <w:r>
        <w:rPr>
          <w:rFonts w:ascii="仿宋" w:eastAsia="仿宋" w:hAnsi="仿宋" w:cs="仿宋" w:hint="eastAsia"/>
          <w:color w:val="222222"/>
          <w:sz w:val="28"/>
          <w:szCs w:val="28"/>
          <w:shd w:val="clear" w:color="auto" w:fill="FFFFFF"/>
        </w:rPr>
        <w:lastRenderedPageBreak/>
        <w:t>展。其次，运行机制影响效率。区块链中每一次数据修改，都会牵动系统内所有节点的账本数据同步更新，也就意味着每次操作过程都需耗费大量时间，而且这种运行机制也将给系统所在网络带来极大考验。由于每次操作都是全网的行为，短时间内如果操作次数较多，则会造成网络的堵塞。</w:t>
      </w:r>
      <w:proofErr w:type="gramStart"/>
      <w:r>
        <w:rPr>
          <w:rFonts w:ascii="仿宋" w:eastAsia="仿宋" w:hAnsi="仿宋" w:cs="仿宋" w:hint="eastAsia"/>
          <w:color w:val="222222"/>
          <w:sz w:val="28"/>
          <w:szCs w:val="28"/>
          <w:shd w:val="clear" w:color="auto" w:fill="FFFFFF"/>
        </w:rPr>
        <w:t>据外媒报道</w:t>
      </w:r>
      <w:proofErr w:type="gramEnd"/>
      <w:r>
        <w:rPr>
          <w:rFonts w:ascii="仿宋" w:eastAsia="仿宋" w:hAnsi="仿宋" w:cs="仿宋" w:hint="eastAsia"/>
          <w:color w:val="222222"/>
          <w:sz w:val="28"/>
          <w:szCs w:val="28"/>
          <w:shd w:val="clear" w:color="auto" w:fill="FFFFFF"/>
        </w:rPr>
        <w:t>，</w:t>
      </w:r>
      <w:proofErr w:type="gramStart"/>
      <w:r>
        <w:rPr>
          <w:rFonts w:ascii="仿宋" w:eastAsia="仿宋" w:hAnsi="仿宋" w:cs="仿宋" w:hint="eastAsia"/>
          <w:color w:val="222222"/>
          <w:sz w:val="28"/>
          <w:szCs w:val="28"/>
          <w:shd w:val="clear" w:color="auto" w:fill="FFFFFF"/>
        </w:rPr>
        <w:t>某数字</w:t>
      </w:r>
      <w:proofErr w:type="gramEnd"/>
      <w:r>
        <w:rPr>
          <w:rFonts w:ascii="仿宋" w:eastAsia="仿宋" w:hAnsi="仿宋" w:cs="仿宋" w:hint="eastAsia"/>
          <w:color w:val="222222"/>
          <w:sz w:val="28"/>
          <w:szCs w:val="28"/>
          <w:shd w:val="clear" w:color="auto" w:fill="FFFFFF"/>
        </w:rPr>
        <w:t>货币曾由于交易量增大，每次交易所需时长由10分钟增加到最长24小时以上，区块链网络崩溃的新闻也比比皆是。所以，若将区块链技术用于关键领域，其运行机制仍需进行结构性优化。</w:t>
      </w:r>
    </w:p>
    <w:p w14:paraId="2FE08DBF" w14:textId="77777777" w:rsidR="00F6713E" w:rsidRDefault="00F6713E" w:rsidP="00F6713E">
      <w:pPr>
        <w:ind w:firstLineChars="200" w:firstLine="560"/>
        <w:rPr>
          <w:rFonts w:ascii="仿宋" w:eastAsia="仿宋" w:hAnsi="仿宋" w:cs="仿宋"/>
          <w:color w:val="222222"/>
          <w:sz w:val="28"/>
          <w:szCs w:val="28"/>
          <w:shd w:val="clear" w:color="auto" w:fill="FFFFFF"/>
        </w:rPr>
      </w:pPr>
      <w:r>
        <w:rPr>
          <w:rFonts w:ascii="仿宋" w:eastAsia="仿宋" w:hAnsi="仿宋" w:cs="仿宋" w:hint="eastAsia"/>
          <w:color w:val="222222"/>
          <w:sz w:val="28"/>
          <w:szCs w:val="28"/>
          <w:shd w:val="clear" w:color="auto" w:fill="FFFFFF"/>
        </w:rPr>
        <w:t>此外，抛开技术层面，区块链结合教育的发展本身建设思路也存在一定逻辑问题值得我们去深思。首先，一个不容否认的事实是，信息时代的学习方式、学习过程、学习形态已经发生变化，但学习成果的认证仍然保持传统的方式。学分银行的出现在某种程度上是为了解决了这一问题。但在学分银行建设实践中，仍然试图采用传统的思维方式来解决一个全新的问题，寄希望构建一个强大</w:t>
      </w:r>
      <w:proofErr w:type="gramStart"/>
      <w:r>
        <w:rPr>
          <w:rFonts w:ascii="仿宋" w:eastAsia="仿宋" w:hAnsi="仿宋" w:cs="仿宋" w:hint="eastAsia"/>
          <w:color w:val="222222"/>
          <w:sz w:val="28"/>
          <w:szCs w:val="28"/>
          <w:shd w:val="clear" w:color="auto" w:fill="FFFFFF"/>
        </w:rPr>
        <w:t>且巨大</w:t>
      </w:r>
      <w:proofErr w:type="gramEnd"/>
      <w:r>
        <w:rPr>
          <w:rFonts w:ascii="仿宋" w:eastAsia="仿宋" w:hAnsi="仿宋" w:cs="仿宋" w:hint="eastAsia"/>
          <w:color w:val="222222"/>
          <w:sz w:val="28"/>
          <w:szCs w:val="28"/>
          <w:shd w:val="clear" w:color="auto" w:fill="FFFFFF"/>
        </w:rPr>
        <w:t>的“中心体”来存储和认定所有学习者的所有正式、非正规、非正式学习成果。这个“中心体”希望拥有所辖范围内所有学习者的个人信息和学习成果记录，对所有学习成果的层次和质量进行权威性认定，指导规范所有学习成果之间的相互转换。也就是说，我们虽然采用了区块链这样一种“去中心化”的技术去避免学术造假，但这样一个技术应用的背景确实需要政府或者相关具有相当公信力的机构去进行背书的，这本质上还是没能跳脱出“中心化”这样一个理念的鸿沟。未来区块链在教育方面的应用还需要长久的改革与探索，不仅仅是在技术上的完善，</w:t>
      </w:r>
      <w:r>
        <w:rPr>
          <w:rFonts w:ascii="仿宋" w:eastAsia="仿宋" w:hAnsi="仿宋" w:cs="仿宋" w:hint="eastAsia"/>
          <w:color w:val="222222"/>
          <w:sz w:val="28"/>
          <w:szCs w:val="28"/>
          <w:shd w:val="clear" w:color="auto" w:fill="FFFFFF"/>
        </w:rPr>
        <w:lastRenderedPageBreak/>
        <w:t>更需要一类逻辑上对于教育认证方式的转变。</w:t>
      </w:r>
    </w:p>
    <w:p w14:paraId="54AA93E1" w14:textId="77777777" w:rsidR="00F6713E" w:rsidRDefault="00F6713E" w:rsidP="00F6713E">
      <w:pPr>
        <w:rPr>
          <w:rFonts w:ascii="仿宋" w:eastAsia="仿宋" w:hAnsi="仿宋" w:cs="仿宋"/>
          <w:sz w:val="28"/>
          <w:szCs w:val="36"/>
        </w:rPr>
      </w:pPr>
    </w:p>
    <w:p w14:paraId="28C5EB4C" w14:textId="2EF8011F" w:rsidR="00EE0D27" w:rsidRPr="00F6713E" w:rsidRDefault="00EE0D27"/>
    <w:sectPr w:rsidR="00EE0D27" w:rsidRPr="00F67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2F59F" w14:textId="77777777" w:rsidR="003958D7" w:rsidRDefault="003958D7" w:rsidP="00F6713E">
      <w:r>
        <w:separator/>
      </w:r>
    </w:p>
  </w:endnote>
  <w:endnote w:type="continuationSeparator" w:id="0">
    <w:p w14:paraId="666EA45A" w14:textId="77777777" w:rsidR="003958D7" w:rsidRDefault="003958D7" w:rsidP="00F6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D69F" w14:textId="77777777" w:rsidR="003958D7" w:rsidRDefault="003958D7" w:rsidP="00F6713E">
      <w:r>
        <w:separator/>
      </w:r>
    </w:p>
  </w:footnote>
  <w:footnote w:type="continuationSeparator" w:id="0">
    <w:p w14:paraId="194D2C62" w14:textId="77777777" w:rsidR="003958D7" w:rsidRDefault="003958D7" w:rsidP="00F67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6E4DF6"/>
    <w:multiLevelType w:val="singleLevel"/>
    <w:tmpl w:val="D06E4DF6"/>
    <w:lvl w:ilvl="0">
      <w:start w:val="1"/>
      <w:numFmt w:val="decimal"/>
      <w:suff w:val="nothing"/>
      <w:lvlText w:val="（%1）"/>
      <w:lvlJc w:val="left"/>
    </w:lvl>
  </w:abstractNum>
  <w:abstractNum w:abstractNumId="1" w15:restartNumberingAfterBreak="0">
    <w:nsid w:val="D69BAF29"/>
    <w:multiLevelType w:val="singleLevel"/>
    <w:tmpl w:val="D69BAF29"/>
    <w:lvl w:ilvl="0">
      <w:start w:val="1"/>
      <w:numFmt w:val="decimal"/>
      <w:lvlText w:val="%1."/>
      <w:lvlJc w:val="left"/>
      <w:pPr>
        <w:tabs>
          <w:tab w:val="left" w:pos="312"/>
        </w:tabs>
      </w:pPr>
    </w:lvl>
  </w:abstractNum>
  <w:num w:numId="1" w16cid:durableId="39288793">
    <w:abstractNumId w:val="1"/>
  </w:num>
  <w:num w:numId="2" w16cid:durableId="30428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88"/>
    <w:rsid w:val="000702DD"/>
    <w:rsid w:val="000D2FC7"/>
    <w:rsid w:val="00173F2A"/>
    <w:rsid w:val="00242A5A"/>
    <w:rsid w:val="00313483"/>
    <w:rsid w:val="00384EB9"/>
    <w:rsid w:val="003958D7"/>
    <w:rsid w:val="00452599"/>
    <w:rsid w:val="00465E7A"/>
    <w:rsid w:val="00473510"/>
    <w:rsid w:val="00477491"/>
    <w:rsid w:val="005637F9"/>
    <w:rsid w:val="006B2B53"/>
    <w:rsid w:val="006C7DF8"/>
    <w:rsid w:val="007C2447"/>
    <w:rsid w:val="008525EA"/>
    <w:rsid w:val="00967F0D"/>
    <w:rsid w:val="0098402A"/>
    <w:rsid w:val="00CC2093"/>
    <w:rsid w:val="00DE3E26"/>
    <w:rsid w:val="00DF0088"/>
    <w:rsid w:val="00E37708"/>
    <w:rsid w:val="00EE0D27"/>
    <w:rsid w:val="00F5404B"/>
    <w:rsid w:val="00F602F0"/>
    <w:rsid w:val="00F6713E"/>
    <w:rsid w:val="00FE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C3A07"/>
  <w15:chartTrackingRefBased/>
  <w15:docId w15:val="{D11E0BA8-FFBD-4A49-9AB0-0AC52F9A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13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6713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093"/>
    <w:pPr>
      <w:ind w:firstLineChars="200" w:firstLine="420"/>
    </w:pPr>
  </w:style>
  <w:style w:type="paragraph" w:styleId="a4">
    <w:name w:val="header"/>
    <w:basedOn w:val="a"/>
    <w:link w:val="a5"/>
    <w:uiPriority w:val="99"/>
    <w:unhideWhenUsed/>
    <w:rsid w:val="00F671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6713E"/>
    <w:rPr>
      <w:sz w:val="18"/>
      <w:szCs w:val="18"/>
    </w:rPr>
  </w:style>
  <w:style w:type="paragraph" w:styleId="a6">
    <w:name w:val="footer"/>
    <w:basedOn w:val="a"/>
    <w:link w:val="a7"/>
    <w:uiPriority w:val="99"/>
    <w:unhideWhenUsed/>
    <w:rsid w:val="00F6713E"/>
    <w:pPr>
      <w:tabs>
        <w:tab w:val="center" w:pos="4153"/>
        <w:tab w:val="right" w:pos="8306"/>
      </w:tabs>
      <w:snapToGrid w:val="0"/>
      <w:jc w:val="left"/>
    </w:pPr>
    <w:rPr>
      <w:sz w:val="18"/>
      <w:szCs w:val="18"/>
    </w:rPr>
  </w:style>
  <w:style w:type="character" w:customStyle="1" w:styleId="a7">
    <w:name w:val="页脚 字符"/>
    <w:basedOn w:val="a0"/>
    <w:link w:val="a6"/>
    <w:uiPriority w:val="99"/>
    <w:rsid w:val="00F6713E"/>
    <w:rPr>
      <w:sz w:val="18"/>
      <w:szCs w:val="18"/>
    </w:rPr>
  </w:style>
  <w:style w:type="character" w:customStyle="1" w:styleId="10">
    <w:name w:val="标题 1 字符"/>
    <w:basedOn w:val="a0"/>
    <w:link w:val="1"/>
    <w:uiPriority w:val="9"/>
    <w:rsid w:val="00F6713E"/>
    <w:rPr>
      <w:b/>
      <w:bCs/>
      <w:kern w:val="44"/>
      <w:sz w:val="44"/>
      <w:szCs w:val="44"/>
    </w:rPr>
  </w:style>
  <w:style w:type="character" w:customStyle="1" w:styleId="30">
    <w:name w:val="标题 3 字符"/>
    <w:basedOn w:val="a0"/>
    <w:link w:val="3"/>
    <w:uiPriority w:val="9"/>
    <w:semiHidden/>
    <w:rsid w:val="00F6713E"/>
    <w:rPr>
      <w:b/>
      <w:bCs/>
      <w:sz w:val="32"/>
      <w:szCs w:val="32"/>
    </w:rPr>
  </w:style>
  <w:style w:type="paragraph" w:styleId="a8">
    <w:name w:val="Normal (Web)"/>
    <w:basedOn w:val="a"/>
    <w:rsid w:val="00F671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9700">
      <w:bodyDiv w:val="1"/>
      <w:marLeft w:val="0"/>
      <w:marRight w:val="0"/>
      <w:marTop w:val="0"/>
      <w:marBottom w:val="0"/>
      <w:divBdr>
        <w:top w:val="none" w:sz="0" w:space="0" w:color="auto"/>
        <w:left w:val="none" w:sz="0" w:space="0" w:color="auto"/>
        <w:bottom w:val="none" w:sz="0" w:space="0" w:color="auto"/>
        <w:right w:val="none" w:sz="0" w:space="0" w:color="auto"/>
      </w:divBdr>
    </w:div>
    <w:div w:id="1759475515">
      <w:bodyDiv w:val="1"/>
      <w:marLeft w:val="0"/>
      <w:marRight w:val="0"/>
      <w:marTop w:val="0"/>
      <w:marBottom w:val="0"/>
      <w:divBdr>
        <w:top w:val="none" w:sz="0" w:space="0" w:color="auto"/>
        <w:left w:val="none" w:sz="0" w:space="0" w:color="auto"/>
        <w:bottom w:val="none" w:sz="0" w:space="0" w:color="auto"/>
        <w:right w:val="none" w:sz="0" w:space="0" w:color="auto"/>
      </w:divBdr>
      <w:divsChild>
        <w:div w:id="382339891">
          <w:marLeft w:val="0"/>
          <w:marRight w:val="0"/>
          <w:marTop w:val="420"/>
          <w:marBottom w:val="0"/>
          <w:divBdr>
            <w:top w:val="none" w:sz="0" w:space="0" w:color="auto"/>
            <w:left w:val="none" w:sz="0" w:space="0" w:color="auto"/>
            <w:bottom w:val="none" w:sz="0" w:space="0" w:color="auto"/>
            <w:right w:val="none" w:sz="0" w:space="0" w:color="auto"/>
          </w:divBdr>
        </w:div>
        <w:div w:id="930353461">
          <w:marLeft w:val="0"/>
          <w:marRight w:val="0"/>
          <w:marTop w:val="360"/>
          <w:marBottom w:val="0"/>
          <w:divBdr>
            <w:top w:val="none" w:sz="0" w:space="0" w:color="auto"/>
            <w:left w:val="none" w:sz="0" w:space="0" w:color="auto"/>
            <w:bottom w:val="none" w:sz="0" w:space="0" w:color="auto"/>
            <w:right w:val="none" w:sz="0" w:space="0" w:color="auto"/>
          </w:divBdr>
        </w:div>
        <w:div w:id="609315768">
          <w:marLeft w:val="0"/>
          <w:marRight w:val="0"/>
          <w:marTop w:val="360"/>
          <w:marBottom w:val="0"/>
          <w:divBdr>
            <w:top w:val="none" w:sz="0" w:space="0" w:color="auto"/>
            <w:left w:val="none" w:sz="0" w:space="0" w:color="auto"/>
            <w:bottom w:val="none" w:sz="0" w:space="0" w:color="auto"/>
            <w:right w:val="none" w:sz="0" w:space="0" w:color="auto"/>
          </w:divBdr>
        </w:div>
        <w:div w:id="698973229">
          <w:marLeft w:val="0"/>
          <w:marRight w:val="0"/>
          <w:marTop w:val="360"/>
          <w:marBottom w:val="0"/>
          <w:divBdr>
            <w:top w:val="none" w:sz="0" w:space="0" w:color="auto"/>
            <w:left w:val="none" w:sz="0" w:space="0" w:color="auto"/>
            <w:bottom w:val="none" w:sz="0" w:space="0" w:color="auto"/>
            <w:right w:val="none" w:sz="0" w:space="0" w:color="auto"/>
          </w:divBdr>
        </w:div>
        <w:div w:id="69206549">
          <w:marLeft w:val="0"/>
          <w:marRight w:val="0"/>
          <w:marTop w:val="360"/>
          <w:marBottom w:val="0"/>
          <w:divBdr>
            <w:top w:val="none" w:sz="0" w:space="0" w:color="auto"/>
            <w:left w:val="none" w:sz="0" w:space="0" w:color="auto"/>
            <w:bottom w:val="none" w:sz="0" w:space="0" w:color="auto"/>
            <w:right w:val="none" w:sz="0" w:space="0" w:color="auto"/>
          </w:divBdr>
        </w:div>
      </w:divsChild>
    </w:div>
    <w:div w:id="18859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Workbook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92030310948501"/>
          <c:y val="0.27629547960308698"/>
          <c:w val="0.79179513979618499"/>
          <c:h val="0.56833517089305396"/>
        </c:manualLayout>
      </c:layout>
      <c:barChart>
        <c:barDir val="bar"/>
        <c:grouping val="stacked"/>
        <c:varyColors val="0"/>
        <c:ser>
          <c:idx val="0"/>
          <c:order val="0"/>
          <c:tx>
            <c:strRef>
              <c:f>Sheet1!$B$1</c:f>
              <c:strCache>
                <c:ptCount val="1"/>
              </c:strCache>
            </c:strRef>
          </c:tx>
          <c:spPr>
            <a:solidFill>
              <a:schemeClr val="accent1"/>
            </a:solidFill>
            <a:ln>
              <a:noFill/>
            </a:ln>
            <a:effectLst/>
          </c:spPr>
          <c:invertIfNegative val="0"/>
          <c:dLbls>
            <c:delete val="1"/>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Sheet1!$B$2:$B$13</c:f>
              <c:numCache>
                <c:formatCode>General</c:formatCode>
                <c:ptCount val="12"/>
                <c:pt idx="0">
                  <c:v>2</c:v>
                </c:pt>
                <c:pt idx="1">
                  <c:v>1</c:v>
                </c:pt>
                <c:pt idx="2">
                  <c:v>3</c:v>
                </c:pt>
                <c:pt idx="3">
                  <c:v>3</c:v>
                </c:pt>
                <c:pt idx="4">
                  <c:v>3</c:v>
                </c:pt>
                <c:pt idx="5">
                  <c:v>10</c:v>
                </c:pt>
                <c:pt idx="6">
                  <c:v>2</c:v>
                </c:pt>
                <c:pt idx="7">
                  <c:v>1</c:v>
                </c:pt>
                <c:pt idx="8">
                  <c:v>0</c:v>
                </c:pt>
                <c:pt idx="9">
                  <c:v>3</c:v>
                </c:pt>
                <c:pt idx="10">
                  <c:v>9</c:v>
                </c:pt>
                <c:pt idx="11">
                  <c:v>25</c:v>
                </c:pt>
              </c:numCache>
            </c:numRef>
          </c:val>
          <c:extLst>
            <c:ext xmlns:c16="http://schemas.microsoft.com/office/drawing/2014/chart" uri="{C3380CC4-5D6E-409C-BE32-E72D297353CC}">
              <c16:uniqueId val="{00000000-39D5-455F-93B7-4F48D2A65E8F}"/>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Sheet1!$C$2:$C$13</c:f>
              <c:numCache>
                <c:formatCode>General</c:formatCode>
                <c:ptCount val="12"/>
              </c:numCache>
            </c:numRef>
          </c:val>
          <c:extLst>
            <c:ext xmlns:c16="http://schemas.microsoft.com/office/drawing/2014/chart" uri="{C3380CC4-5D6E-409C-BE32-E72D297353CC}">
              <c16:uniqueId val="{00000001-39D5-455F-93B7-4F48D2A65E8F}"/>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Sheet1!$A$2:$A$13</c:f>
              <c:strCache>
                <c:ptCount val="12"/>
                <c:pt idx="0">
                  <c:v>招生</c:v>
                </c:pt>
                <c:pt idx="1">
                  <c:v>数字身份</c:v>
                </c:pt>
                <c:pt idx="2">
                  <c:v>学习档案</c:v>
                </c:pt>
                <c:pt idx="3">
                  <c:v>评价与指导</c:v>
                </c:pt>
                <c:pt idx="4">
                  <c:v>学习环境</c:v>
                </c:pt>
                <c:pt idx="5">
                  <c:v>费用交易</c:v>
                </c:pt>
                <c:pt idx="6">
                  <c:v>学分转移</c:v>
                </c:pt>
                <c:pt idx="7">
                  <c:v>资料审查</c:v>
                </c:pt>
                <c:pt idx="8">
                  <c:v>学术活动</c:v>
                </c:pt>
                <c:pt idx="9">
                  <c:v>知识保护</c:v>
                </c:pt>
                <c:pt idx="10">
                  <c:v>学生就业</c:v>
                </c:pt>
                <c:pt idx="11">
                  <c:v>数字证书</c:v>
                </c:pt>
              </c:strCache>
            </c:strRef>
          </c:cat>
          <c:val>
            <c:numRef>
              <c:f>Sheet1!$D$2:$D$13</c:f>
              <c:numCache>
                <c:formatCode>General</c:formatCode>
                <c:ptCount val="12"/>
              </c:numCache>
            </c:numRef>
          </c:val>
          <c:extLst>
            <c:ext xmlns:c16="http://schemas.microsoft.com/office/drawing/2014/chart" uri="{C3380CC4-5D6E-409C-BE32-E72D297353CC}">
              <c16:uniqueId val="{00000002-39D5-455F-93B7-4F48D2A65E8F}"/>
            </c:ext>
          </c:extLst>
        </c:ser>
        <c:dLbls>
          <c:showLegendKey val="0"/>
          <c:showVal val="1"/>
          <c:showCatName val="0"/>
          <c:showSerName val="0"/>
          <c:showPercent val="0"/>
          <c:showBubbleSize val="0"/>
        </c:dLbls>
        <c:gapWidth val="79"/>
        <c:overlap val="100"/>
        <c:axId val="780838494"/>
        <c:axId val="423420597"/>
      </c:barChart>
      <c:catAx>
        <c:axId val="78083849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423420597"/>
        <c:crosses val="autoZero"/>
        <c:auto val="1"/>
        <c:lblAlgn val="ctr"/>
        <c:lblOffset val="100"/>
        <c:noMultiLvlLbl val="0"/>
      </c:catAx>
      <c:valAx>
        <c:axId val="42342059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8083849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11</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Wang</dc:creator>
  <cp:keywords/>
  <dc:description/>
  <cp:lastModifiedBy>Zijie Wang</cp:lastModifiedBy>
  <cp:revision>8</cp:revision>
  <dcterms:created xsi:type="dcterms:W3CDTF">2022-10-14T04:26:00Z</dcterms:created>
  <dcterms:modified xsi:type="dcterms:W3CDTF">2022-10-18T09:12:00Z</dcterms:modified>
</cp:coreProperties>
</file>